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4.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648" w:type="dxa"/>
        <w:tblLayout w:type="fixed"/>
        <w:tblCellMar>
          <w:left w:w="10" w:type="dxa"/>
          <w:right w:w="10" w:type="dxa"/>
        </w:tblCellMar>
        <w:tblLook w:val="0000" w:firstRow="0" w:lastRow="0" w:firstColumn="0" w:lastColumn="0" w:noHBand="0" w:noVBand="0"/>
      </w:tblPr>
      <w:tblGrid>
        <w:gridCol w:w="1526"/>
        <w:gridCol w:w="4144"/>
        <w:gridCol w:w="3978"/>
      </w:tblGrid>
      <w:tr w:rsidR="006D51AE" w:rsidRPr="000F4BDA" w14:paraId="45E73AD2" w14:textId="77777777" w:rsidTr="00AD0D9E">
        <w:trPr>
          <w:trHeight w:val="1328"/>
        </w:trPr>
        <w:tc>
          <w:tcPr>
            <w:tcW w:w="1526" w:type="dxa"/>
            <w:tcBorders>
              <w:top w:val="single" w:sz="12" w:space="0" w:color="000000"/>
              <w:bottom w:val="single" w:sz="12" w:space="0" w:color="000000"/>
            </w:tcBorders>
            <w:shd w:val="clear" w:color="auto" w:fill="auto"/>
            <w:tcMar>
              <w:top w:w="85" w:type="dxa"/>
              <w:left w:w="108" w:type="dxa"/>
              <w:bottom w:w="0" w:type="dxa"/>
              <w:right w:w="108" w:type="dxa"/>
            </w:tcMar>
          </w:tcPr>
          <w:p w14:paraId="3BE4D8FE" w14:textId="77777777" w:rsidR="006D51AE" w:rsidRPr="00002A97" w:rsidRDefault="006D51AE" w:rsidP="00AD0D9E">
            <w:pPr>
              <w:widowControl w:val="0"/>
              <w:suppressAutoHyphens/>
              <w:autoSpaceDE w:val="0"/>
              <w:autoSpaceDN w:val="0"/>
              <w:spacing w:after="0" w:line="240" w:lineRule="auto"/>
              <w:textAlignment w:val="baseline"/>
              <w:rPr>
                <w:rFonts w:ascii="Calibri" w:eastAsia="Calibri" w:hAnsi="Calibri" w:cs="Times New Roman"/>
              </w:rPr>
            </w:pPr>
            <w:r w:rsidRPr="00002A97">
              <w:rPr>
                <w:rFonts w:eastAsia="Times New Roman" w:cs="Arial"/>
                <w:noProof/>
                <w:szCs w:val="24"/>
              </w:rPr>
              <w:drawing>
                <wp:inline distT="0" distB="0" distL="0" distR="0" wp14:anchorId="52C86B3F" wp14:editId="6DC72B5F">
                  <wp:extent cx="742950" cy="771525"/>
                  <wp:effectExtent l="0" t="0" r="0" b="9525"/>
                  <wp:docPr id="4" name="Picture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rcRect l="-2531" t="-740" r="-2531" b="-740"/>
                          <a:stretch>
                            <a:fillRect/>
                          </a:stretch>
                        </pic:blipFill>
                        <pic:spPr>
                          <a:xfrm>
                            <a:off x="0" y="0"/>
                            <a:ext cx="742950" cy="771525"/>
                          </a:xfrm>
                          <a:prstGeom prst="rect">
                            <a:avLst/>
                          </a:prstGeom>
                          <a:noFill/>
                          <a:ln>
                            <a:noFill/>
                            <a:prstDash/>
                          </a:ln>
                        </pic:spPr>
                      </pic:pic>
                    </a:graphicData>
                  </a:graphic>
                </wp:inline>
              </w:drawing>
            </w:r>
          </w:p>
        </w:tc>
        <w:tc>
          <w:tcPr>
            <w:tcW w:w="4144" w:type="dxa"/>
            <w:tcBorders>
              <w:top w:val="single" w:sz="12" w:space="0" w:color="000000"/>
              <w:bottom w:val="single" w:sz="12" w:space="0" w:color="000000"/>
            </w:tcBorders>
            <w:shd w:val="clear" w:color="auto" w:fill="auto"/>
            <w:tcMar>
              <w:top w:w="85" w:type="dxa"/>
              <w:left w:w="108" w:type="dxa"/>
              <w:bottom w:w="0" w:type="dxa"/>
              <w:right w:w="108" w:type="dxa"/>
            </w:tcMar>
          </w:tcPr>
          <w:p w14:paraId="556563AF" w14:textId="77777777" w:rsidR="006D51AE" w:rsidRPr="00002A97" w:rsidRDefault="006D51AE" w:rsidP="00AD0D9E">
            <w:pPr>
              <w:keepNext/>
              <w:widowControl w:val="0"/>
              <w:suppressAutoHyphens/>
              <w:autoSpaceDE w:val="0"/>
              <w:autoSpaceDN w:val="0"/>
              <w:spacing w:after="0" w:line="240" w:lineRule="auto"/>
              <w:ind w:left="-108"/>
              <w:textAlignment w:val="baseline"/>
              <w:outlineLvl w:val="1"/>
              <w:rPr>
                <w:rFonts w:eastAsia="Times New Roman" w:cs="Arial"/>
                <w:sz w:val="12"/>
                <w:szCs w:val="12"/>
                <w:lang w:val="es-ES" w:eastAsia="es-ES"/>
              </w:rPr>
            </w:pPr>
          </w:p>
          <w:p w14:paraId="2DAE217E" w14:textId="77777777" w:rsidR="006D51AE" w:rsidRPr="00002A97" w:rsidRDefault="006D51AE" w:rsidP="00AD0D9E">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es-ES"/>
              </w:rPr>
            </w:pPr>
            <w:r w:rsidRPr="00002A97">
              <w:rPr>
                <w:rFonts w:eastAsia="Times New Roman" w:cs="Arial"/>
                <w:b/>
                <w:bCs/>
                <w:sz w:val="32"/>
                <w:szCs w:val="24"/>
                <w:lang w:val="es-ES" w:eastAsia="es-ES"/>
              </w:rPr>
              <w:t>CONVENCIÓN SOBRE</w:t>
            </w:r>
          </w:p>
          <w:p w14:paraId="0C47AE5A" w14:textId="77777777" w:rsidR="006D51AE" w:rsidRPr="00002A97" w:rsidRDefault="006D51AE" w:rsidP="00AD0D9E">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es-ES"/>
              </w:rPr>
            </w:pPr>
            <w:r w:rsidRPr="00002A97">
              <w:rPr>
                <w:rFonts w:eastAsia="Times New Roman" w:cs="Arial"/>
                <w:b/>
                <w:bCs/>
                <w:sz w:val="32"/>
                <w:szCs w:val="24"/>
                <w:lang w:val="es-ES" w:eastAsia="es-ES"/>
              </w:rPr>
              <w:t>LAS ESPECIES</w:t>
            </w:r>
          </w:p>
          <w:p w14:paraId="34F8626D" w14:textId="77777777" w:rsidR="006D51AE" w:rsidRPr="00002A97" w:rsidRDefault="006D51AE" w:rsidP="00AD0D9E">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es-ES"/>
              </w:rPr>
            </w:pPr>
            <w:r w:rsidRPr="00002A97">
              <w:rPr>
                <w:rFonts w:eastAsia="Times New Roman" w:cs="Arial"/>
                <w:b/>
                <w:bCs/>
                <w:sz w:val="32"/>
                <w:szCs w:val="24"/>
                <w:lang w:val="es-ES" w:eastAsia="es-ES"/>
              </w:rPr>
              <w:t>MIGRATORIAS</w:t>
            </w:r>
          </w:p>
        </w:tc>
        <w:tc>
          <w:tcPr>
            <w:tcW w:w="3978" w:type="dxa"/>
            <w:tcBorders>
              <w:top w:val="single" w:sz="12" w:space="0" w:color="000000"/>
              <w:bottom w:val="single" w:sz="12" w:space="0" w:color="000000"/>
            </w:tcBorders>
            <w:shd w:val="clear" w:color="auto" w:fill="auto"/>
            <w:tcMar>
              <w:top w:w="85" w:type="dxa"/>
              <w:left w:w="108" w:type="dxa"/>
              <w:bottom w:w="0" w:type="dxa"/>
              <w:right w:w="108" w:type="dxa"/>
            </w:tcMar>
          </w:tcPr>
          <w:p w14:paraId="37E4BE20" w14:textId="52AE827B" w:rsidR="006D51AE" w:rsidRPr="00F00634" w:rsidRDefault="006D51AE" w:rsidP="00AD0D9E">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line="240" w:lineRule="auto"/>
              <w:textAlignment w:val="baseline"/>
              <w:rPr>
                <w:rFonts w:ascii="Calibri" w:eastAsia="Calibri" w:hAnsi="Calibri" w:cs="Times New Roman"/>
                <w:lang w:val="en-US"/>
              </w:rPr>
            </w:pPr>
            <w:r w:rsidRPr="00F00634">
              <w:rPr>
                <w:rFonts w:eastAsia="Times New Roman" w:cs="Arial"/>
                <w:szCs w:val="24"/>
                <w:lang w:val="en-US" w:eastAsia="es-ES"/>
              </w:rPr>
              <w:t>UNEP/CMS/COP14/Doc.</w:t>
            </w:r>
            <w:r w:rsidR="00831DDC" w:rsidRPr="00F00634">
              <w:rPr>
                <w:rFonts w:eastAsia="Times New Roman" w:cs="Arial"/>
                <w:szCs w:val="24"/>
                <w:lang w:val="en-US" w:eastAsia="es-ES"/>
              </w:rPr>
              <w:t>27.2.3</w:t>
            </w:r>
            <w:r w:rsidR="00F00634" w:rsidRPr="00F00634">
              <w:rPr>
                <w:rFonts w:eastAsia="Times New Roman" w:cs="Arial"/>
                <w:szCs w:val="24"/>
                <w:lang w:val="en-US" w:eastAsia="es-ES"/>
              </w:rPr>
              <w:t>/Rev</w:t>
            </w:r>
            <w:r w:rsidR="00F00634">
              <w:rPr>
                <w:rFonts w:eastAsia="Times New Roman" w:cs="Arial"/>
                <w:szCs w:val="24"/>
                <w:lang w:val="en-US" w:eastAsia="es-ES"/>
              </w:rPr>
              <w:t>.1</w:t>
            </w:r>
          </w:p>
          <w:p w14:paraId="5D5E92E3" w14:textId="2866C718" w:rsidR="006D51AE" w:rsidRPr="00CD7166" w:rsidRDefault="00BD75FE" w:rsidP="00AD0D9E">
            <w:pPr>
              <w:widowControl w:val="0"/>
              <w:tabs>
                <w:tab w:val="left" w:pos="5040"/>
                <w:tab w:val="left" w:pos="5760"/>
                <w:tab w:val="left" w:pos="6008"/>
                <w:tab w:val="left" w:pos="6480"/>
                <w:tab w:val="left" w:pos="7200"/>
                <w:tab w:val="left" w:pos="7920"/>
                <w:tab w:val="left" w:pos="8640"/>
              </w:tabs>
              <w:suppressAutoHyphens/>
              <w:autoSpaceDE w:val="0"/>
              <w:autoSpaceDN w:val="0"/>
              <w:spacing w:after="120" w:line="240" w:lineRule="auto"/>
              <w:textAlignment w:val="baseline"/>
              <w:rPr>
                <w:rFonts w:ascii="Calibri" w:eastAsia="Calibri" w:hAnsi="Calibri" w:cs="Times New Roman"/>
                <w:lang w:val="es-ES"/>
              </w:rPr>
            </w:pPr>
            <w:r>
              <w:rPr>
                <w:rFonts w:eastAsia="Times New Roman" w:cs="Arial"/>
                <w:szCs w:val="24"/>
                <w:lang w:val="es-ES" w:eastAsia="es-ES"/>
              </w:rPr>
              <w:t>25 de julio</w:t>
            </w:r>
            <w:r w:rsidR="006D51AE" w:rsidRPr="00CD7166">
              <w:rPr>
                <w:rFonts w:eastAsia="Times New Roman" w:cs="Arial"/>
                <w:szCs w:val="24"/>
                <w:lang w:val="es-ES" w:eastAsia="es-ES"/>
              </w:rPr>
              <w:t xml:space="preserve"> 2023</w:t>
            </w:r>
          </w:p>
          <w:p w14:paraId="1035F053" w14:textId="77777777" w:rsidR="006D51AE" w:rsidRPr="00002A97" w:rsidRDefault="006D51AE" w:rsidP="00AD0D9E">
            <w:pPr>
              <w:widowControl w:val="0"/>
              <w:suppressAutoHyphens/>
              <w:autoSpaceDE w:val="0"/>
              <w:autoSpaceDN w:val="0"/>
              <w:spacing w:after="0" w:line="240" w:lineRule="auto"/>
              <w:textAlignment w:val="baseline"/>
              <w:rPr>
                <w:rFonts w:eastAsia="Times New Roman" w:cs="Arial"/>
                <w:szCs w:val="24"/>
                <w:lang w:val="es-ES_tradnl" w:eastAsia="es-ES"/>
              </w:rPr>
            </w:pPr>
            <w:r w:rsidRPr="00002A97">
              <w:rPr>
                <w:rFonts w:eastAsia="Times New Roman" w:cs="Arial"/>
                <w:szCs w:val="24"/>
                <w:lang w:val="es-ES_tradnl" w:eastAsia="es-ES"/>
              </w:rPr>
              <w:t>Español</w:t>
            </w:r>
          </w:p>
          <w:p w14:paraId="00515C2D" w14:textId="77777777" w:rsidR="006D51AE" w:rsidRPr="000F4BDA" w:rsidRDefault="006D51AE" w:rsidP="00AD0D9E">
            <w:pPr>
              <w:widowControl w:val="0"/>
              <w:suppressAutoHyphens/>
              <w:autoSpaceDE w:val="0"/>
              <w:autoSpaceDN w:val="0"/>
              <w:spacing w:after="0" w:line="240" w:lineRule="auto"/>
              <w:textAlignment w:val="baseline"/>
              <w:rPr>
                <w:rFonts w:ascii="Calibri" w:eastAsia="Calibri" w:hAnsi="Calibri" w:cs="Times New Roman"/>
                <w:lang w:val="es-ES"/>
              </w:rPr>
            </w:pPr>
            <w:r w:rsidRPr="00002A97">
              <w:rPr>
                <w:rFonts w:eastAsia="Times New Roman" w:cs="Arial"/>
                <w:szCs w:val="24"/>
                <w:lang w:val="es-ES" w:eastAsia="es-ES"/>
              </w:rPr>
              <w:t xml:space="preserve">Original: </w:t>
            </w:r>
            <w:proofErr w:type="gramStart"/>
            <w:r w:rsidRPr="00002A97">
              <w:rPr>
                <w:rFonts w:eastAsia="Times New Roman" w:cs="Arial"/>
                <w:szCs w:val="24"/>
                <w:lang w:val="es-ES" w:eastAsia="es-ES"/>
              </w:rPr>
              <w:t>Inglés</w:t>
            </w:r>
            <w:proofErr w:type="gramEnd"/>
          </w:p>
          <w:p w14:paraId="4C49CA6B" w14:textId="77777777" w:rsidR="006D51AE" w:rsidRPr="00002A97" w:rsidRDefault="006D51AE" w:rsidP="00AD0D9E">
            <w:pPr>
              <w:widowControl w:val="0"/>
              <w:suppressAutoHyphens/>
              <w:autoSpaceDE w:val="0"/>
              <w:autoSpaceDN w:val="0"/>
              <w:spacing w:after="0" w:line="240" w:lineRule="auto"/>
              <w:textAlignment w:val="baseline"/>
              <w:rPr>
                <w:rFonts w:eastAsia="Times New Roman" w:cs="Arial"/>
                <w:sz w:val="12"/>
                <w:szCs w:val="12"/>
                <w:lang w:val="es-ES" w:eastAsia="es-ES"/>
              </w:rPr>
            </w:pPr>
          </w:p>
        </w:tc>
      </w:tr>
    </w:tbl>
    <w:p w14:paraId="29583D6E" w14:textId="77777777" w:rsidR="00A618B3" w:rsidRPr="00002A97" w:rsidRDefault="00A618B3" w:rsidP="00A618B3">
      <w:pPr>
        <w:widowControl w:val="0"/>
        <w:tabs>
          <w:tab w:val="left" w:pos="-1057"/>
          <w:tab w:val="left" w:pos="-720"/>
        </w:tabs>
        <w:suppressAutoHyphens/>
        <w:autoSpaceDE w:val="0"/>
        <w:autoSpaceDN w:val="0"/>
        <w:spacing w:after="0" w:line="240" w:lineRule="auto"/>
        <w:textAlignment w:val="baseline"/>
        <w:rPr>
          <w:rFonts w:eastAsia="Times New Roman" w:cs="Arial"/>
          <w:sz w:val="8"/>
          <w:szCs w:val="8"/>
          <w:lang w:val="es-ES" w:eastAsia="es-ES"/>
        </w:rPr>
      </w:pPr>
    </w:p>
    <w:p w14:paraId="39396759" w14:textId="77777777" w:rsidR="00A618B3" w:rsidRPr="00002A97" w:rsidRDefault="00A618B3" w:rsidP="00A618B3">
      <w:pPr>
        <w:widowControl w:val="0"/>
        <w:tabs>
          <w:tab w:val="left" w:pos="-1057"/>
          <w:tab w:val="left" w:pos="-720"/>
        </w:tabs>
        <w:suppressAutoHyphens/>
        <w:autoSpaceDE w:val="0"/>
        <w:autoSpaceDN w:val="0"/>
        <w:spacing w:after="0" w:line="240" w:lineRule="auto"/>
        <w:textAlignment w:val="baseline"/>
        <w:rPr>
          <w:rFonts w:ascii="Calibri" w:eastAsia="Calibri" w:hAnsi="Calibri" w:cs="Times New Roman"/>
          <w:lang w:val="es-ES"/>
        </w:rPr>
      </w:pPr>
      <w:r w:rsidRPr="00002A97">
        <w:rPr>
          <w:rFonts w:eastAsia="Times New Roman" w:cs="Arial"/>
          <w:szCs w:val="24"/>
          <w:lang w:val="es-ES" w:eastAsia="es-ES"/>
        </w:rPr>
        <w:t>1</w:t>
      </w:r>
      <w:r>
        <w:rPr>
          <w:rFonts w:eastAsia="Times New Roman" w:cs="Arial"/>
          <w:szCs w:val="24"/>
          <w:lang w:val="es-ES" w:eastAsia="es-ES"/>
        </w:rPr>
        <w:t>4</w:t>
      </w:r>
      <w:r w:rsidRPr="00002A97">
        <w:rPr>
          <w:rFonts w:eastAsia="Times New Roman" w:cs="Arial"/>
          <w:szCs w:val="24"/>
          <w:lang w:val="es-ES" w:eastAsia="es-ES"/>
        </w:rPr>
        <w:t>ª REUNIÓN DE LA CONFERENCIA DE LAS PARTES</w:t>
      </w:r>
    </w:p>
    <w:p w14:paraId="6A3E989F" w14:textId="7BC4BCD9" w:rsidR="00A618B3" w:rsidRPr="00002A97" w:rsidRDefault="00A618B3" w:rsidP="00A618B3">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28" w:lineRule="auto"/>
        <w:textAlignment w:val="baseline"/>
        <w:outlineLvl w:val="1"/>
        <w:rPr>
          <w:rFonts w:ascii="Calibri" w:eastAsia="Calibri" w:hAnsi="Calibri" w:cs="Times New Roman"/>
          <w:lang w:val="es-ES"/>
        </w:rPr>
      </w:pPr>
      <w:r w:rsidRPr="000F4BDA">
        <w:rPr>
          <w:rFonts w:eastAsia="Times New Roman" w:cs="Arial"/>
          <w:bCs/>
          <w:szCs w:val="24"/>
          <w:lang w:val="es-ES" w:eastAsia="es-ES"/>
        </w:rPr>
        <w:t>Samarcanda</w:t>
      </w:r>
      <w:r w:rsidRPr="00002A97">
        <w:rPr>
          <w:rFonts w:eastAsia="Times New Roman" w:cs="Arial"/>
          <w:bCs/>
          <w:szCs w:val="24"/>
          <w:lang w:val="es-ES" w:eastAsia="es-ES"/>
        </w:rPr>
        <w:t xml:space="preserve">. </w:t>
      </w:r>
      <w:r>
        <w:rPr>
          <w:rFonts w:eastAsia="Times New Roman" w:cs="Arial"/>
          <w:bCs/>
          <w:szCs w:val="24"/>
          <w:lang w:val="es-ES" w:eastAsia="es-ES"/>
        </w:rPr>
        <w:t>Uzbekistán</w:t>
      </w:r>
      <w:r w:rsidRPr="00002A97">
        <w:rPr>
          <w:rFonts w:eastAsia="Times New Roman" w:cs="Arial"/>
          <w:bCs/>
          <w:szCs w:val="24"/>
          <w:lang w:val="es-ES" w:eastAsia="es-ES"/>
        </w:rPr>
        <w:t xml:space="preserve">, </w:t>
      </w:r>
      <w:r w:rsidR="00BD75FE">
        <w:rPr>
          <w:rFonts w:eastAsia="Times New Roman" w:cs="Arial"/>
          <w:bCs/>
          <w:szCs w:val="24"/>
          <w:lang w:val="es-ES" w:eastAsia="es-ES"/>
        </w:rPr>
        <w:t>12 – 17 de febrero 2024</w:t>
      </w:r>
    </w:p>
    <w:p w14:paraId="7E71FD0D" w14:textId="2A0C633D" w:rsidR="00A618B3" w:rsidRPr="00002A97" w:rsidRDefault="00A618B3" w:rsidP="00A618B3">
      <w:pPr>
        <w:widowControl w:val="0"/>
        <w:tabs>
          <w:tab w:val="left" w:pos="7020"/>
        </w:tabs>
        <w:suppressAutoHyphens/>
        <w:autoSpaceDE w:val="0"/>
        <w:autoSpaceDN w:val="0"/>
        <w:spacing w:after="0" w:line="240" w:lineRule="auto"/>
        <w:textAlignment w:val="baseline"/>
        <w:rPr>
          <w:rFonts w:ascii="Calibri" w:eastAsia="Calibri" w:hAnsi="Calibri" w:cs="Times New Roman"/>
          <w:lang w:val="es-ES"/>
        </w:rPr>
      </w:pPr>
      <w:r w:rsidRPr="00002A97">
        <w:rPr>
          <w:rFonts w:eastAsia="Times New Roman" w:cs="Arial"/>
          <w:szCs w:val="24"/>
          <w:lang w:val="es-ES" w:eastAsia="es-ES"/>
        </w:rPr>
        <w:t xml:space="preserve">Punto </w:t>
      </w:r>
      <w:r w:rsidR="00CD7166">
        <w:rPr>
          <w:rFonts w:eastAsia="Times New Roman" w:cs="Arial"/>
          <w:szCs w:val="24"/>
          <w:lang w:val="es-ES" w:eastAsia="es-ES"/>
        </w:rPr>
        <w:t>27.2</w:t>
      </w:r>
      <w:r w:rsidRPr="00002A97">
        <w:rPr>
          <w:rFonts w:eastAsia="Times New Roman" w:cs="Arial"/>
          <w:szCs w:val="24"/>
          <w:lang w:val="es-ES" w:eastAsia="es-ES"/>
        </w:rPr>
        <w:t xml:space="preserve"> del orden del día</w:t>
      </w:r>
    </w:p>
    <w:p w14:paraId="7ECE7D70" w14:textId="77777777" w:rsidR="006D51AE" w:rsidRPr="00CA23D1" w:rsidRDefault="006D51AE" w:rsidP="00C3638B">
      <w:pPr>
        <w:widowControl w:val="0"/>
        <w:suppressAutoHyphens/>
        <w:autoSpaceDE w:val="0"/>
        <w:autoSpaceDN w:val="0"/>
        <w:spacing w:after="0" w:line="240" w:lineRule="auto"/>
        <w:ind w:right="90"/>
        <w:textAlignment w:val="baseline"/>
        <w:rPr>
          <w:rFonts w:eastAsia="Times New Roman" w:cs="Arial"/>
          <w:lang w:val="es-ES"/>
        </w:rPr>
      </w:pPr>
    </w:p>
    <w:p w14:paraId="1554ADA7" w14:textId="77777777" w:rsidR="002E0DE9" w:rsidRPr="00CA23D1" w:rsidRDefault="002E0DE9" w:rsidP="00C3638B">
      <w:pPr>
        <w:widowControl w:val="0"/>
        <w:suppressAutoHyphens/>
        <w:autoSpaceDE w:val="0"/>
        <w:autoSpaceDN w:val="0"/>
        <w:spacing w:after="0" w:line="240" w:lineRule="auto"/>
        <w:ind w:right="90"/>
        <w:textAlignment w:val="baseline"/>
        <w:rPr>
          <w:rFonts w:eastAsia="Times New Roman" w:cs="Arial"/>
          <w:lang w:val="es-ES"/>
        </w:rPr>
      </w:pPr>
    </w:p>
    <w:p w14:paraId="7B5AEB6F" w14:textId="026EA45C" w:rsidR="000A2076" w:rsidRPr="00CA23D1" w:rsidRDefault="000A2076" w:rsidP="00C3638B">
      <w:pPr>
        <w:ind w:right="90"/>
        <w:jc w:val="center"/>
        <w:rPr>
          <w:b/>
          <w:bCs/>
          <w:lang w:val="es-ES"/>
        </w:rPr>
      </w:pPr>
      <w:r w:rsidRPr="00CA23D1">
        <w:rPr>
          <w:b/>
          <w:bCs/>
          <w:lang w:val="es-ES"/>
        </w:rPr>
        <w:t>COLISIONES CON EMBARCACIONES</w:t>
      </w:r>
    </w:p>
    <w:p w14:paraId="57504EB6" w14:textId="4453B28E" w:rsidR="002E0DE9" w:rsidRPr="00CA23D1" w:rsidRDefault="008B0AC3" w:rsidP="00C3638B">
      <w:pPr>
        <w:widowControl w:val="0"/>
        <w:suppressAutoHyphens/>
        <w:autoSpaceDE w:val="0"/>
        <w:autoSpaceDN w:val="0"/>
        <w:spacing w:after="0" w:line="240" w:lineRule="auto"/>
        <w:ind w:right="90"/>
        <w:jc w:val="center"/>
        <w:textAlignment w:val="baseline"/>
        <w:rPr>
          <w:rFonts w:ascii="Calibri" w:eastAsia="Calibri" w:hAnsi="Calibri" w:cs="Times New Roman"/>
          <w:lang w:val="es-ES"/>
        </w:rPr>
      </w:pPr>
      <w:r w:rsidRPr="00CA23D1">
        <w:rPr>
          <w:rFonts w:eastAsia="Times New Roman" w:cs="Arial"/>
          <w:i/>
          <w:iCs/>
          <w:lang w:val="es-ES"/>
        </w:rPr>
        <w:t>(Preparado por la Secretaría)</w:t>
      </w:r>
    </w:p>
    <w:p w14:paraId="33865679" w14:textId="77777777" w:rsidR="003512C0" w:rsidRPr="00CA23D1" w:rsidRDefault="003512C0" w:rsidP="00C3638B">
      <w:pPr>
        <w:widowControl w:val="0"/>
        <w:suppressAutoHyphens/>
        <w:autoSpaceDE w:val="0"/>
        <w:autoSpaceDN w:val="0"/>
        <w:spacing w:after="0" w:line="240" w:lineRule="auto"/>
        <w:ind w:right="90"/>
        <w:textAlignment w:val="baseline"/>
        <w:rPr>
          <w:rFonts w:cs="Arial"/>
          <w:i/>
          <w:sz w:val="21"/>
          <w:szCs w:val="21"/>
          <w:lang w:val="es-ES"/>
        </w:rPr>
      </w:pPr>
    </w:p>
    <w:p w14:paraId="5AA618C8" w14:textId="77777777" w:rsidR="003512C0" w:rsidRPr="00CA23D1" w:rsidRDefault="003512C0" w:rsidP="00C3638B">
      <w:pPr>
        <w:widowControl w:val="0"/>
        <w:suppressAutoHyphens/>
        <w:autoSpaceDE w:val="0"/>
        <w:autoSpaceDN w:val="0"/>
        <w:spacing w:after="0" w:line="240" w:lineRule="auto"/>
        <w:ind w:right="90"/>
        <w:textAlignment w:val="baseline"/>
        <w:rPr>
          <w:rFonts w:cs="Arial"/>
          <w:i/>
          <w:sz w:val="21"/>
          <w:szCs w:val="21"/>
          <w:lang w:val="es-ES"/>
        </w:rPr>
      </w:pPr>
    </w:p>
    <w:p w14:paraId="08E9BC97" w14:textId="77777777" w:rsidR="003512C0" w:rsidRPr="00CA23D1" w:rsidRDefault="003512C0" w:rsidP="00C3638B">
      <w:pPr>
        <w:widowControl w:val="0"/>
        <w:suppressAutoHyphens/>
        <w:autoSpaceDE w:val="0"/>
        <w:autoSpaceDN w:val="0"/>
        <w:spacing w:after="0" w:line="240" w:lineRule="auto"/>
        <w:ind w:right="90"/>
        <w:textAlignment w:val="baseline"/>
        <w:rPr>
          <w:rFonts w:cs="Arial"/>
          <w:i/>
          <w:sz w:val="21"/>
          <w:szCs w:val="21"/>
          <w:lang w:val="es-ES"/>
        </w:rPr>
      </w:pPr>
    </w:p>
    <w:p w14:paraId="56E8DE10" w14:textId="77777777" w:rsidR="006D51AE" w:rsidRDefault="006D51AE" w:rsidP="00C3638B">
      <w:pPr>
        <w:widowControl w:val="0"/>
        <w:suppressAutoHyphens/>
        <w:autoSpaceDE w:val="0"/>
        <w:autoSpaceDN w:val="0"/>
        <w:spacing w:after="0" w:line="240" w:lineRule="auto"/>
        <w:ind w:right="90"/>
        <w:textAlignment w:val="baseline"/>
        <w:rPr>
          <w:rFonts w:ascii="Calibri" w:eastAsia="Calibri" w:hAnsi="Calibri" w:cs="Times New Roman"/>
          <w:lang w:val="es-ES"/>
        </w:rPr>
      </w:pPr>
    </w:p>
    <w:p w14:paraId="25A47AE0" w14:textId="063C6B31" w:rsidR="002E0DE9" w:rsidRPr="00CA23D1" w:rsidRDefault="00661875" w:rsidP="00C3638B">
      <w:pPr>
        <w:widowControl w:val="0"/>
        <w:suppressAutoHyphens/>
        <w:autoSpaceDE w:val="0"/>
        <w:autoSpaceDN w:val="0"/>
        <w:spacing w:after="0" w:line="240" w:lineRule="auto"/>
        <w:ind w:right="90"/>
        <w:textAlignment w:val="baseline"/>
        <w:rPr>
          <w:rFonts w:ascii="Calibri" w:eastAsia="Calibri" w:hAnsi="Calibri" w:cs="Times New Roman"/>
          <w:lang w:val="es-ES"/>
        </w:rPr>
      </w:pPr>
      <w:r w:rsidRPr="00CA23D1">
        <w:rPr>
          <w:rFonts w:eastAsia="Times New Roman" w:cs="Arial"/>
          <w:noProof/>
          <w:sz w:val="21"/>
          <w:szCs w:val="21"/>
          <w:lang w:val="es-ES"/>
        </w:rPr>
        <mc:AlternateContent>
          <mc:Choice Requires="wps">
            <w:drawing>
              <wp:anchor distT="0" distB="0" distL="114300" distR="114300" simplePos="0" relativeHeight="251658240" behindDoc="0" locked="0" layoutInCell="1" allowOverlap="1" wp14:anchorId="13CF45B1" wp14:editId="5A654AA5">
                <wp:simplePos x="0" y="0"/>
                <wp:positionH relativeFrom="column">
                  <wp:posOffset>952500</wp:posOffset>
                </wp:positionH>
                <wp:positionV relativeFrom="paragraph">
                  <wp:posOffset>111760</wp:posOffset>
                </wp:positionV>
                <wp:extent cx="4235500" cy="1733550"/>
                <wp:effectExtent l="0" t="0" r="12700" b="19050"/>
                <wp:wrapNone/>
                <wp:docPr id="5" name="Text Box 5"/>
                <wp:cNvGraphicFramePr/>
                <a:graphic xmlns:a="http://schemas.openxmlformats.org/drawingml/2006/main">
                  <a:graphicData uri="http://schemas.microsoft.com/office/word/2010/wordprocessingShape">
                    <wps:wsp>
                      <wps:cNvSpPr txBox="1"/>
                      <wps:spPr>
                        <a:xfrm>
                          <a:off x="0" y="0"/>
                          <a:ext cx="4235500" cy="1733550"/>
                        </a:xfrm>
                        <a:prstGeom prst="rect">
                          <a:avLst/>
                        </a:prstGeom>
                        <a:solidFill>
                          <a:srgbClr val="FFFFFF"/>
                        </a:solidFill>
                        <a:ln w="3172">
                          <a:solidFill>
                            <a:srgbClr val="000000"/>
                          </a:solidFill>
                          <a:prstDash val="solid"/>
                        </a:ln>
                      </wps:spPr>
                      <wps:txbx>
                        <w:txbxContent>
                          <w:p w14:paraId="69DC25A9" w14:textId="77777777" w:rsidR="002E0DE9" w:rsidRPr="00A31DB7" w:rsidRDefault="002E0DE9" w:rsidP="002E0DE9">
                            <w:pPr>
                              <w:spacing w:after="0"/>
                              <w:rPr>
                                <w:rFonts w:cs="Arial"/>
                                <w:lang w:val="es-ES"/>
                              </w:rPr>
                            </w:pPr>
                            <w:r w:rsidRPr="00A31DB7">
                              <w:rPr>
                                <w:rFonts w:cs="Arial"/>
                                <w:lang w:val="es-ES"/>
                              </w:rPr>
                              <w:t>Resumen:</w:t>
                            </w:r>
                          </w:p>
                          <w:p w14:paraId="50A6DBEC" w14:textId="77777777" w:rsidR="00661875" w:rsidRPr="00A31DB7" w:rsidRDefault="00661875" w:rsidP="00A618B3">
                            <w:pPr>
                              <w:spacing w:after="0" w:line="240" w:lineRule="auto"/>
                              <w:jc w:val="both"/>
                              <w:rPr>
                                <w:rFonts w:cs="Arial"/>
                                <w:i/>
                                <w:lang w:val="es-ES"/>
                              </w:rPr>
                            </w:pPr>
                          </w:p>
                          <w:p w14:paraId="31C859B0" w14:textId="77777777" w:rsidR="001202C2" w:rsidRPr="00A31DB7" w:rsidRDefault="001202C2" w:rsidP="00A618B3">
                            <w:pPr>
                              <w:pStyle w:val="pf0"/>
                              <w:spacing w:before="0" w:beforeAutospacing="0" w:after="0" w:afterAutospacing="0"/>
                              <w:jc w:val="both"/>
                              <w:rPr>
                                <w:rFonts w:ascii="Arial" w:hAnsi="Arial" w:cs="Arial"/>
                                <w:sz w:val="22"/>
                                <w:szCs w:val="22"/>
                                <w:lang w:val="es-ES"/>
                              </w:rPr>
                            </w:pPr>
                            <w:r w:rsidRPr="00A31DB7">
                              <w:rPr>
                                <w:rStyle w:val="cf01"/>
                                <w:rFonts w:ascii="Arial" w:hAnsi="Arial" w:cs="Arial"/>
                                <w:sz w:val="22"/>
                                <w:szCs w:val="22"/>
                                <w:lang w:val="es-ES"/>
                              </w:rPr>
                              <w:t>Este documento contiene un proyecto de Resolución sobre</w:t>
                            </w:r>
                            <w:r w:rsidRPr="00A31DB7">
                              <w:rPr>
                                <w:rStyle w:val="cf11"/>
                                <w:rFonts w:ascii="Arial" w:hAnsi="Arial" w:cs="Arial"/>
                                <w:sz w:val="22"/>
                                <w:szCs w:val="22"/>
                                <w:lang w:val="es-ES"/>
                              </w:rPr>
                              <w:t xml:space="preserve"> </w:t>
                            </w:r>
                            <w:r w:rsidRPr="00A31DB7">
                              <w:rPr>
                                <w:rStyle w:val="cf01"/>
                                <w:rFonts w:ascii="Arial" w:hAnsi="Arial" w:cs="Arial"/>
                                <w:sz w:val="22"/>
                                <w:szCs w:val="22"/>
                                <w:lang w:val="es-ES"/>
                              </w:rPr>
                              <w:t>la reducción de los riesgos de colisión de las embarcaciones con la megafauna marina – incluyendo directrices específicas para los tiburones ballena – y un proyecto de Decisión para su adopción.</w:t>
                            </w:r>
                          </w:p>
                          <w:p w14:paraId="294F4BA9" w14:textId="595EC6BF" w:rsidR="009768EF" w:rsidRDefault="009768EF" w:rsidP="001202C2">
                            <w:pPr>
                              <w:spacing w:after="0" w:line="240" w:lineRule="auto"/>
                              <w:jc w:val="both"/>
                              <w:rPr>
                                <w:rFonts w:cs="Arial"/>
                                <w:i/>
                                <w:lang w:val="es-ES"/>
                              </w:rPr>
                            </w:pPr>
                          </w:p>
                          <w:p w14:paraId="51310AFB" w14:textId="66B8ACC7" w:rsidR="00E82184" w:rsidRPr="00E82184" w:rsidRDefault="00E82184" w:rsidP="001202C2">
                            <w:pPr>
                              <w:spacing w:after="0" w:line="240" w:lineRule="auto"/>
                              <w:jc w:val="both"/>
                              <w:rPr>
                                <w:rFonts w:cs="Arial"/>
                                <w:iCs/>
                                <w:lang w:val="es-ES"/>
                              </w:rPr>
                            </w:pPr>
                            <w:r w:rsidRPr="00E82184">
                              <w:rPr>
                                <w:rFonts w:cs="Arial"/>
                                <w:iCs/>
                                <w:lang w:val="es-ES"/>
                              </w:rPr>
                              <w:t>Este documento fue revisado por el Consejo Científico en su 6ª reunión del Comité del período de sesiones en julio de 2023.</w:t>
                            </w:r>
                          </w:p>
                        </w:txbxContent>
                      </wps:txbx>
                      <wps:bodyPr vert="horz" wrap="square" lIns="91440" tIns="45720" rIns="91440" bIns="45720" anchor="t" anchorCtr="0" compatLnSpc="0">
                        <a:noAutofit/>
                      </wps:bodyPr>
                    </wps:wsp>
                  </a:graphicData>
                </a:graphic>
                <wp14:sizeRelH relativeFrom="margin">
                  <wp14:pctWidth>0</wp14:pctWidth>
                </wp14:sizeRelH>
                <wp14:sizeRelV relativeFrom="margin">
                  <wp14:pctHeight>0</wp14:pctHeight>
                </wp14:sizeRelV>
              </wp:anchor>
            </w:drawing>
          </mc:Choice>
          <mc:Fallback>
            <w:pict>
              <v:shapetype w14:anchorId="13CF45B1" id="_x0000_t202" coordsize="21600,21600" o:spt="202" path="m,l,21600r21600,l21600,xe">
                <v:stroke joinstyle="miter"/>
                <v:path gradientshapeok="t" o:connecttype="rect"/>
              </v:shapetype>
              <v:shape id="Text Box 5" o:spid="_x0000_s1026" type="#_x0000_t202" style="position:absolute;margin-left:75pt;margin-top:8.8pt;width:333.5pt;height:136.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sOnc4QEAANQDAAAOAAAAZHJzL2Uyb0RvYy54bWysU9uu0zAQfEfiHyy/01zaUoiaHsGpipCO&#10;AKnwAa5jN5Yc26zdJuXrWTuh7QGeEHlwvJ7NeHZ2s34YOk3OAryypqbFLKdEGG4bZY41/fZ19+oN&#10;JT4w0zBtjajpRXj6sHn5Yt27SpS2tboRQJDE+Kp3NW1DcFWWed6KjvmZdcIgKC10LGAIx6wB1iN7&#10;p7Myz19nvYXGgeXCezzdjiDdJH4pBQ+fpfQiEF1T1BbSCmk9xDXbrFl1BOZaxScZ7B9UdEwZvPRK&#10;tWWBkROoP6g6xcF6K8OM2y6zUiouUg1YTZH/Vs2+ZU6kWtAc7642+f9Hyz+d9+4LkDC8twM2MBrS&#10;O195PIz1DBK6+EalBHG08HK1TQyBcDxclPPlMkeII1as5jGKPNntcwc+fBC2I3FTU8C+JLvY+cmH&#10;MfVXSrzNW62andI6BXA8PGogZ4Y93KVnYn+Wpg3pazovVmVifob5e4o8PX+jiBK2zLfjVYlhStMG&#10;y7n5EndhOAyTWQfbXNBD/A2wttbCD0p6HKma+u8nBoIS/dFgz94Wi0WcwRQslqsSA7hHDvcIMxyp&#10;ahooGbePYZxbHBzHwpPZOx5bES0y9t0pWKmSlVHcqGjSjKOTmjGNeZzN+zhl3X7GzU8AAAD//wMA&#10;UEsDBBQABgAIAAAAIQCVIq3g3wAAAAoBAAAPAAAAZHJzL2Rvd25yZXYueG1sTI9BT4QwEIXvJv6H&#10;Zky8uS0kwIqUjdGYcPDCrgePXVoBpVPSdhfcX+940tu8mZc336t2q53Y2fgwOpSQbAQwg53TI/YS&#10;3g4vd1tgISrUanJoJHybALv6+qpSpXYLtua8jz2jEAylkjDEOJech24wVoWNmw3S7cN5qyJJ33Pt&#10;1ULhduKpEDm3akT6MKjZPA2m+9qfrITPS8QU29dsXvx70WTtc5M0Fylvb9bHB2DRrPHPDL/4hA41&#10;MR3dCXVgE+lMUJdIQ5EDI8M2KWhxlJDeixx4XfH/FeofAAAA//8DAFBLAQItABQABgAIAAAAIQC2&#10;gziS/gAAAOEBAAATAAAAAAAAAAAAAAAAAAAAAABbQ29udGVudF9UeXBlc10ueG1sUEsBAi0AFAAG&#10;AAgAAAAhADj9If/WAAAAlAEAAAsAAAAAAAAAAAAAAAAALwEAAF9yZWxzLy5yZWxzUEsBAi0AFAAG&#10;AAgAAAAhAOyw6dzhAQAA1AMAAA4AAAAAAAAAAAAAAAAALgIAAGRycy9lMm9Eb2MueG1sUEsBAi0A&#10;FAAGAAgAAAAhAJUireDfAAAACgEAAA8AAAAAAAAAAAAAAAAAOwQAAGRycy9kb3ducmV2LnhtbFBL&#10;BQYAAAAABAAEAPMAAABHBQAAAAA=&#10;" strokeweight=".08811mm">
                <v:textbox>
                  <w:txbxContent>
                    <w:p w14:paraId="69DC25A9" w14:textId="77777777" w:rsidR="002E0DE9" w:rsidRPr="00A31DB7" w:rsidRDefault="002E0DE9" w:rsidP="002E0DE9">
                      <w:pPr>
                        <w:spacing w:after="0"/>
                        <w:rPr>
                          <w:rFonts w:cs="Arial"/>
                          <w:lang w:val="es-ES"/>
                        </w:rPr>
                      </w:pPr>
                      <w:r w:rsidRPr="00A31DB7">
                        <w:rPr>
                          <w:rFonts w:cs="Arial"/>
                          <w:lang w:val="es-ES"/>
                        </w:rPr>
                        <w:t>Resumen:</w:t>
                      </w:r>
                    </w:p>
                    <w:p w14:paraId="50A6DBEC" w14:textId="77777777" w:rsidR="00661875" w:rsidRPr="00A31DB7" w:rsidRDefault="00661875" w:rsidP="00A618B3">
                      <w:pPr>
                        <w:spacing w:after="0" w:line="240" w:lineRule="auto"/>
                        <w:jc w:val="both"/>
                        <w:rPr>
                          <w:rFonts w:cs="Arial"/>
                          <w:i/>
                          <w:lang w:val="es-ES"/>
                        </w:rPr>
                      </w:pPr>
                    </w:p>
                    <w:p w14:paraId="31C859B0" w14:textId="77777777" w:rsidR="001202C2" w:rsidRPr="00A31DB7" w:rsidRDefault="001202C2" w:rsidP="00A618B3">
                      <w:pPr>
                        <w:pStyle w:val="pf0"/>
                        <w:spacing w:before="0" w:beforeAutospacing="0" w:after="0" w:afterAutospacing="0"/>
                        <w:jc w:val="both"/>
                        <w:rPr>
                          <w:rFonts w:ascii="Arial" w:hAnsi="Arial" w:cs="Arial"/>
                          <w:sz w:val="22"/>
                          <w:szCs w:val="22"/>
                          <w:lang w:val="es-ES"/>
                        </w:rPr>
                      </w:pPr>
                      <w:r w:rsidRPr="00A31DB7">
                        <w:rPr>
                          <w:rStyle w:val="cf01"/>
                          <w:rFonts w:ascii="Arial" w:hAnsi="Arial" w:cs="Arial"/>
                          <w:sz w:val="22"/>
                          <w:szCs w:val="22"/>
                          <w:lang w:val="es-ES"/>
                        </w:rPr>
                        <w:t>Este documento contiene un proyecto de Resolución sobre</w:t>
                      </w:r>
                      <w:r w:rsidRPr="00A31DB7">
                        <w:rPr>
                          <w:rStyle w:val="cf11"/>
                          <w:rFonts w:ascii="Arial" w:hAnsi="Arial" w:cs="Arial"/>
                          <w:sz w:val="22"/>
                          <w:szCs w:val="22"/>
                          <w:lang w:val="es-ES"/>
                        </w:rPr>
                        <w:t xml:space="preserve"> </w:t>
                      </w:r>
                      <w:r w:rsidRPr="00A31DB7">
                        <w:rPr>
                          <w:rStyle w:val="cf01"/>
                          <w:rFonts w:ascii="Arial" w:hAnsi="Arial" w:cs="Arial"/>
                          <w:sz w:val="22"/>
                          <w:szCs w:val="22"/>
                          <w:lang w:val="es-ES"/>
                        </w:rPr>
                        <w:t>la reducción de los riesgos de colisión de las embarcaciones con la megafauna marina – incluyendo directrices específicas para los tiburones ballena – y un proyecto de Decisión para su adopción.</w:t>
                      </w:r>
                    </w:p>
                    <w:p w14:paraId="294F4BA9" w14:textId="595EC6BF" w:rsidR="009768EF" w:rsidRDefault="009768EF" w:rsidP="001202C2">
                      <w:pPr>
                        <w:spacing w:after="0" w:line="240" w:lineRule="auto"/>
                        <w:jc w:val="both"/>
                        <w:rPr>
                          <w:rFonts w:cs="Arial"/>
                          <w:i/>
                          <w:lang w:val="es-ES"/>
                        </w:rPr>
                      </w:pPr>
                    </w:p>
                    <w:p w14:paraId="51310AFB" w14:textId="66B8ACC7" w:rsidR="00E82184" w:rsidRPr="00E82184" w:rsidRDefault="00E82184" w:rsidP="001202C2">
                      <w:pPr>
                        <w:spacing w:after="0" w:line="240" w:lineRule="auto"/>
                        <w:jc w:val="both"/>
                        <w:rPr>
                          <w:rFonts w:cs="Arial"/>
                          <w:iCs/>
                          <w:lang w:val="es-ES"/>
                        </w:rPr>
                      </w:pPr>
                      <w:r w:rsidRPr="00E82184">
                        <w:rPr>
                          <w:rFonts w:cs="Arial"/>
                          <w:iCs/>
                          <w:lang w:val="es-ES"/>
                        </w:rPr>
                        <w:t>Este documento fue revisado por el Consejo Científico en su 6ª reunión del Comité del período de sesiones en julio de 2023.</w:t>
                      </w:r>
                    </w:p>
                  </w:txbxContent>
                </v:textbox>
              </v:shape>
            </w:pict>
          </mc:Fallback>
        </mc:AlternateContent>
      </w:r>
    </w:p>
    <w:p w14:paraId="320AAD7B" w14:textId="77777777" w:rsidR="002E0DE9" w:rsidRPr="00CA23D1" w:rsidRDefault="002E0DE9" w:rsidP="00C3638B">
      <w:pPr>
        <w:widowControl w:val="0"/>
        <w:suppressAutoHyphens/>
        <w:autoSpaceDE w:val="0"/>
        <w:autoSpaceDN w:val="0"/>
        <w:spacing w:after="0" w:line="240" w:lineRule="auto"/>
        <w:ind w:right="90"/>
        <w:textAlignment w:val="baseline"/>
        <w:rPr>
          <w:rFonts w:eastAsia="Times New Roman" w:cs="Arial"/>
          <w:sz w:val="21"/>
          <w:szCs w:val="21"/>
          <w:lang w:val="es-ES"/>
        </w:rPr>
      </w:pPr>
    </w:p>
    <w:p w14:paraId="5EAE13CF" w14:textId="77777777" w:rsidR="002E0DE9" w:rsidRPr="00CA23D1" w:rsidRDefault="002E0DE9" w:rsidP="00C3638B">
      <w:pPr>
        <w:widowControl w:val="0"/>
        <w:suppressAutoHyphens/>
        <w:autoSpaceDE w:val="0"/>
        <w:autoSpaceDN w:val="0"/>
        <w:spacing w:after="0" w:line="240" w:lineRule="auto"/>
        <w:ind w:right="90"/>
        <w:textAlignment w:val="baseline"/>
        <w:rPr>
          <w:rFonts w:eastAsia="Times New Roman" w:cs="Arial"/>
          <w:sz w:val="21"/>
          <w:szCs w:val="21"/>
          <w:lang w:val="es-ES"/>
        </w:rPr>
      </w:pPr>
    </w:p>
    <w:p w14:paraId="573ADB04" w14:textId="77777777" w:rsidR="002E0DE9" w:rsidRPr="00CA23D1" w:rsidRDefault="002E0DE9" w:rsidP="00C3638B">
      <w:pPr>
        <w:widowControl w:val="0"/>
        <w:suppressAutoHyphens/>
        <w:autoSpaceDE w:val="0"/>
        <w:autoSpaceDN w:val="0"/>
        <w:spacing w:after="0" w:line="240" w:lineRule="auto"/>
        <w:ind w:right="90"/>
        <w:textAlignment w:val="baseline"/>
        <w:rPr>
          <w:rFonts w:eastAsia="Times New Roman" w:cs="Arial"/>
          <w:sz w:val="21"/>
          <w:szCs w:val="21"/>
          <w:lang w:val="es-ES"/>
        </w:rPr>
      </w:pPr>
    </w:p>
    <w:p w14:paraId="07F11B19" w14:textId="77777777" w:rsidR="002E0DE9" w:rsidRPr="00CA23D1" w:rsidRDefault="002E0DE9" w:rsidP="00C3638B">
      <w:pPr>
        <w:widowControl w:val="0"/>
        <w:suppressAutoHyphens/>
        <w:autoSpaceDE w:val="0"/>
        <w:autoSpaceDN w:val="0"/>
        <w:spacing w:after="0" w:line="240" w:lineRule="auto"/>
        <w:ind w:right="90"/>
        <w:textAlignment w:val="baseline"/>
        <w:rPr>
          <w:rFonts w:eastAsia="Times New Roman" w:cs="Arial"/>
          <w:sz w:val="21"/>
          <w:szCs w:val="21"/>
          <w:lang w:val="es-ES"/>
        </w:rPr>
      </w:pPr>
    </w:p>
    <w:p w14:paraId="47A93E1C" w14:textId="77777777" w:rsidR="002E0DE9" w:rsidRPr="00CA23D1" w:rsidRDefault="002E0DE9" w:rsidP="00C3638B">
      <w:pPr>
        <w:widowControl w:val="0"/>
        <w:suppressAutoHyphens/>
        <w:autoSpaceDE w:val="0"/>
        <w:autoSpaceDN w:val="0"/>
        <w:spacing w:after="0" w:line="240" w:lineRule="auto"/>
        <w:ind w:right="90"/>
        <w:textAlignment w:val="baseline"/>
        <w:rPr>
          <w:rFonts w:eastAsia="Times New Roman" w:cs="Arial"/>
          <w:sz w:val="21"/>
          <w:szCs w:val="21"/>
          <w:lang w:val="es-ES"/>
        </w:rPr>
      </w:pPr>
    </w:p>
    <w:p w14:paraId="42C0A292" w14:textId="77777777" w:rsidR="002E0DE9" w:rsidRPr="00CA23D1" w:rsidRDefault="002E0DE9" w:rsidP="00C3638B">
      <w:pPr>
        <w:widowControl w:val="0"/>
        <w:suppressAutoHyphens/>
        <w:autoSpaceDE w:val="0"/>
        <w:autoSpaceDN w:val="0"/>
        <w:spacing w:after="0" w:line="240" w:lineRule="auto"/>
        <w:ind w:right="90"/>
        <w:textAlignment w:val="baseline"/>
        <w:rPr>
          <w:rFonts w:eastAsia="Times New Roman" w:cs="Arial"/>
          <w:sz w:val="21"/>
          <w:szCs w:val="21"/>
          <w:lang w:val="es-ES"/>
        </w:rPr>
      </w:pPr>
    </w:p>
    <w:p w14:paraId="7329922E" w14:textId="77777777" w:rsidR="002E0DE9" w:rsidRPr="00CA23D1" w:rsidRDefault="002E0DE9" w:rsidP="00C3638B">
      <w:pPr>
        <w:widowControl w:val="0"/>
        <w:suppressAutoHyphens/>
        <w:autoSpaceDE w:val="0"/>
        <w:autoSpaceDN w:val="0"/>
        <w:spacing w:after="0" w:line="240" w:lineRule="auto"/>
        <w:ind w:right="90"/>
        <w:textAlignment w:val="baseline"/>
        <w:rPr>
          <w:rFonts w:eastAsia="Times New Roman" w:cs="Arial"/>
          <w:sz w:val="21"/>
          <w:szCs w:val="21"/>
          <w:lang w:val="es-ES"/>
        </w:rPr>
      </w:pPr>
    </w:p>
    <w:p w14:paraId="1CD9D211" w14:textId="77777777" w:rsidR="002E0DE9" w:rsidRPr="00CA23D1" w:rsidRDefault="002E0DE9" w:rsidP="00C3638B">
      <w:pPr>
        <w:widowControl w:val="0"/>
        <w:suppressAutoHyphens/>
        <w:autoSpaceDE w:val="0"/>
        <w:autoSpaceDN w:val="0"/>
        <w:spacing w:after="0" w:line="240" w:lineRule="auto"/>
        <w:ind w:right="90"/>
        <w:textAlignment w:val="baseline"/>
        <w:rPr>
          <w:rFonts w:eastAsia="Times New Roman" w:cs="Arial"/>
          <w:sz w:val="21"/>
          <w:szCs w:val="21"/>
          <w:lang w:val="es-ES"/>
        </w:rPr>
      </w:pPr>
    </w:p>
    <w:p w14:paraId="6B5CAA9E" w14:textId="77777777" w:rsidR="002E0DE9" w:rsidRPr="00CA23D1" w:rsidRDefault="002E0DE9" w:rsidP="00C3638B">
      <w:pPr>
        <w:widowControl w:val="0"/>
        <w:suppressAutoHyphens/>
        <w:autoSpaceDE w:val="0"/>
        <w:autoSpaceDN w:val="0"/>
        <w:spacing w:after="0" w:line="240" w:lineRule="auto"/>
        <w:ind w:right="90"/>
        <w:textAlignment w:val="baseline"/>
        <w:rPr>
          <w:rFonts w:eastAsia="Times New Roman" w:cs="Arial"/>
          <w:sz w:val="21"/>
          <w:szCs w:val="21"/>
          <w:lang w:val="es-ES"/>
        </w:rPr>
      </w:pPr>
    </w:p>
    <w:p w14:paraId="5D0A646F" w14:textId="77777777" w:rsidR="002E0DE9" w:rsidRPr="00CA23D1" w:rsidRDefault="002E0DE9" w:rsidP="00C3638B">
      <w:pPr>
        <w:widowControl w:val="0"/>
        <w:suppressAutoHyphens/>
        <w:autoSpaceDE w:val="0"/>
        <w:autoSpaceDN w:val="0"/>
        <w:spacing w:after="0" w:line="240" w:lineRule="auto"/>
        <w:ind w:right="90"/>
        <w:textAlignment w:val="baseline"/>
        <w:rPr>
          <w:rFonts w:eastAsia="Times New Roman" w:cs="Arial"/>
          <w:sz w:val="21"/>
          <w:szCs w:val="21"/>
          <w:lang w:val="es-ES"/>
        </w:rPr>
      </w:pPr>
    </w:p>
    <w:p w14:paraId="72BBEC09" w14:textId="77777777" w:rsidR="002E0DE9" w:rsidRPr="00CA23D1" w:rsidRDefault="002E0DE9" w:rsidP="00C3638B">
      <w:pPr>
        <w:widowControl w:val="0"/>
        <w:suppressAutoHyphens/>
        <w:autoSpaceDE w:val="0"/>
        <w:autoSpaceDN w:val="0"/>
        <w:spacing w:after="0" w:line="240" w:lineRule="auto"/>
        <w:ind w:right="90"/>
        <w:textAlignment w:val="baseline"/>
        <w:rPr>
          <w:rFonts w:eastAsia="Times New Roman" w:cs="Arial"/>
          <w:sz w:val="21"/>
          <w:szCs w:val="21"/>
          <w:lang w:val="es-ES"/>
        </w:rPr>
      </w:pPr>
    </w:p>
    <w:p w14:paraId="2E5AFCD2" w14:textId="77777777" w:rsidR="002E0DE9" w:rsidRPr="00CA23D1" w:rsidRDefault="002E0DE9" w:rsidP="00C3638B">
      <w:pPr>
        <w:widowControl w:val="0"/>
        <w:suppressAutoHyphens/>
        <w:autoSpaceDE w:val="0"/>
        <w:autoSpaceDN w:val="0"/>
        <w:spacing w:after="0" w:line="240" w:lineRule="auto"/>
        <w:ind w:right="90"/>
        <w:textAlignment w:val="baseline"/>
        <w:rPr>
          <w:rFonts w:eastAsia="Times New Roman" w:cs="Arial"/>
          <w:sz w:val="21"/>
          <w:szCs w:val="21"/>
          <w:lang w:val="es-ES"/>
        </w:rPr>
      </w:pPr>
    </w:p>
    <w:p w14:paraId="73A1DF53" w14:textId="77777777" w:rsidR="002E0DE9" w:rsidRPr="00CA23D1" w:rsidRDefault="002E0DE9" w:rsidP="00C3638B">
      <w:pPr>
        <w:widowControl w:val="0"/>
        <w:suppressAutoHyphens/>
        <w:autoSpaceDE w:val="0"/>
        <w:autoSpaceDN w:val="0"/>
        <w:spacing w:after="0" w:line="240" w:lineRule="auto"/>
        <w:ind w:right="90"/>
        <w:textAlignment w:val="baseline"/>
        <w:rPr>
          <w:rFonts w:eastAsia="Times New Roman" w:cs="Arial"/>
          <w:sz w:val="21"/>
          <w:szCs w:val="21"/>
          <w:lang w:val="es-ES"/>
        </w:rPr>
      </w:pPr>
    </w:p>
    <w:p w14:paraId="24016798" w14:textId="77777777" w:rsidR="002E0DE9" w:rsidRPr="00CA23D1" w:rsidRDefault="002E0DE9" w:rsidP="00C3638B">
      <w:pPr>
        <w:widowControl w:val="0"/>
        <w:suppressAutoHyphens/>
        <w:autoSpaceDE w:val="0"/>
        <w:autoSpaceDN w:val="0"/>
        <w:spacing w:after="0" w:line="240" w:lineRule="auto"/>
        <w:ind w:right="90"/>
        <w:textAlignment w:val="baseline"/>
        <w:rPr>
          <w:rFonts w:eastAsia="Times New Roman" w:cs="Arial"/>
          <w:sz w:val="21"/>
          <w:szCs w:val="21"/>
          <w:lang w:val="es-ES"/>
        </w:rPr>
      </w:pPr>
    </w:p>
    <w:p w14:paraId="64EFF02F" w14:textId="77777777" w:rsidR="002E0DE9" w:rsidRPr="00CA23D1" w:rsidRDefault="002E0DE9" w:rsidP="00C3638B">
      <w:pPr>
        <w:widowControl w:val="0"/>
        <w:suppressAutoHyphens/>
        <w:autoSpaceDE w:val="0"/>
        <w:autoSpaceDN w:val="0"/>
        <w:spacing w:after="0" w:line="240" w:lineRule="auto"/>
        <w:ind w:right="90"/>
        <w:textAlignment w:val="baseline"/>
        <w:rPr>
          <w:rFonts w:eastAsia="Times New Roman" w:cs="Arial"/>
          <w:sz w:val="21"/>
          <w:szCs w:val="21"/>
          <w:lang w:val="es-ES"/>
        </w:rPr>
      </w:pPr>
    </w:p>
    <w:p w14:paraId="63DE1D3A" w14:textId="77777777" w:rsidR="002E0DE9" w:rsidRPr="00CA23D1" w:rsidRDefault="002E0DE9" w:rsidP="00C3638B">
      <w:pPr>
        <w:widowControl w:val="0"/>
        <w:suppressAutoHyphens/>
        <w:autoSpaceDE w:val="0"/>
        <w:autoSpaceDN w:val="0"/>
        <w:spacing w:after="0" w:line="240" w:lineRule="auto"/>
        <w:ind w:right="90"/>
        <w:textAlignment w:val="baseline"/>
        <w:rPr>
          <w:rFonts w:eastAsia="Times New Roman" w:cs="Arial"/>
          <w:sz w:val="21"/>
          <w:szCs w:val="21"/>
          <w:lang w:val="es-ES"/>
        </w:rPr>
      </w:pPr>
    </w:p>
    <w:p w14:paraId="5B143853" w14:textId="77777777" w:rsidR="002E0DE9" w:rsidRPr="00CA23D1" w:rsidRDefault="002E0DE9" w:rsidP="00C3638B">
      <w:pPr>
        <w:widowControl w:val="0"/>
        <w:suppressAutoHyphens/>
        <w:autoSpaceDE w:val="0"/>
        <w:autoSpaceDN w:val="0"/>
        <w:spacing w:after="0" w:line="240" w:lineRule="auto"/>
        <w:ind w:right="90"/>
        <w:textAlignment w:val="baseline"/>
        <w:rPr>
          <w:rFonts w:eastAsia="Times New Roman" w:cs="Arial"/>
          <w:sz w:val="21"/>
          <w:szCs w:val="21"/>
          <w:lang w:val="es-ES"/>
        </w:rPr>
      </w:pPr>
    </w:p>
    <w:p w14:paraId="31C1A477" w14:textId="77777777" w:rsidR="002E0DE9" w:rsidRPr="00CA23D1" w:rsidRDefault="002E0DE9" w:rsidP="00C3638B">
      <w:pPr>
        <w:widowControl w:val="0"/>
        <w:tabs>
          <w:tab w:val="left" w:pos="7245"/>
        </w:tabs>
        <w:suppressAutoHyphens/>
        <w:autoSpaceDE w:val="0"/>
        <w:autoSpaceDN w:val="0"/>
        <w:spacing w:after="0" w:line="240" w:lineRule="auto"/>
        <w:ind w:right="90"/>
        <w:textAlignment w:val="baseline"/>
        <w:rPr>
          <w:rFonts w:eastAsia="Times New Roman" w:cs="Arial"/>
          <w:sz w:val="21"/>
          <w:szCs w:val="21"/>
          <w:lang w:val="es-ES"/>
        </w:rPr>
      </w:pPr>
    </w:p>
    <w:p w14:paraId="6CCF3AAD" w14:textId="77777777" w:rsidR="002E0DE9" w:rsidRPr="00CA23D1" w:rsidRDefault="002E0DE9" w:rsidP="00C3638B">
      <w:pPr>
        <w:widowControl w:val="0"/>
        <w:suppressAutoHyphens/>
        <w:autoSpaceDE w:val="0"/>
        <w:autoSpaceDN w:val="0"/>
        <w:spacing w:after="0" w:line="240" w:lineRule="auto"/>
        <w:ind w:right="90"/>
        <w:textAlignment w:val="baseline"/>
        <w:rPr>
          <w:rFonts w:eastAsia="Times New Roman" w:cs="Arial"/>
          <w:lang w:val="es-ES"/>
        </w:rPr>
      </w:pPr>
    </w:p>
    <w:p w14:paraId="650AE9B2" w14:textId="77777777" w:rsidR="002E0DE9" w:rsidRPr="00CA23D1" w:rsidRDefault="002E0DE9" w:rsidP="00C3638B">
      <w:pPr>
        <w:widowControl w:val="0"/>
        <w:suppressAutoHyphens/>
        <w:autoSpaceDE w:val="0"/>
        <w:autoSpaceDN w:val="0"/>
        <w:spacing w:after="0" w:line="240" w:lineRule="auto"/>
        <w:ind w:right="90"/>
        <w:textAlignment w:val="baseline"/>
        <w:rPr>
          <w:rFonts w:eastAsia="Times New Roman" w:cs="Arial"/>
          <w:lang w:val="es-ES"/>
        </w:rPr>
      </w:pPr>
    </w:p>
    <w:p w14:paraId="6EB42C66" w14:textId="77777777" w:rsidR="005330F7" w:rsidRPr="00CA23D1" w:rsidRDefault="005330F7" w:rsidP="00C3638B">
      <w:pPr>
        <w:spacing w:after="0" w:line="240" w:lineRule="auto"/>
        <w:ind w:right="90"/>
        <w:rPr>
          <w:lang w:val="es-ES"/>
        </w:rPr>
      </w:pPr>
    </w:p>
    <w:p w14:paraId="111843FD" w14:textId="77777777" w:rsidR="002E0DE9" w:rsidRPr="00CA23D1" w:rsidRDefault="002E0DE9" w:rsidP="00C3638B">
      <w:pPr>
        <w:spacing w:after="0" w:line="240" w:lineRule="auto"/>
        <w:ind w:right="90"/>
        <w:rPr>
          <w:lang w:val="es-ES"/>
        </w:rPr>
      </w:pPr>
    </w:p>
    <w:p w14:paraId="6AF4E8FF" w14:textId="77777777" w:rsidR="002E0DE9" w:rsidRPr="00CA23D1" w:rsidRDefault="002E0DE9" w:rsidP="00C3638B">
      <w:pPr>
        <w:spacing w:after="0" w:line="240" w:lineRule="auto"/>
        <w:ind w:right="90"/>
        <w:rPr>
          <w:lang w:val="es-ES"/>
        </w:rPr>
      </w:pPr>
    </w:p>
    <w:p w14:paraId="509B5F4B" w14:textId="77777777" w:rsidR="002E0DE9" w:rsidRPr="00CA23D1" w:rsidRDefault="002E0DE9" w:rsidP="00C3638B">
      <w:pPr>
        <w:spacing w:after="0" w:line="240" w:lineRule="auto"/>
        <w:ind w:right="90"/>
        <w:rPr>
          <w:lang w:val="es-ES"/>
        </w:rPr>
      </w:pPr>
    </w:p>
    <w:p w14:paraId="73A3A65F" w14:textId="77777777" w:rsidR="00661875" w:rsidRPr="00CA23D1" w:rsidRDefault="00661875" w:rsidP="00C3638B">
      <w:pPr>
        <w:spacing w:after="0" w:line="240" w:lineRule="auto"/>
        <w:ind w:right="90"/>
        <w:rPr>
          <w:lang w:val="es-ES"/>
        </w:rPr>
        <w:sectPr w:rsidR="00661875" w:rsidRPr="00CA23D1" w:rsidSect="00A618B3">
          <w:headerReference w:type="even" r:id="rId12"/>
          <w:headerReference w:type="default" r:id="rId13"/>
          <w:footerReference w:type="even" r:id="rId14"/>
          <w:footerReference w:type="default" r:id="rId15"/>
          <w:headerReference w:type="first" r:id="rId16"/>
          <w:footerReference w:type="first" r:id="rId17"/>
          <w:pgSz w:w="11906" w:h="16838" w:code="9"/>
          <w:pgMar w:top="1440" w:right="1440" w:bottom="1440" w:left="1440" w:header="720" w:footer="720" w:gutter="0"/>
          <w:cols w:space="720"/>
          <w:titlePg/>
          <w:docGrid w:linePitch="360"/>
        </w:sectPr>
      </w:pPr>
    </w:p>
    <w:p w14:paraId="0CA912E4" w14:textId="77777777" w:rsidR="000A2076" w:rsidRPr="00CA23D1" w:rsidRDefault="000A2076" w:rsidP="00C3638B">
      <w:pPr>
        <w:ind w:right="90"/>
        <w:jc w:val="center"/>
        <w:rPr>
          <w:b/>
          <w:bCs/>
          <w:lang w:val="es-ES"/>
        </w:rPr>
      </w:pPr>
      <w:r w:rsidRPr="00CA23D1">
        <w:rPr>
          <w:b/>
          <w:bCs/>
          <w:lang w:val="es-ES"/>
        </w:rPr>
        <w:lastRenderedPageBreak/>
        <w:t>COLISIONES CON EMBARCACIONES</w:t>
      </w:r>
    </w:p>
    <w:p w14:paraId="0DCB8F07" w14:textId="77777777" w:rsidR="002E0DE9" w:rsidRPr="00CA23D1" w:rsidRDefault="002E0DE9" w:rsidP="00C3638B">
      <w:pPr>
        <w:suppressAutoHyphens/>
        <w:autoSpaceDN w:val="0"/>
        <w:spacing w:after="0" w:line="240" w:lineRule="auto"/>
        <w:ind w:right="90"/>
        <w:textAlignment w:val="baseline"/>
        <w:rPr>
          <w:rFonts w:eastAsia="Calibri" w:cs="Arial"/>
          <w:lang w:val="es-ES"/>
        </w:rPr>
      </w:pPr>
    </w:p>
    <w:p w14:paraId="4A0F002D" w14:textId="77777777" w:rsidR="00661875" w:rsidRPr="00CA23D1" w:rsidRDefault="00661875" w:rsidP="00C3638B">
      <w:pPr>
        <w:suppressAutoHyphens/>
        <w:autoSpaceDN w:val="0"/>
        <w:spacing w:after="0" w:line="240" w:lineRule="auto"/>
        <w:ind w:right="90"/>
        <w:textAlignment w:val="baseline"/>
        <w:rPr>
          <w:rFonts w:eastAsia="Calibri" w:cs="Arial"/>
          <w:lang w:val="es-ES"/>
        </w:rPr>
      </w:pPr>
    </w:p>
    <w:p w14:paraId="3C86903F" w14:textId="77777777" w:rsidR="002E0DE9" w:rsidRPr="00CA23D1" w:rsidRDefault="002E0DE9" w:rsidP="00C3638B">
      <w:pPr>
        <w:suppressAutoHyphens/>
        <w:autoSpaceDN w:val="0"/>
        <w:spacing w:after="0" w:line="240" w:lineRule="auto"/>
        <w:ind w:right="90"/>
        <w:textAlignment w:val="baseline"/>
        <w:rPr>
          <w:rFonts w:eastAsia="Calibri" w:cs="Arial"/>
          <w:u w:val="single"/>
          <w:lang w:val="es-ES"/>
        </w:rPr>
      </w:pPr>
      <w:r w:rsidRPr="00CA23D1">
        <w:rPr>
          <w:rFonts w:eastAsia="Calibri" w:cs="Arial"/>
          <w:u w:val="single"/>
          <w:lang w:val="es-ES"/>
        </w:rPr>
        <w:t>Antecedentes</w:t>
      </w:r>
    </w:p>
    <w:p w14:paraId="0D76DFF6" w14:textId="6B96A9EE" w:rsidR="00C077B9" w:rsidRPr="00CA23D1" w:rsidRDefault="00C077B9" w:rsidP="003A2F77">
      <w:pPr>
        <w:widowControl w:val="0"/>
        <w:autoSpaceDE w:val="0"/>
        <w:autoSpaceDN w:val="0"/>
        <w:adjustRightInd w:val="0"/>
        <w:spacing w:after="0" w:line="240" w:lineRule="auto"/>
        <w:ind w:left="567" w:right="90"/>
        <w:jc w:val="both"/>
        <w:rPr>
          <w:rFonts w:cs="Arial"/>
          <w:lang w:val="es-ES"/>
        </w:rPr>
      </w:pPr>
    </w:p>
    <w:p w14:paraId="71EEA8BA" w14:textId="0C7E22F2" w:rsidR="00714DD0" w:rsidRPr="00CA23D1" w:rsidRDefault="00714DD0" w:rsidP="00A618B3">
      <w:pPr>
        <w:widowControl w:val="0"/>
        <w:numPr>
          <w:ilvl w:val="0"/>
          <w:numId w:val="6"/>
        </w:numPr>
        <w:autoSpaceDE w:val="0"/>
        <w:autoSpaceDN w:val="0"/>
        <w:adjustRightInd w:val="0"/>
        <w:spacing w:after="0" w:line="240" w:lineRule="auto"/>
        <w:ind w:left="540" w:right="90" w:hanging="540"/>
        <w:jc w:val="both"/>
        <w:rPr>
          <w:rFonts w:cs="Arial"/>
          <w:lang w:val="es-ES"/>
        </w:rPr>
      </w:pPr>
      <w:r w:rsidRPr="00CA23D1">
        <w:rPr>
          <w:rFonts w:cs="Arial"/>
          <w:lang w:val="es-ES"/>
        </w:rPr>
        <w:t>El impacto de las colisiones con embarcaciones (a menudo denominadas colisiones con barcos</w:t>
      </w:r>
      <w:r w:rsidR="00C077B9" w:rsidRPr="00CA23D1">
        <w:rPr>
          <w:rStyle w:val="FootnoteReference"/>
          <w:rFonts w:cs="Arial"/>
          <w:lang w:val="es-ES"/>
        </w:rPr>
        <w:footnoteReference w:id="2"/>
      </w:r>
      <w:r w:rsidRPr="00CA23D1">
        <w:rPr>
          <w:rFonts w:cs="Arial"/>
          <w:lang w:val="es-ES"/>
        </w:rPr>
        <w:t>) sobre la megafauna marina es una preocupación creciente debido al uso generalizado y cada vez mayor de los océanos del mundo por parte de embarcaciones comerciales, recreativas y de otro tipo.</w:t>
      </w:r>
      <w:r w:rsidR="004E030C" w:rsidRPr="00CA23D1">
        <w:rPr>
          <w:rStyle w:val="FootnoteReference"/>
          <w:rFonts w:cs="Arial"/>
          <w:lang w:val="es-ES"/>
        </w:rPr>
        <w:footnoteReference w:id="3"/>
      </w:r>
      <w:r w:rsidRPr="00CA23D1">
        <w:rPr>
          <w:rFonts w:cs="Arial"/>
          <w:lang w:val="es-ES"/>
        </w:rPr>
        <w:t xml:space="preserve"> En vistas de ello, es fundamental que las Partes emprendan acciones que tengan como objetivo obtener un conocimiento más profundo de los efectos adversos de las colisiones de las embarcaciones con las especies migratorias marinas. Además, es crucial salvaguardar la megafauna marina incluida en la CMS, como los mamíferos marinos, las tortugas marinas, los tiburones y las rayas, implementando medidas para prevenir las colisiones con todo tipo de embarcaciones.</w:t>
      </w:r>
    </w:p>
    <w:p w14:paraId="5039EA1B" w14:textId="77777777" w:rsidR="00226A80" w:rsidRPr="00CA23D1" w:rsidRDefault="00226A80" w:rsidP="00A618B3">
      <w:pPr>
        <w:widowControl w:val="0"/>
        <w:autoSpaceDE w:val="0"/>
        <w:autoSpaceDN w:val="0"/>
        <w:adjustRightInd w:val="0"/>
        <w:spacing w:after="0" w:line="240" w:lineRule="auto"/>
        <w:ind w:left="540" w:right="90" w:hanging="540"/>
        <w:jc w:val="both"/>
        <w:rPr>
          <w:rFonts w:cs="Arial"/>
          <w:lang w:val="es-ES"/>
        </w:rPr>
      </w:pPr>
    </w:p>
    <w:p w14:paraId="30C68A5F" w14:textId="01B3534C" w:rsidR="00575E04" w:rsidRPr="00CA23D1" w:rsidRDefault="005A69C0" w:rsidP="00A618B3">
      <w:pPr>
        <w:widowControl w:val="0"/>
        <w:numPr>
          <w:ilvl w:val="0"/>
          <w:numId w:val="6"/>
        </w:numPr>
        <w:autoSpaceDE w:val="0"/>
        <w:autoSpaceDN w:val="0"/>
        <w:adjustRightInd w:val="0"/>
        <w:spacing w:after="0" w:line="240" w:lineRule="auto"/>
        <w:ind w:left="540" w:right="90" w:hanging="540"/>
        <w:jc w:val="both"/>
        <w:rPr>
          <w:rFonts w:cs="Arial"/>
          <w:lang w:val="es-ES"/>
        </w:rPr>
      </w:pPr>
      <w:r w:rsidRPr="00CA23D1">
        <w:rPr>
          <w:rFonts w:cs="Arial"/>
          <w:lang w:val="es-ES"/>
        </w:rPr>
        <w:t>Las colisiones con embarcaciones pueden ocasionar lesiones graves o incluso mortales a los animales marinos. Las grandes embarcaciones que navegan a gran velocidad pueden ser difíciles de esquivar por la megafauna marina. El ruido generado por las embarcaciones se proyecta generalmente transversalmente y hacia atrás, lo que dificulta que las especies marinas detecten a tiempo a las que se aproximan.</w:t>
      </w:r>
    </w:p>
    <w:p w14:paraId="6C89FD81" w14:textId="4886B1C1" w:rsidR="008F5BD0" w:rsidRPr="00CA23D1" w:rsidRDefault="008F5BD0" w:rsidP="00A618B3">
      <w:pPr>
        <w:widowControl w:val="0"/>
        <w:autoSpaceDE w:val="0"/>
        <w:autoSpaceDN w:val="0"/>
        <w:adjustRightInd w:val="0"/>
        <w:spacing w:after="0" w:line="240" w:lineRule="auto"/>
        <w:ind w:left="540" w:right="90" w:hanging="540"/>
        <w:jc w:val="both"/>
        <w:rPr>
          <w:rFonts w:cs="Arial"/>
          <w:lang w:val="es-ES"/>
        </w:rPr>
      </w:pPr>
    </w:p>
    <w:p w14:paraId="27F9E892" w14:textId="58DD0D5D" w:rsidR="009A523C" w:rsidRPr="00CA23D1" w:rsidRDefault="008D6124" w:rsidP="00A618B3">
      <w:pPr>
        <w:widowControl w:val="0"/>
        <w:numPr>
          <w:ilvl w:val="0"/>
          <w:numId w:val="6"/>
        </w:numPr>
        <w:autoSpaceDE w:val="0"/>
        <w:autoSpaceDN w:val="0"/>
        <w:adjustRightInd w:val="0"/>
        <w:spacing w:after="0" w:line="240" w:lineRule="auto"/>
        <w:ind w:left="540" w:right="90" w:hanging="540"/>
        <w:jc w:val="both"/>
        <w:rPr>
          <w:rFonts w:cs="Arial"/>
          <w:lang w:val="es-ES"/>
        </w:rPr>
      </w:pPr>
      <w:r w:rsidRPr="00CA23D1">
        <w:rPr>
          <w:rFonts w:cs="Arial"/>
          <w:lang w:val="es-ES"/>
        </w:rPr>
        <w:t>Los cetáceos se encuentran en riesgo de colisión con las embarcaciones, especialmente, en las áreas donde se alimentan y se reproducen. Parece haber una muy escasa – o tardía – respuesta conductual ante la aproximación de las embarcaciones. Las colisiones pueden ocasionar lesiones graves en cetáceos grandes y pequeños, como fracturas en los huesos y daños internos, que a menudo provocan la muerte. Se han infligido lesiones graves, e incluso mortales, en los cetáceos</w:t>
      </w:r>
      <w:r w:rsidR="008F5BD0" w:rsidRPr="00CA23D1">
        <w:rPr>
          <w:color w:val="FF0000"/>
          <w:lang w:val="es-ES"/>
        </w:rPr>
        <w:t xml:space="preserve"> </w:t>
      </w:r>
      <w:r w:rsidRPr="00CA23D1">
        <w:rPr>
          <w:rFonts w:cs="Arial"/>
          <w:lang w:val="es-ES"/>
        </w:rPr>
        <w:t>por parte de transbordadores, barcos de avistamientos de cetáceos, embarcaciones recreativas y por otros buques.</w:t>
      </w:r>
    </w:p>
    <w:p w14:paraId="021EE2C5" w14:textId="77777777" w:rsidR="009A523C" w:rsidRPr="00CA23D1" w:rsidRDefault="009A523C" w:rsidP="00A618B3">
      <w:pPr>
        <w:widowControl w:val="0"/>
        <w:autoSpaceDE w:val="0"/>
        <w:autoSpaceDN w:val="0"/>
        <w:adjustRightInd w:val="0"/>
        <w:spacing w:after="0" w:line="240" w:lineRule="auto"/>
        <w:ind w:left="540" w:right="90" w:hanging="540"/>
        <w:jc w:val="both"/>
        <w:rPr>
          <w:rFonts w:cs="Arial"/>
          <w:lang w:val="es-ES"/>
        </w:rPr>
      </w:pPr>
    </w:p>
    <w:p w14:paraId="5D3F5B0B" w14:textId="79E1712F" w:rsidR="00C1758C" w:rsidRPr="00CA23D1" w:rsidRDefault="00C1758C" w:rsidP="00A618B3">
      <w:pPr>
        <w:widowControl w:val="0"/>
        <w:numPr>
          <w:ilvl w:val="0"/>
          <w:numId w:val="6"/>
        </w:numPr>
        <w:spacing w:after="0" w:line="240" w:lineRule="auto"/>
        <w:ind w:left="540" w:right="90" w:hanging="540"/>
        <w:jc w:val="both"/>
        <w:rPr>
          <w:rFonts w:cs="Arial"/>
          <w:lang w:val="es-ES"/>
        </w:rPr>
      </w:pPr>
      <w:r w:rsidRPr="00CA23D1">
        <w:rPr>
          <w:rFonts w:cs="Arial"/>
          <w:lang w:val="es-ES"/>
        </w:rPr>
        <w:t xml:space="preserve">Los sirenios son vulnerables a las colisiones con embarcaciones debido a que son de un gran tamaño y a que se desplazan lentamente, a que regularmente emergen a la superficie para respirar y a que viven en aguas poco profundas en torno a las praderas marinas. Los estudios han demostrado que la gran mayoría de los manatíes antillanos </w:t>
      </w:r>
      <w:r w:rsidR="007C393D" w:rsidRPr="00CA23D1">
        <w:rPr>
          <w:rFonts w:cs="Arial"/>
          <w:i/>
          <w:iCs/>
          <w:lang w:val="es-ES"/>
        </w:rPr>
        <w:t>(</w:t>
      </w:r>
      <w:proofErr w:type="spellStart"/>
      <w:r w:rsidR="007C393D" w:rsidRPr="00CA23D1">
        <w:rPr>
          <w:rFonts w:cs="Arial"/>
          <w:i/>
          <w:iCs/>
          <w:lang w:val="es-ES"/>
        </w:rPr>
        <w:t>Trichechus</w:t>
      </w:r>
      <w:proofErr w:type="spellEnd"/>
      <w:r w:rsidR="007C393D" w:rsidRPr="00CA23D1">
        <w:rPr>
          <w:rFonts w:cs="Arial"/>
          <w:i/>
          <w:iCs/>
          <w:lang w:val="es-ES"/>
        </w:rPr>
        <w:t xml:space="preserve"> </w:t>
      </w:r>
      <w:proofErr w:type="spellStart"/>
      <w:r w:rsidR="007C393D" w:rsidRPr="00CA23D1">
        <w:rPr>
          <w:rFonts w:cs="Arial"/>
          <w:i/>
          <w:iCs/>
          <w:lang w:val="es-ES"/>
        </w:rPr>
        <w:t>manatus</w:t>
      </w:r>
      <w:proofErr w:type="spellEnd"/>
      <w:r w:rsidR="007C393D" w:rsidRPr="00CA23D1">
        <w:rPr>
          <w:rFonts w:cs="Arial"/>
          <w:i/>
          <w:iCs/>
          <w:lang w:val="es-ES"/>
        </w:rPr>
        <w:t>)</w:t>
      </w:r>
      <w:r w:rsidRPr="00CA23D1">
        <w:rPr>
          <w:rFonts w:cs="Arial"/>
          <w:lang w:val="es-ES"/>
        </w:rPr>
        <w:t xml:space="preserve"> tienen múltiples cicatrices derivadas de las colisiones con embarcaciones, y que los manatíes de Florida están probablemente sometidos a más colisiones subletales que cualquier otro mamífero. Las colisiones con embarcaciones también suponen un riesgo significativo para los dugongos. En muchas partes del mundo, son la segunda causa más común de mortalidad de estos animales derivada de las interacciones directas con humanos, después de la captura incidental en redes de pesca.</w:t>
      </w:r>
    </w:p>
    <w:p w14:paraId="5436F6CA" w14:textId="77777777" w:rsidR="00C1758C" w:rsidRPr="00CA23D1" w:rsidRDefault="00C1758C" w:rsidP="00A618B3">
      <w:pPr>
        <w:widowControl w:val="0"/>
        <w:spacing w:after="0" w:line="240" w:lineRule="auto"/>
        <w:ind w:left="540" w:right="90" w:hanging="540"/>
        <w:jc w:val="both"/>
        <w:rPr>
          <w:rFonts w:cs="Arial"/>
          <w:lang w:val="es-ES"/>
        </w:rPr>
      </w:pPr>
    </w:p>
    <w:p w14:paraId="40D726A6" w14:textId="2CCBE20A" w:rsidR="00DE5203" w:rsidRPr="00CA23D1" w:rsidRDefault="00DE5203" w:rsidP="00A618B3">
      <w:pPr>
        <w:widowControl w:val="0"/>
        <w:numPr>
          <w:ilvl w:val="0"/>
          <w:numId w:val="6"/>
        </w:numPr>
        <w:autoSpaceDE w:val="0"/>
        <w:autoSpaceDN w:val="0"/>
        <w:adjustRightInd w:val="0"/>
        <w:spacing w:after="0" w:line="240" w:lineRule="auto"/>
        <w:ind w:left="540" w:right="90" w:hanging="540"/>
        <w:jc w:val="both"/>
        <w:rPr>
          <w:rFonts w:cs="Arial"/>
          <w:lang w:val="es-ES"/>
        </w:rPr>
      </w:pPr>
      <w:r w:rsidRPr="00CA23D1">
        <w:rPr>
          <w:rFonts w:cs="Arial"/>
          <w:lang w:val="es-ES"/>
        </w:rPr>
        <w:t xml:space="preserve">Las tortugas marinas también son muy vulnerables a ser golpeadas por embarcaciones que transitan por la zona, ya que se mueven lentamente y emergen a la superficie para respirar. Además, las tortugas marinas migran a través de rutas marítimas y se suelen encontrar en zonas costeras donde hay mucho tráfico de embarcaciones. Las </w:t>
      </w:r>
      <w:r w:rsidRPr="00CA23D1">
        <w:rPr>
          <w:rFonts w:cs="Arial"/>
          <w:lang w:val="es-ES"/>
        </w:rPr>
        <w:lastRenderedPageBreak/>
        <w:t>colisiones les pueden ocasionar lesiones graves, como fracturas en el caparazón y daños internos, que pueden afectar a su capacidad de supervivencia y de reproducción.</w:t>
      </w:r>
    </w:p>
    <w:p w14:paraId="0E26FE42" w14:textId="77777777" w:rsidR="00DE5203" w:rsidRPr="00CA23D1" w:rsidRDefault="00DE5203" w:rsidP="00A618B3">
      <w:pPr>
        <w:widowControl w:val="0"/>
        <w:autoSpaceDE w:val="0"/>
        <w:autoSpaceDN w:val="0"/>
        <w:adjustRightInd w:val="0"/>
        <w:spacing w:after="0" w:line="240" w:lineRule="auto"/>
        <w:ind w:left="540" w:right="90" w:hanging="540"/>
        <w:jc w:val="both"/>
        <w:rPr>
          <w:rFonts w:cs="Arial"/>
          <w:lang w:val="es-ES"/>
        </w:rPr>
      </w:pPr>
    </w:p>
    <w:p w14:paraId="368FA96A" w14:textId="0358EA51" w:rsidR="00DE5203" w:rsidRPr="00CA23D1" w:rsidRDefault="00DE5203" w:rsidP="00A618B3">
      <w:pPr>
        <w:widowControl w:val="0"/>
        <w:numPr>
          <w:ilvl w:val="0"/>
          <w:numId w:val="6"/>
        </w:numPr>
        <w:autoSpaceDE w:val="0"/>
        <w:autoSpaceDN w:val="0"/>
        <w:adjustRightInd w:val="0"/>
        <w:spacing w:after="0" w:line="240" w:lineRule="auto"/>
        <w:ind w:left="540" w:right="90" w:hanging="540"/>
        <w:jc w:val="both"/>
        <w:rPr>
          <w:rFonts w:cs="Arial"/>
          <w:lang w:val="es-ES"/>
        </w:rPr>
      </w:pPr>
      <w:r w:rsidRPr="00CA23D1">
        <w:rPr>
          <w:rFonts w:cs="Arial"/>
          <w:lang w:val="es-ES"/>
        </w:rPr>
        <w:t xml:space="preserve">Los tiburones de gran tamaño y las rayas, en particular las especies que se alimentan por filtración, como el tiburón peregrino, el tiburón ballena y los </w:t>
      </w:r>
      <w:proofErr w:type="spellStart"/>
      <w:r w:rsidRPr="00CA23D1">
        <w:rPr>
          <w:rFonts w:cs="Arial"/>
          <w:lang w:val="es-ES"/>
        </w:rPr>
        <w:t>mobúlidos</w:t>
      </w:r>
      <w:proofErr w:type="spellEnd"/>
      <w:r w:rsidRPr="00CA23D1">
        <w:rPr>
          <w:rFonts w:cs="Arial"/>
          <w:lang w:val="es-ES"/>
        </w:rPr>
        <w:t>, que están gran parte de su tiempo alimentándose en la superficie, también son vulnerables a las colisiones con embarcaciones, sobre todo en zonas en las que las concentraciones de alimento o de apareamiento coinciden con altos niveles de actividad por embarcaciones. Las lesiones graves o la muerte causada por las colisiones puede</w:t>
      </w:r>
      <w:r w:rsidR="0073086A" w:rsidRPr="00CA23D1">
        <w:rPr>
          <w:rFonts w:cs="Arial"/>
          <w:lang w:val="es-ES"/>
        </w:rPr>
        <w:t>n</w:t>
      </w:r>
      <w:r w:rsidRPr="00CA23D1">
        <w:rPr>
          <w:rFonts w:cs="Arial"/>
          <w:lang w:val="es-ES"/>
        </w:rPr>
        <w:t xml:space="preserve"> tener un impacto significativo sobre estas especies.</w:t>
      </w:r>
    </w:p>
    <w:p w14:paraId="21E8ED6F" w14:textId="77777777" w:rsidR="00EB670C" w:rsidRPr="00CA23D1" w:rsidRDefault="00EB670C" w:rsidP="00A618B3">
      <w:pPr>
        <w:spacing w:after="0" w:line="240" w:lineRule="auto"/>
        <w:ind w:left="540" w:right="91" w:hanging="540"/>
        <w:jc w:val="both"/>
        <w:rPr>
          <w:rFonts w:cs="Arial"/>
          <w:u w:val="single"/>
          <w:lang w:val="es-ES"/>
        </w:rPr>
      </w:pPr>
    </w:p>
    <w:p w14:paraId="7658FF41" w14:textId="16CF186E" w:rsidR="008A7053" w:rsidRPr="00CA23D1" w:rsidRDefault="008A7053" w:rsidP="00A618B3">
      <w:pPr>
        <w:spacing w:after="0" w:line="240" w:lineRule="auto"/>
        <w:ind w:left="540" w:right="91" w:hanging="540"/>
        <w:jc w:val="both"/>
        <w:rPr>
          <w:rFonts w:cs="Arial"/>
          <w:u w:val="single"/>
          <w:lang w:val="es-ES"/>
        </w:rPr>
      </w:pPr>
      <w:r w:rsidRPr="00CA23D1">
        <w:rPr>
          <w:rFonts w:cs="Arial"/>
          <w:u w:val="single"/>
          <w:lang w:val="es-ES"/>
        </w:rPr>
        <w:t xml:space="preserve">Papel de </w:t>
      </w:r>
      <w:r w:rsidR="00D52787" w:rsidRPr="00CA23D1">
        <w:rPr>
          <w:rFonts w:cs="Arial"/>
          <w:u w:val="single"/>
          <w:lang w:val="es-ES"/>
        </w:rPr>
        <w:t>la Organización Marina Internacional en la reducción de las colisiones con embarcaciones</w:t>
      </w:r>
    </w:p>
    <w:p w14:paraId="4F454C23" w14:textId="77777777" w:rsidR="008A7053" w:rsidRPr="00CA23D1" w:rsidRDefault="008A7053" w:rsidP="00A618B3">
      <w:pPr>
        <w:widowControl w:val="0"/>
        <w:autoSpaceDE w:val="0"/>
        <w:autoSpaceDN w:val="0"/>
        <w:adjustRightInd w:val="0"/>
        <w:spacing w:after="0" w:line="240" w:lineRule="auto"/>
        <w:ind w:left="540" w:right="91" w:hanging="540"/>
        <w:jc w:val="both"/>
        <w:rPr>
          <w:rFonts w:cs="Arial"/>
          <w:highlight w:val="yellow"/>
          <w:lang w:val="es-ES"/>
        </w:rPr>
      </w:pPr>
    </w:p>
    <w:p w14:paraId="3086A75E" w14:textId="474FFEE3" w:rsidR="008A7053" w:rsidRPr="00CA23D1" w:rsidRDefault="008A7053" w:rsidP="00A618B3">
      <w:pPr>
        <w:widowControl w:val="0"/>
        <w:numPr>
          <w:ilvl w:val="0"/>
          <w:numId w:val="6"/>
        </w:numPr>
        <w:autoSpaceDE w:val="0"/>
        <w:autoSpaceDN w:val="0"/>
        <w:adjustRightInd w:val="0"/>
        <w:spacing w:after="0" w:line="240" w:lineRule="auto"/>
        <w:ind w:left="540" w:right="90" w:hanging="540"/>
        <w:jc w:val="both"/>
        <w:rPr>
          <w:rFonts w:cs="Arial"/>
          <w:lang w:val="es-ES"/>
        </w:rPr>
      </w:pPr>
      <w:r w:rsidRPr="00CA23D1">
        <w:rPr>
          <w:rFonts w:cs="Arial"/>
          <w:lang w:val="es-ES"/>
        </w:rPr>
        <w:t xml:space="preserve">La Organización Marítima Internacional (OMI) es un organismo especializado de las Naciones Unidas encargado de promover un transporte marítimo seguro y respetuoso con el medio ambiente. Aunque la OMI </w:t>
      </w:r>
      <w:proofErr w:type="gramStart"/>
      <w:r w:rsidRPr="00CA23D1">
        <w:rPr>
          <w:rFonts w:cs="Arial"/>
          <w:lang w:val="es-ES"/>
        </w:rPr>
        <w:t>se centra principalmente en</w:t>
      </w:r>
      <w:proofErr w:type="gramEnd"/>
      <w:r w:rsidRPr="00CA23D1">
        <w:rPr>
          <w:rFonts w:cs="Arial"/>
          <w:lang w:val="es-ES"/>
        </w:rPr>
        <w:t xml:space="preserve"> la seguridad marítima, también desempeña un papel en la protección del medio ambiente marino y en la conservación de especies marinas vulnerables. Proporciona directrices para garantizar que las actividades del transporte marítimo se lleven a cabo de forma sostenible y responsable, minimizando al mismo tiempo el impacto sobre el medio marino.</w:t>
      </w:r>
    </w:p>
    <w:p w14:paraId="38CF9405" w14:textId="77777777" w:rsidR="008A7053" w:rsidRPr="00CA23D1" w:rsidRDefault="008A7053" w:rsidP="00A618B3">
      <w:pPr>
        <w:widowControl w:val="0"/>
        <w:autoSpaceDE w:val="0"/>
        <w:autoSpaceDN w:val="0"/>
        <w:adjustRightInd w:val="0"/>
        <w:spacing w:after="0" w:line="240" w:lineRule="auto"/>
        <w:ind w:left="540" w:right="90" w:hanging="540"/>
        <w:jc w:val="both"/>
        <w:rPr>
          <w:rFonts w:cs="Arial"/>
          <w:lang w:val="es-ES"/>
        </w:rPr>
      </w:pPr>
    </w:p>
    <w:p w14:paraId="0E6E599D" w14:textId="6BF8A3A6" w:rsidR="008A7053" w:rsidRPr="00CA23D1" w:rsidRDefault="008A7053" w:rsidP="00A618B3">
      <w:pPr>
        <w:widowControl w:val="0"/>
        <w:numPr>
          <w:ilvl w:val="0"/>
          <w:numId w:val="6"/>
        </w:numPr>
        <w:autoSpaceDE w:val="0"/>
        <w:autoSpaceDN w:val="0"/>
        <w:adjustRightInd w:val="0"/>
        <w:spacing w:after="0" w:line="240" w:lineRule="auto"/>
        <w:ind w:left="540" w:right="90" w:hanging="540"/>
        <w:jc w:val="both"/>
        <w:rPr>
          <w:rFonts w:cs="Arial"/>
          <w:lang w:val="es-ES"/>
        </w:rPr>
      </w:pPr>
      <w:r w:rsidRPr="00CA23D1">
        <w:rPr>
          <w:rFonts w:cs="Arial"/>
          <w:lang w:val="es-ES"/>
        </w:rPr>
        <w:t>La OMI ha elaborado directrices y recomendaciones para la identificación y designación de zonas de importancia ecológica o cultural, como las</w:t>
      </w:r>
      <w:r w:rsidR="0051382E" w:rsidRPr="00CA23D1">
        <w:rPr>
          <w:rFonts w:cs="Arial"/>
          <w:lang w:val="es-ES"/>
        </w:rPr>
        <w:t xml:space="preserve"> </w:t>
      </w:r>
      <w:r w:rsidR="00D52787" w:rsidRPr="00CA23D1">
        <w:rPr>
          <w:i/>
          <w:iCs/>
          <w:lang w:val="es-ES"/>
        </w:rPr>
        <w:t>«</w:t>
      </w:r>
      <w:hyperlink r:id="rId18" w:history="1">
        <w:r w:rsidR="00ED49F5" w:rsidRPr="00CA23D1">
          <w:rPr>
            <w:rStyle w:val="Hyperlink"/>
            <w:i/>
            <w:iCs/>
            <w:lang w:val="es-ES"/>
          </w:rPr>
          <w:t>Directrices revisadas para la determinación y designación de zonas marinas especialmente sensibles</w:t>
        </w:r>
      </w:hyperlink>
      <w:r w:rsidRPr="00CA23D1">
        <w:rPr>
          <w:rFonts w:cs="Arial"/>
          <w:lang w:val="es-ES"/>
        </w:rPr>
        <w:t>» (ZMES). Las ZMES ayudan a identificar las zonas que son vulnerables a los daños causados por el transporte marítimo internacional y por otras actividades humanas, y proporcionan un marco para la implementación de medidas de protección.</w:t>
      </w:r>
    </w:p>
    <w:p w14:paraId="3A708EB0" w14:textId="77777777" w:rsidR="008A7053" w:rsidRPr="00CA23D1" w:rsidRDefault="008A7053" w:rsidP="00A618B3">
      <w:pPr>
        <w:widowControl w:val="0"/>
        <w:autoSpaceDE w:val="0"/>
        <w:autoSpaceDN w:val="0"/>
        <w:adjustRightInd w:val="0"/>
        <w:spacing w:after="0" w:line="240" w:lineRule="auto"/>
        <w:ind w:left="540" w:right="90" w:hanging="540"/>
        <w:jc w:val="both"/>
        <w:rPr>
          <w:rFonts w:cs="Arial"/>
          <w:lang w:val="es-ES"/>
        </w:rPr>
      </w:pPr>
    </w:p>
    <w:p w14:paraId="0B1EC7B0" w14:textId="2BD67C8D" w:rsidR="008A7053" w:rsidRPr="00CA23D1" w:rsidRDefault="008A7053" w:rsidP="00A618B3">
      <w:pPr>
        <w:widowControl w:val="0"/>
        <w:numPr>
          <w:ilvl w:val="0"/>
          <w:numId w:val="6"/>
        </w:numPr>
        <w:autoSpaceDE w:val="0"/>
        <w:autoSpaceDN w:val="0"/>
        <w:adjustRightInd w:val="0"/>
        <w:spacing w:after="0" w:line="240" w:lineRule="auto"/>
        <w:ind w:left="540" w:right="90" w:hanging="540"/>
        <w:jc w:val="both"/>
        <w:rPr>
          <w:rFonts w:cs="Arial"/>
          <w:lang w:val="es-ES"/>
        </w:rPr>
      </w:pPr>
      <w:r w:rsidRPr="00CA23D1">
        <w:rPr>
          <w:rFonts w:cs="Arial"/>
          <w:lang w:val="es-ES"/>
        </w:rPr>
        <w:t>La OMI también apoya el establecimiento de áreas que se deben evitar (ATBA) mediante medidas voluntarias o reglamentarias. Las ATBA se establecen para proteger a las especies o a los ecosistemas marinos vulnerables de los potenciales impactos negativos de las actividades del transporte marítimo. Por ejemplo, las ATBA pueden establecerse en las zonas en las que se tiene constancia de la presencia de especies marinas amenazadas o en las que hay una alta concentración de tráfico marítimo.</w:t>
      </w:r>
    </w:p>
    <w:p w14:paraId="36DF64EF" w14:textId="77777777" w:rsidR="008A7053" w:rsidRPr="00CA23D1" w:rsidRDefault="008A7053" w:rsidP="00A618B3">
      <w:pPr>
        <w:widowControl w:val="0"/>
        <w:autoSpaceDE w:val="0"/>
        <w:autoSpaceDN w:val="0"/>
        <w:adjustRightInd w:val="0"/>
        <w:spacing w:after="0" w:line="240" w:lineRule="auto"/>
        <w:ind w:left="540" w:right="90" w:hanging="540"/>
        <w:jc w:val="both"/>
        <w:rPr>
          <w:rFonts w:cs="Arial"/>
          <w:lang w:val="es-ES"/>
        </w:rPr>
      </w:pPr>
    </w:p>
    <w:p w14:paraId="332FEEEE" w14:textId="2923D3C7" w:rsidR="008A7053" w:rsidRPr="00CA23D1" w:rsidRDefault="008A7053" w:rsidP="00C77647">
      <w:pPr>
        <w:widowControl w:val="0"/>
        <w:numPr>
          <w:ilvl w:val="0"/>
          <w:numId w:val="6"/>
        </w:numPr>
        <w:autoSpaceDE w:val="0"/>
        <w:autoSpaceDN w:val="0"/>
        <w:adjustRightInd w:val="0"/>
        <w:spacing w:after="0" w:line="240" w:lineRule="auto"/>
        <w:ind w:left="547" w:right="90" w:hanging="547"/>
        <w:jc w:val="both"/>
        <w:rPr>
          <w:rFonts w:cs="Arial"/>
          <w:lang w:val="es-ES"/>
        </w:rPr>
      </w:pPr>
      <w:r w:rsidRPr="00CA23D1">
        <w:rPr>
          <w:rFonts w:cs="Arial"/>
          <w:lang w:val="es-ES"/>
        </w:rPr>
        <w:t>La OMI presta asistencia técnica y asesoramiento a los gobiernos y a otras partes interesadas para establecer Áreas Marinas Protegidas (AMP) y para garantizar que las actividades de transporte marítimo se gestionen de forma compatible con los objetivos de conservación. La OMI también colabora con otras organizaciones para garantizar que las rutas y actividades de transporte marítimo se diseñen de forma que se eviten las zonas de alta sensibilidad ecológica, como las ZMES y las ATBA.</w:t>
      </w:r>
    </w:p>
    <w:p w14:paraId="4DAEDF56" w14:textId="77777777" w:rsidR="00D23BEE" w:rsidRPr="00CA23D1" w:rsidRDefault="00D23BEE" w:rsidP="00C77647">
      <w:pPr>
        <w:pStyle w:val="ListParagraph"/>
        <w:spacing w:after="0" w:line="240" w:lineRule="auto"/>
        <w:ind w:left="547" w:hanging="547"/>
        <w:rPr>
          <w:rFonts w:cs="Arial"/>
          <w:lang w:val="es-ES"/>
        </w:rPr>
      </w:pPr>
    </w:p>
    <w:p w14:paraId="7C791F33" w14:textId="21345BFF" w:rsidR="00D23BEE" w:rsidRPr="00CA23D1" w:rsidRDefault="00D23BEE" w:rsidP="00C77647">
      <w:pPr>
        <w:widowControl w:val="0"/>
        <w:numPr>
          <w:ilvl w:val="0"/>
          <w:numId w:val="6"/>
        </w:numPr>
        <w:autoSpaceDE w:val="0"/>
        <w:autoSpaceDN w:val="0"/>
        <w:adjustRightInd w:val="0"/>
        <w:spacing w:after="0" w:line="240" w:lineRule="auto"/>
        <w:ind w:left="547" w:right="90" w:hanging="547"/>
        <w:jc w:val="both"/>
        <w:rPr>
          <w:rFonts w:cs="Arial"/>
          <w:lang w:val="es-ES"/>
        </w:rPr>
      </w:pPr>
      <w:r w:rsidRPr="00CA23D1">
        <w:rPr>
          <w:rFonts w:cs="Arial"/>
          <w:lang w:val="es-ES"/>
        </w:rPr>
        <w:t>La OMI también es la entidad responsable de aprobar cualquier cambio en las rutas marítimas.</w:t>
      </w:r>
    </w:p>
    <w:p w14:paraId="50EDEC96" w14:textId="77777777" w:rsidR="008A7053" w:rsidRPr="00CA23D1" w:rsidRDefault="008A7053" w:rsidP="00A618B3">
      <w:pPr>
        <w:spacing w:after="0" w:line="240" w:lineRule="auto"/>
        <w:ind w:left="540" w:right="90" w:hanging="540"/>
        <w:rPr>
          <w:rFonts w:cs="Arial"/>
          <w:u w:val="single"/>
          <w:lang w:val="es-ES"/>
        </w:rPr>
      </w:pPr>
    </w:p>
    <w:p w14:paraId="7AD4EE2A" w14:textId="7645DB77" w:rsidR="008A7053" w:rsidRPr="00CA23D1" w:rsidRDefault="008A7053" w:rsidP="00A618B3">
      <w:pPr>
        <w:spacing w:after="0" w:line="240" w:lineRule="auto"/>
        <w:ind w:left="540" w:right="91" w:hanging="540"/>
        <w:jc w:val="both"/>
        <w:rPr>
          <w:rFonts w:cs="Arial"/>
          <w:u w:val="single"/>
          <w:lang w:val="es-ES"/>
        </w:rPr>
      </w:pPr>
      <w:r w:rsidRPr="00CA23D1">
        <w:rPr>
          <w:rFonts w:cs="Arial"/>
          <w:u w:val="single"/>
          <w:lang w:val="es-ES"/>
        </w:rPr>
        <w:t>Cooperación con la Comisión Ballenera Internacional (CBI) sobre las colisiones con embarcaciones que afectan a los cetáceos</w:t>
      </w:r>
    </w:p>
    <w:p w14:paraId="55C1AECD" w14:textId="77777777" w:rsidR="008A7053" w:rsidRPr="00CA23D1" w:rsidRDefault="008A7053" w:rsidP="00A618B3">
      <w:pPr>
        <w:widowControl w:val="0"/>
        <w:autoSpaceDE w:val="0"/>
        <w:autoSpaceDN w:val="0"/>
        <w:adjustRightInd w:val="0"/>
        <w:spacing w:after="0" w:line="240" w:lineRule="auto"/>
        <w:ind w:left="540" w:right="91" w:hanging="540"/>
        <w:jc w:val="both"/>
        <w:rPr>
          <w:rFonts w:cs="Arial"/>
          <w:highlight w:val="yellow"/>
          <w:lang w:val="es-ES"/>
        </w:rPr>
      </w:pPr>
    </w:p>
    <w:p w14:paraId="025BDDE5" w14:textId="77777777" w:rsidR="008A7053" w:rsidRPr="00CA23D1" w:rsidRDefault="008A7053" w:rsidP="00A618B3">
      <w:pPr>
        <w:widowControl w:val="0"/>
        <w:numPr>
          <w:ilvl w:val="0"/>
          <w:numId w:val="6"/>
        </w:numPr>
        <w:autoSpaceDE w:val="0"/>
        <w:autoSpaceDN w:val="0"/>
        <w:adjustRightInd w:val="0"/>
        <w:spacing w:after="0" w:line="240" w:lineRule="auto"/>
        <w:ind w:left="540" w:right="90" w:hanging="540"/>
        <w:jc w:val="both"/>
        <w:rPr>
          <w:rFonts w:cs="Arial"/>
          <w:lang w:val="es-ES"/>
        </w:rPr>
      </w:pPr>
      <w:r w:rsidRPr="00CA23D1">
        <w:rPr>
          <w:rFonts w:cs="Arial"/>
          <w:lang w:val="es-ES"/>
        </w:rPr>
        <w:t xml:space="preserve">Los Comités Científico y de Conservación de la CBI trabajan en la comprensión y reducción de la amenaza que suponen las colisiones de las embarcaciones para los cetáceos. Con este fin, se ha elaborado un </w:t>
      </w:r>
      <w:hyperlink r:id="rId19">
        <w:r w:rsidRPr="00CA23D1">
          <w:rPr>
            <w:rStyle w:val="Hyperlink"/>
            <w:lang w:val="es-ES"/>
          </w:rPr>
          <w:t>Plan Estratégico para la Mitigación de los Impactos de las Colisiones con Embarcaciones (2022-2032)</w:t>
        </w:r>
      </w:hyperlink>
      <w:r w:rsidRPr="00CA23D1">
        <w:rPr>
          <w:rFonts w:cs="Arial"/>
          <w:lang w:val="es-ES"/>
        </w:rPr>
        <w:t xml:space="preserve"> para evaluar y poner en </w:t>
      </w:r>
      <w:r w:rsidRPr="00CA23D1">
        <w:rPr>
          <w:rFonts w:cs="Arial"/>
          <w:lang w:val="es-ES"/>
        </w:rPr>
        <w:lastRenderedPageBreak/>
        <w:t xml:space="preserve">común soluciones con el fin de lograr la reducción continua de las colisiones con embarcaciones. Este Plan Estratégico se complementa con un </w:t>
      </w:r>
      <w:hyperlink r:id="rId20">
        <w:r w:rsidRPr="00CA23D1">
          <w:rPr>
            <w:rStyle w:val="Hyperlink"/>
            <w:lang w:val="es-ES"/>
          </w:rPr>
          <w:t>Plan de Trabajo</w:t>
        </w:r>
      </w:hyperlink>
      <w:r w:rsidRPr="00CA23D1">
        <w:rPr>
          <w:rFonts w:cs="Arial"/>
          <w:lang w:val="es-ES"/>
        </w:rPr>
        <w:t xml:space="preserve"> que abarca el período 2022-2024. Desde hace tiempo se mantiene una cooperación con los Acuerdos hijos de la CMS, ACCOBAMS y ASCOBANS, sobre este tema.</w:t>
      </w:r>
    </w:p>
    <w:p w14:paraId="195C517E" w14:textId="77777777" w:rsidR="008A7053" w:rsidRPr="00CA23D1" w:rsidRDefault="008A7053" w:rsidP="00A618B3">
      <w:pPr>
        <w:widowControl w:val="0"/>
        <w:autoSpaceDE w:val="0"/>
        <w:autoSpaceDN w:val="0"/>
        <w:adjustRightInd w:val="0"/>
        <w:spacing w:after="0" w:line="240" w:lineRule="auto"/>
        <w:ind w:left="540" w:right="90" w:hanging="540"/>
        <w:jc w:val="both"/>
        <w:rPr>
          <w:rFonts w:cs="Arial"/>
          <w:lang w:val="es-ES"/>
        </w:rPr>
      </w:pPr>
    </w:p>
    <w:p w14:paraId="05AF0434" w14:textId="79EF0C89" w:rsidR="008A7053" w:rsidRPr="00CA23D1" w:rsidRDefault="008A7053" w:rsidP="00A618B3">
      <w:pPr>
        <w:widowControl w:val="0"/>
        <w:numPr>
          <w:ilvl w:val="0"/>
          <w:numId w:val="6"/>
        </w:numPr>
        <w:autoSpaceDE w:val="0"/>
        <w:autoSpaceDN w:val="0"/>
        <w:adjustRightInd w:val="0"/>
        <w:spacing w:after="0" w:line="240" w:lineRule="auto"/>
        <w:ind w:left="540" w:right="90" w:hanging="540"/>
        <w:jc w:val="both"/>
        <w:rPr>
          <w:rFonts w:cs="Arial"/>
          <w:lang w:val="es-ES"/>
        </w:rPr>
      </w:pPr>
      <w:r w:rsidRPr="00CA23D1">
        <w:rPr>
          <w:rFonts w:cs="Arial"/>
          <w:lang w:val="es-ES"/>
        </w:rPr>
        <w:t xml:space="preserve">En 2019, la CBI celebró un taller conjunto con la UICN y ACCOBAMS para considerar cómo las Áreas Importantes para los Mamíferos Marinos (IMMA) podrían superponerse con la información sobre el transporte marítimo y aprovecharse para localizar los puntos conflictivos de las colisiones con embarcaciones. El informe del taller está disponible </w:t>
      </w:r>
      <w:hyperlink r:id="rId21">
        <w:r w:rsidRPr="00CA23D1">
          <w:rPr>
            <w:rStyle w:val="Hyperlink"/>
            <w:rFonts w:cs="Arial"/>
            <w:color w:val="auto"/>
            <w:lang w:val="es-ES"/>
          </w:rPr>
          <w:t>aquí.</w:t>
        </w:r>
      </w:hyperlink>
    </w:p>
    <w:p w14:paraId="2640F690" w14:textId="77777777" w:rsidR="008A7053" w:rsidRPr="00CA23D1" w:rsidRDefault="008A7053" w:rsidP="00A618B3">
      <w:pPr>
        <w:widowControl w:val="0"/>
        <w:autoSpaceDE w:val="0"/>
        <w:autoSpaceDN w:val="0"/>
        <w:adjustRightInd w:val="0"/>
        <w:spacing w:after="0" w:line="240" w:lineRule="auto"/>
        <w:ind w:left="540" w:right="90" w:hanging="540"/>
        <w:jc w:val="both"/>
        <w:rPr>
          <w:rFonts w:cs="Arial"/>
          <w:lang w:val="es-ES"/>
        </w:rPr>
      </w:pPr>
    </w:p>
    <w:p w14:paraId="50D20A4D" w14:textId="27B20AFE" w:rsidR="008A7053" w:rsidRPr="00CA23D1" w:rsidRDefault="008A7053" w:rsidP="00A618B3">
      <w:pPr>
        <w:widowControl w:val="0"/>
        <w:numPr>
          <w:ilvl w:val="0"/>
          <w:numId w:val="6"/>
        </w:numPr>
        <w:autoSpaceDE w:val="0"/>
        <w:autoSpaceDN w:val="0"/>
        <w:adjustRightInd w:val="0"/>
        <w:spacing w:after="0" w:line="240" w:lineRule="auto"/>
        <w:ind w:left="540" w:right="90" w:hanging="540"/>
        <w:jc w:val="both"/>
        <w:rPr>
          <w:rFonts w:cs="Arial"/>
          <w:u w:val="single"/>
          <w:lang w:val="es-ES"/>
        </w:rPr>
      </w:pPr>
      <w:r w:rsidRPr="00CA23D1">
        <w:rPr>
          <w:rFonts w:cs="Arial"/>
          <w:lang w:val="es-ES"/>
        </w:rPr>
        <w:t xml:space="preserve">Una iniciativa muy importante de la CBI fue el lanzamiento, en 2007, de la base de datos mundial sobre colisiones de barcos. Esta iniciativa a largo plazo pretende recopilar y analizar información sobre las colisiones notificadas de embarcaciones, tanto histórica como actual, y a escala mundial. El objetivo es identificar los puntos conflictivos en los que un gran número de ballenas coincide con rutas marítimas muy transitadas. Se insta a los gobiernos y otras partes interesadas a que envíen información sobre las colisiones que se produzcan entre cualquier tipo de buque y una ballena, un delfín o una marsopa. La información se puede registrar en la base de datos </w:t>
      </w:r>
      <w:hyperlink r:id="rId22" w:history="1">
        <w:r w:rsidR="00863F75" w:rsidRPr="00CA23D1">
          <w:rPr>
            <w:rStyle w:val="Hyperlink"/>
            <w:rFonts w:cs="Arial"/>
            <w:lang w:val="es-ES"/>
          </w:rPr>
          <w:t>aquí</w:t>
        </w:r>
      </w:hyperlink>
      <w:r w:rsidR="00863F75" w:rsidRPr="00CA23D1">
        <w:rPr>
          <w:rFonts w:cs="Arial"/>
          <w:lang w:val="es-ES"/>
        </w:rPr>
        <w:t>.</w:t>
      </w:r>
    </w:p>
    <w:p w14:paraId="1F0344B0" w14:textId="77777777" w:rsidR="00863F75" w:rsidRPr="00CA23D1" w:rsidRDefault="00863F75" w:rsidP="00A618B3">
      <w:pPr>
        <w:widowControl w:val="0"/>
        <w:autoSpaceDE w:val="0"/>
        <w:autoSpaceDN w:val="0"/>
        <w:adjustRightInd w:val="0"/>
        <w:spacing w:after="0" w:line="240" w:lineRule="auto"/>
        <w:ind w:left="540" w:right="90" w:hanging="540"/>
        <w:jc w:val="both"/>
        <w:rPr>
          <w:rFonts w:cs="Arial"/>
          <w:u w:val="single"/>
          <w:lang w:val="es-ES"/>
        </w:rPr>
      </w:pPr>
    </w:p>
    <w:p w14:paraId="074B954A" w14:textId="3AF99C3F" w:rsidR="00E3271D" w:rsidRPr="00CA23D1" w:rsidRDefault="00B947CD" w:rsidP="00A618B3">
      <w:pPr>
        <w:widowControl w:val="0"/>
        <w:autoSpaceDE w:val="0"/>
        <w:autoSpaceDN w:val="0"/>
        <w:adjustRightInd w:val="0"/>
        <w:spacing w:after="0" w:line="240" w:lineRule="auto"/>
        <w:ind w:left="540" w:right="90" w:hanging="540"/>
        <w:jc w:val="both"/>
        <w:rPr>
          <w:rFonts w:cs="Arial"/>
          <w:u w:val="single"/>
          <w:lang w:val="es-ES"/>
        </w:rPr>
      </w:pPr>
      <w:r w:rsidRPr="00CA23D1">
        <w:rPr>
          <w:rFonts w:cs="Arial"/>
          <w:u w:val="single"/>
          <w:lang w:val="es-ES"/>
        </w:rPr>
        <w:t>Colisiones de embarcaciones con los tiburones ballena</w:t>
      </w:r>
    </w:p>
    <w:p w14:paraId="640F0FC0" w14:textId="77777777" w:rsidR="00E3271D" w:rsidRPr="00CA23D1" w:rsidRDefault="00E3271D" w:rsidP="00A618B3">
      <w:pPr>
        <w:widowControl w:val="0"/>
        <w:autoSpaceDE w:val="0"/>
        <w:autoSpaceDN w:val="0"/>
        <w:adjustRightInd w:val="0"/>
        <w:spacing w:after="0" w:line="240" w:lineRule="auto"/>
        <w:ind w:left="540" w:right="90" w:hanging="540"/>
        <w:jc w:val="both"/>
        <w:rPr>
          <w:rFonts w:cs="Arial"/>
          <w:lang w:val="es-ES"/>
        </w:rPr>
      </w:pPr>
    </w:p>
    <w:p w14:paraId="4A4449FE" w14:textId="3CAB0F91" w:rsidR="00535E7E" w:rsidRPr="00CA23D1" w:rsidRDefault="00535E7E" w:rsidP="00A618B3">
      <w:pPr>
        <w:widowControl w:val="0"/>
        <w:numPr>
          <w:ilvl w:val="0"/>
          <w:numId w:val="6"/>
        </w:numPr>
        <w:autoSpaceDE w:val="0"/>
        <w:autoSpaceDN w:val="0"/>
        <w:adjustRightInd w:val="0"/>
        <w:spacing w:after="0" w:line="240" w:lineRule="auto"/>
        <w:ind w:left="540" w:right="90" w:hanging="540"/>
        <w:jc w:val="both"/>
        <w:rPr>
          <w:rFonts w:cs="Arial"/>
          <w:lang w:val="es-ES"/>
        </w:rPr>
      </w:pPr>
      <w:r w:rsidRPr="00CA23D1">
        <w:rPr>
          <w:rFonts w:cs="Arial"/>
          <w:lang w:val="es-ES"/>
        </w:rPr>
        <w:t xml:space="preserve">El tiburón ballena figura en los Apéndices I y II de la CMS, así como en el Anexo 1 del </w:t>
      </w:r>
      <w:proofErr w:type="spellStart"/>
      <w:r w:rsidRPr="00CA23D1">
        <w:rPr>
          <w:rFonts w:cs="Arial"/>
          <w:lang w:val="es-ES"/>
        </w:rPr>
        <w:t>MdE</w:t>
      </w:r>
      <w:proofErr w:type="spellEnd"/>
      <w:r w:rsidRPr="00CA23D1">
        <w:rPr>
          <w:rFonts w:cs="Arial"/>
          <w:lang w:val="es-ES"/>
        </w:rPr>
        <w:t xml:space="preserve"> sobre tiburones. Las Partes de la CMS adoptaron una Acción Concertada para el</w:t>
      </w:r>
      <w:bookmarkStart w:id="0" w:name="_Hlt135751007"/>
      <w:bookmarkStart w:id="1" w:name="_Hlt135751008"/>
      <w:bookmarkEnd w:id="0"/>
      <w:bookmarkEnd w:id="1"/>
      <w:r w:rsidR="0051382E" w:rsidRPr="00CA23D1">
        <w:rPr>
          <w:rFonts w:cs="Arial"/>
          <w:lang w:val="es-ES"/>
        </w:rPr>
        <w:t xml:space="preserve"> </w:t>
      </w:r>
      <w:r w:rsidRPr="00CA23D1">
        <w:rPr>
          <w:rFonts w:cs="Arial"/>
          <w:lang w:val="es-ES"/>
        </w:rPr>
        <w:t>tiburón ballena (</w:t>
      </w:r>
      <w:bookmarkStart w:id="2" w:name="_Int_IO7QN6a9"/>
      <w:r w:rsidR="003778A7" w:rsidRPr="00CA23D1">
        <w:rPr>
          <w:rStyle w:val="Hyperlink"/>
          <w:lang w:val="es-ES"/>
        </w:rPr>
        <w:fldChar w:fldCharType="begin"/>
      </w:r>
      <w:r w:rsidR="003778A7" w:rsidRPr="00CA23D1">
        <w:rPr>
          <w:rStyle w:val="Hyperlink"/>
          <w:lang w:val="es-ES"/>
        </w:rPr>
        <w:instrText>HYPERLINK "https://www.cms.int/en/document/concerted-action-whale-shark-rhincodon-typus-2" \h</w:instrText>
      </w:r>
      <w:r w:rsidR="003778A7" w:rsidRPr="00CA23D1">
        <w:rPr>
          <w:rStyle w:val="Hyperlink"/>
          <w:lang w:val="es-ES"/>
        </w:rPr>
      </w:r>
      <w:r w:rsidR="003778A7" w:rsidRPr="00CA23D1">
        <w:rPr>
          <w:rStyle w:val="Hyperlink"/>
          <w:lang w:val="es-ES"/>
        </w:rPr>
        <w:fldChar w:fldCharType="separate"/>
      </w:r>
      <w:r w:rsidR="2BF64821" w:rsidRPr="00CA23D1">
        <w:rPr>
          <w:rStyle w:val="Hyperlink"/>
          <w:lang w:val="es-ES"/>
        </w:rPr>
        <w:t>CA</w:t>
      </w:r>
      <w:r w:rsidR="003778A7" w:rsidRPr="00CA23D1">
        <w:rPr>
          <w:rStyle w:val="Hyperlink"/>
          <w:lang w:val="es-ES"/>
        </w:rPr>
        <w:fldChar w:fldCharType="end"/>
      </w:r>
      <w:bookmarkEnd w:id="2"/>
      <w:r w:rsidR="2BF64821" w:rsidRPr="00CA23D1">
        <w:rPr>
          <w:rStyle w:val="Hyperlink"/>
          <w:lang w:val="es-ES"/>
        </w:rPr>
        <w:t xml:space="preserve"> 12.7 (Rev.COP13</w:t>
      </w:r>
      <w:r w:rsidR="66AE7BD2" w:rsidRPr="00CA23D1">
        <w:rPr>
          <w:rStyle w:val="Hyperlink"/>
          <w:rFonts w:cs="Arial"/>
          <w:color w:val="auto"/>
          <w:lang w:val="es-ES"/>
        </w:rPr>
        <w:t>)</w:t>
      </w:r>
      <w:r w:rsidRPr="00CA23D1">
        <w:rPr>
          <w:rFonts w:cs="Arial"/>
          <w:lang w:val="es-ES"/>
        </w:rPr>
        <w:t>) con el objetivo de iniciar acciones urgentes de colaboración para la conservación de la especie, entre las que se incluyen la identificación de los hábitats críticos y la eliminación de las amenazas antropogénicas que contribuyen al declive de la población (véanse las Actividades 1.5 y 5.7).</w:t>
      </w:r>
    </w:p>
    <w:p w14:paraId="1014DD18" w14:textId="77777777" w:rsidR="006D3EDC" w:rsidRPr="00CA23D1" w:rsidRDefault="006D3EDC" w:rsidP="00A618B3">
      <w:pPr>
        <w:widowControl w:val="0"/>
        <w:autoSpaceDE w:val="0"/>
        <w:autoSpaceDN w:val="0"/>
        <w:adjustRightInd w:val="0"/>
        <w:spacing w:after="0" w:line="240" w:lineRule="auto"/>
        <w:ind w:left="540" w:right="90" w:hanging="540"/>
        <w:jc w:val="both"/>
        <w:rPr>
          <w:rFonts w:cs="Arial"/>
          <w:lang w:val="es-ES"/>
        </w:rPr>
      </w:pPr>
    </w:p>
    <w:p w14:paraId="6A43E5F1" w14:textId="60C445FD" w:rsidR="005B03DB" w:rsidRPr="00CA23D1" w:rsidRDefault="005B03DB" w:rsidP="00A618B3">
      <w:pPr>
        <w:widowControl w:val="0"/>
        <w:numPr>
          <w:ilvl w:val="0"/>
          <w:numId w:val="6"/>
        </w:numPr>
        <w:autoSpaceDE w:val="0"/>
        <w:autoSpaceDN w:val="0"/>
        <w:adjustRightInd w:val="0"/>
        <w:spacing w:after="0" w:line="240" w:lineRule="auto"/>
        <w:ind w:left="540" w:right="90" w:hanging="540"/>
        <w:jc w:val="both"/>
        <w:rPr>
          <w:rFonts w:cs="Arial"/>
          <w:lang w:val="es-ES"/>
        </w:rPr>
      </w:pPr>
      <w:r w:rsidRPr="00CA23D1">
        <w:rPr>
          <w:rFonts w:cs="Arial"/>
          <w:lang w:val="es-ES"/>
        </w:rPr>
        <w:t>La especie se constituye como el pez más grande del mundo y está clasificada mundialmente como «En Peligro» en la Lista Roja de Especies Amenazadas de la Unión Internacional para la Conservación de la Naturaleza (Lista Roja de la UICN) y como «Mayormente mermada» según el Estado Verde de las Especies de la UICN. Este panorama sombrío es en gran parte consecuencia de la mortalidad inducida por la pesca en gran parte de su área de distribución. Con una duración prolongada de las generaciones,</w:t>
      </w:r>
      <w:r w:rsidR="00C70440" w:rsidRPr="00CA23D1">
        <w:rPr>
          <w:rStyle w:val="FootnoteReference"/>
          <w:rFonts w:cs="Arial"/>
          <w:lang w:val="es-ES"/>
        </w:rPr>
        <w:footnoteReference w:id="4"/>
      </w:r>
      <w:r w:rsidRPr="00CA23D1">
        <w:rPr>
          <w:rFonts w:cs="Arial"/>
          <w:lang w:val="es-ES"/>
        </w:rPr>
        <w:t xml:space="preserve"> los tiburones ballenas son más susceptibles a estas amenazas antropogénicas. Aunque la pesca del tiburón ballena ha cesado en gran medida, el aumento de las colisiones con las embarcaciones podría estar dificultando la recuperación de la especie. </w:t>
      </w:r>
    </w:p>
    <w:p w14:paraId="36951B1B" w14:textId="77777777" w:rsidR="008C4074" w:rsidRPr="00CA23D1" w:rsidRDefault="008C4074" w:rsidP="00A618B3">
      <w:pPr>
        <w:widowControl w:val="0"/>
        <w:autoSpaceDE w:val="0"/>
        <w:autoSpaceDN w:val="0"/>
        <w:adjustRightInd w:val="0"/>
        <w:spacing w:after="0" w:line="240" w:lineRule="auto"/>
        <w:ind w:left="540" w:right="90" w:hanging="540"/>
        <w:jc w:val="both"/>
        <w:rPr>
          <w:rFonts w:cs="Arial"/>
          <w:lang w:val="es-ES"/>
        </w:rPr>
      </w:pPr>
    </w:p>
    <w:p w14:paraId="59B04D31" w14:textId="0E0203FA" w:rsidR="00DE511B" w:rsidRPr="00CA23D1" w:rsidRDefault="00D10468" w:rsidP="00A618B3">
      <w:pPr>
        <w:widowControl w:val="0"/>
        <w:numPr>
          <w:ilvl w:val="0"/>
          <w:numId w:val="6"/>
        </w:numPr>
        <w:autoSpaceDE w:val="0"/>
        <w:autoSpaceDN w:val="0"/>
        <w:adjustRightInd w:val="0"/>
        <w:spacing w:after="0" w:line="240" w:lineRule="auto"/>
        <w:ind w:left="540" w:right="90" w:hanging="540"/>
        <w:jc w:val="both"/>
        <w:rPr>
          <w:rFonts w:cs="Arial"/>
          <w:lang w:val="es-ES"/>
        </w:rPr>
      </w:pPr>
      <w:r w:rsidRPr="00CA23D1">
        <w:rPr>
          <w:rFonts w:cs="Arial"/>
          <w:lang w:val="es-ES"/>
        </w:rPr>
        <w:t>Las colisiones con grandes embarcaciones suelen ser mortales, pero debido a la capacidad de flotación negativa de sus huesos cartilaginosos, los tiburones ballenas se hunden y, por lo tanto, no se notifican. Es probable que los tiburones ballena se encuentren en mayor riesgo de colisión con las embarcaciones en las principales rutas de transporte marítimo, ya que recorren largas distancias por el océano, y por las llamadas constelaciones del tiburón ballena, que son lugares específicos o puntos conflictivos en los trópicos y subtrópicos en los que previsiblemente se reúne un gran número de tiburones ballena y en los que aprovechan ampliamente las aguas superficiales.</w:t>
      </w:r>
    </w:p>
    <w:p w14:paraId="7A636775" w14:textId="77777777" w:rsidR="00D10468" w:rsidRPr="00CA23D1" w:rsidRDefault="00D10468" w:rsidP="00A618B3">
      <w:pPr>
        <w:widowControl w:val="0"/>
        <w:autoSpaceDE w:val="0"/>
        <w:autoSpaceDN w:val="0"/>
        <w:adjustRightInd w:val="0"/>
        <w:spacing w:after="0" w:line="240" w:lineRule="auto"/>
        <w:ind w:left="540" w:right="90" w:hanging="540"/>
        <w:jc w:val="both"/>
        <w:rPr>
          <w:rFonts w:cs="Arial"/>
          <w:lang w:val="es-ES"/>
        </w:rPr>
      </w:pPr>
    </w:p>
    <w:p w14:paraId="2E720540" w14:textId="537C3DC0" w:rsidR="00557274" w:rsidRPr="00CA23D1" w:rsidRDefault="00557274" w:rsidP="00A618B3">
      <w:pPr>
        <w:widowControl w:val="0"/>
        <w:numPr>
          <w:ilvl w:val="0"/>
          <w:numId w:val="6"/>
        </w:numPr>
        <w:autoSpaceDE w:val="0"/>
        <w:autoSpaceDN w:val="0"/>
        <w:adjustRightInd w:val="0"/>
        <w:spacing w:after="0" w:line="240" w:lineRule="auto"/>
        <w:ind w:left="540" w:right="90" w:hanging="540"/>
        <w:jc w:val="both"/>
        <w:rPr>
          <w:rFonts w:cs="Arial"/>
          <w:lang w:val="es-ES"/>
        </w:rPr>
      </w:pPr>
      <w:r w:rsidRPr="00CA23D1">
        <w:rPr>
          <w:rFonts w:cs="Arial"/>
          <w:lang w:val="es-ES"/>
        </w:rPr>
        <w:lastRenderedPageBreak/>
        <w:t>Un estudio reciente</w:t>
      </w:r>
      <w:r w:rsidRPr="00CA23D1">
        <w:rPr>
          <w:rStyle w:val="FootnoteReference"/>
          <w:rFonts w:cs="Arial"/>
          <w:lang w:val="es-ES"/>
        </w:rPr>
        <w:footnoteReference w:id="5"/>
      </w:r>
      <w:r w:rsidRPr="00CA23D1">
        <w:rPr>
          <w:rFonts w:cs="Arial"/>
          <w:lang w:val="es-ES"/>
        </w:rPr>
        <w:t xml:space="preserve"> empleó más de 300 vías de satélite para identificar las áreas principales en las que los tiburones ballena corren un riesgo elevado a causa del transporte marítimo durante sus migraciones. Estas comprendían áreas de todos los océanos, como el golfo de México, el golfo de Panamá, entre Australia e Indonesia y el Mar Rojo. Algunos de los tiburones ballena identificados también indicaron casos de muertes potenciales, ya que sus movimientos cesaron bruscamente en rutas marítimas muy transitadas. Según el estudio, los tiburones ballenas puede estar el 50 % de su tiempo en los 20 metros superiores de la columna de agua, por lo que son susceptibles a las colisiones por embarcaciones. Esto sentó las bases para un importante estudio de seguimiento.</w:t>
      </w:r>
    </w:p>
    <w:p w14:paraId="20774F02" w14:textId="77777777" w:rsidR="008A7053" w:rsidRPr="00CA23D1" w:rsidRDefault="008A7053" w:rsidP="00A618B3">
      <w:pPr>
        <w:widowControl w:val="0"/>
        <w:autoSpaceDE w:val="0"/>
        <w:autoSpaceDN w:val="0"/>
        <w:adjustRightInd w:val="0"/>
        <w:spacing w:after="0" w:line="240" w:lineRule="auto"/>
        <w:ind w:left="540" w:right="90" w:hanging="540"/>
        <w:jc w:val="both"/>
        <w:rPr>
          <w:rFonts w:cs="Arial"/>
          <w:highlight w:val="yellow"/>
          <w:u w:val="single"/>
          <w:lang w:val="es-ES"/>
        </w:rPr>
      </w:pPr>
    </w:p>
    <w:p w14:paraId="69DAEE90" w14:textId="6E84E779" w:rsidR="008B4D72" w:rsidRPr="00CA23D1" w:rsidRDefault="004B5DB4" w:rsidP="00A618B3">
      <w:pPr>
        <w:widowControl w:val="0"/>
        <w:autoSpaceDE w:val="0"/>
        <w:autoSpaceDN w:val="0"/>
        <w:adjustRightInd w:val="0"/>
        <w:spacing w:after="0" w:line="240" w:lineRule="auto"/>
        <w:ind w:left="540" w:right="90" w:hanging="540"/>
        <w:jc w:val="both"/>
        <w:rPr>
          <w:rFonts w:cs="Arial"/>
          <w:u w:val="single"/>
          <w:lang w:val="es-ES"/>
        </w:rPr>
      </w:pPr>
      <w:r w:rsidRPr="00CA23D1">
        <w:rPr>
          <w:rFonts w:cs="Arial"/>
          <w:u w:val="single"/>
          <w:lang w:val="es-ES"/>
        </w:rPr>
        <w:t>Evaluación de expertos del riesgo de colisión de embarcaciones con el tiburón ballena</w:t>
      </w:r>
    </w:p>
    <w:p w14:paraId="43E28652" w14:textId="77777777" w:rsidR="005C070B" w:rsidRPr="00CA23D1" w:rsidRDefault="005C070B" w:rsidP="00A618B3">
      <w:pPr>
        <w:widowControl w:val="0"/>
        <w:autoSpaceDE w:val="0"/>
        <w:autoSpaceDN w:val="0"/>
        <w:adjustRightInd w:val="0"/>
        <w:spacing w:after="0" w:line="240" w:lineRule="auto"/>
        <w:ind w:left="540" w:right="90" w:hanging="540"/>
        <w:jc w:val="both"/>
        <w:rPr>
          <w:rFonts w:cs="Arial"/>
          <w:lang w:val="es-ES"/>
        </w:rPr>
      </w:pPr>
    </w:p>
    <w:p w14:paraId="3E056431" w14:textId="390E3A8F" w:rsidR="001B0F31" w:rsidRPr="00CA23D1" w:rsidRDefault="00D60A36" w:rsidP="00A618B3">
      <w:pPr>
        <w:widowControl w:val="0"/>
        <w:numPr>
          <w:ilvl w:val="0"/>
          <w:numId w:val="6"/>
        </w:numPr>
        <w:autoSpaceDE w:val="0"/>
        <w:autoSpaceDN w:val="0"/>
        <w:adjustRightInd w:val="0"/>
        <w:spacing w:after="0" w:line="240" w:lineRule="auto"/>
        <w:ind w:left="540" w:right="90" w:hanging="540"/>
        <w:jc w:val="both"/>
        <w:rPr>
          <w:rFonts w:cs="Arial"/>
          <w:lang w:val="es-ES"/>
        </w:rPr>
      </w:pPr>
      <w:r w:rsidRPr="00CA23D1">
        <w:rPr>
          <w:rFonts w:cs="Arial"/>
          <w:lang w:val="es-ES"/>
        </w:rPr>
        <w:t xml:space="preserve">En el marco de una iniciativa de la CMS y del </w:t>
      </w:r>
      <w:proofErr w:type="spellStart"/>
      <w:r w:rsidRPr="00CA23D1">
        <w:rPr>
          <w:rFonts w:cs="Arial"/>
          <w:lang w:val="es-ES"/>
        </w:rPr>
        <w:t>MdE</w:t>
      </w:r>
      <w:proofErr w:type="spellEnd"/>
      <w:r w:rsidRPr="00CA23D1">
        <w:rPr>
          <w:rFonts w:cs="Arial"/>
          <w:lang w:val="es-ES"/>
        </w:rPr>
        <w:t xml:space="preserve"> sobre tiburones para aplicar algunos aspectos de la Acción Concertada para los tiburones ballena (</w:t>
      </w:r>
      <w:hyperlink r:id="rId23" w:history="1">
        <w:r w:rsidR="001208D0" w:rsidRPr="00CA23D1">
          <w:rPr>
            <w:rStyle w:val="Hyperlink"/>
            <w:lang w:val="es-ES"/>
          </w:rPr>
          <w:t>CA 12.7 (Rev.COP13</w:t>
        </w:r>
        <w:r w:rsidR="00817CD7" w:rsidRPr="00CA23D1">
          <w:rPr>
            <w:rStyle w:val="Hyperlink"/>
            <w:rFonts w:cs="Arial"/>
            <w:color w:val="auto"/>
            <w:lang w:val="es-ES"/>
          </w:rPr>
          <w:t>)</w:t>
        </w:r>
      </w:hyperlink>
      <w:r w:rsidR="001208D0" w:rsidRPr="00CA23D1">
        <w:rPr>
          <w:rStyle w:val="Hyperlink"/>
          <w:rFonts w:cs="Arial"/>
          <w:color w:val="auto"/>
          <w:u w:val="none"/>
          <w:lang w:val="es-ES"/>
        </w:rPr>
        <w:t>)</w:t>
      </w:r>
      <w:r w:rsidR="00A86BA0" w:rsidRPr="00CA23D1">
        <w:rPr>
          <w:rFonts w:cs="Arial"/>
          <w:lang w:val="es-ES"/>
        </w:rPr>
        <w:t>, la Fundación para la Investigación y Conservación Marinas (MARECO) investigó el riesgo de colisión de los tiburones ballena a causa del tráfico marítimo mediante un proyecto que tenía como objetivo identificar las áreas de importancia para los tiburones ballena, cotejando los datos sobre el tráfico marítimo en esas zonas, y realizando una evaluación por expertos de las colisiones de embarcaciones con los tiburones ballena. Se elaboraron mapas para mostrar el riesgo de colisiones con los tiburones ballena en áreas críticas y se revisaron mecanismos de actuación para determinar cómo podrían emplearse para limitar el impacto de las colisiones de las embarcaciones con los tiburones ballena. Los resultados del estudio se presentan en</w:t>
      </w:r>
      <w:r w:rsidR="00D11044" w:rsidRPr="00CA23D1">
        <w:rPr>
          <w:rFonts w:cs="Arial"/>
          <w:lang w:val="es-ES"/>
        </w:rPr>
        <w:t xml:space="preserve"> </w:t>
      </w:r>
      <w:hyperlink r:id="rId24" w:history="1">
        <w:r w:rsidR="00E40FCE" w:rsidRPr="00CA23D1">
          <w:rPr>
            <w:rStyle w:val="Hyperlink"/>
            <w:lang w:val="es-ES"/>
          </w:rPr>
          <w:t>UNEP/CMS/COP14/Inf.27.2.3</w:t>
        </w:r>
      </w:hyperlink>
      <w:r w:rsidR="00F7547F" w:rsidRPr="00CA23D1">
        <w:rPr>
          <w:rFonts w:cs="Arial"/>
          <w:lang w:val="es-ES"/>
        </w:rPr>
        <w:t xml:space="preserve"> </w:t>
      </w:r>
      <w:r w:rsidR="002701CF" w:rsidRPr="00CA23D1">
        <w:rPr>
          <w:rFonts w:cs="Arial"/>
          <w:i/>
          <w:iCs/>
          <w:lang w:val="es-ES"/>
        </w:rPr>
        <w:t>Limitar el impacto global de las embarcaciones sobre los tiburones ballena: comprender una amenaza creciente para el pez más grande del mundo.</w:t>
      </w:r>
    </w:p>
    <w:p w14:paraId="198C452D" w14:textId="77777777" w:rsidR="003B043E" w:rsidRPr="00CA23D1" w:rsidRDefault="003B043E" w:rsidP="00A618B3">
      <w:pPr>
        <w:widowControl w:val="0"/>
        <w:autoSpaceDE w:val="0"/>
        <w:autoSpaceDN w:val="0"/>
        <w:adjustRightInd w:val="0"/>
        <w:spacing w:after="0" w:line="240" w:lineRule="auto"/>
        <w:ind w:left="540" w:right="90" w:hanging="540"/>
        <w:jc w:val="both"/>
        <w:rPr>
          <w:rFonts w:cs="Arial"/>
          <w:lang w:val="es-ES"/>
        </w:rPr>
      </w:pPr>
    </w:p>
    <w:p w14:paraId="3A46EDCD" w14:textId="3425ABF8" w:rsidR="00DB33AC" w:rsidRPr="00CA23D1" w:rsidRDefault="00491440" w:rsidP="00A618B3">
      <w:pPr>
        <w:widowControl w:val="0"/>
        <w:numPr>
          <w:ilvl w:val="0"/>
          <w:numId w:val="6"/>
        </w:numPr>
        <w:autoSpaceDE w:val="0"/>
        <w:autoSpaceDN w:val="0"/>
        <w:adjustRightInd w:val="0"/>
        <w:spacing w:after="0" w:line="240" w:lineRule="auto"/>
        <w:ind w:left="540" w:right="90" w:hanging="540"/>
        <w:jc w:val="both"/>
        <w:rPr>
          <w:rFonts w:cs="Arial"/>
          <w:lang w:val="es-ES"/>
        </w:rPr>
      </w:pPr>
      <w:r w:rsidRPr="00CA23D1">
        <w:rPr>
          <w:rFonts w:cs="Arial"/>
          <w:lang w:val="es-ES"/>
        </w:rPr>
        <w:t xml:space="preserve">El estudio se centró en los principales lugares de agregación en los que se tiene constancia de la presencia de tiburones ballena. Se delinearon las «zonas de hábitat principal» para la especie (a partir de 40 lugares de agregación que representaban a más de 12 000 tiburones ballena) y se superpusieron con datos del tráfico marítimo </w:t>
      </w:r>
      <w:r w:rsidRPr="00CA23D1">
        <w:rPr>
          <w:rFonts w:cs="Arial"/>
          <w:lang w:val="es-ES"/>
        </w:rPr>
        <w:br/>
        <w:t>2017–2019. El estudio muestra que muchos de estos lugares de agregación, en particular, en el mar Arábigo y en sus aguas adyacentes, en el golfo de México, en el golfo de California y en el sudeste y este de Asia, corren un riesgo relativamente mayor de sufrir colisiones con embarcaciones en la zona de hábitat principal.</w:t>
      </w:r>
      <w:r w:rsidR="00AA57B5" w:rsidRPr="00CA23D1">
        <w:rPr>
          <w:rStyle w:val="FootnoteReference"/>
          <w:rFonts w:cs="Arial"/>
          <w:lang w:val="es-ES"/>
        </w:rPr>
        <w:footnoteReference w:id="6"/>
      </w:r>
      <w:r w:rsidRPr="00CA23D1">
        <w:rPr>
          <w:rFonts w:cs="Arial"/>
          <w:lang w:val="es-ES"/>
        </w:rPr>
        <w:t xml:space="preserve"> Se determinó que el riesgo aumentaba aún más debido a que el tráfico marítimo era mayor en la misma época del año en la que se producían los períodos de máxima agregación de tiburones ballena. </w:t>
      </w:r>
    </w:p>
    <w:p w14:paraId="2A28E996" w14:textId="77777777" w:rsidR="003B043E" w:rsidRPr="00CA23D1" w:rsidRDefault="003B043E" w:rsidP="00A618B3">
      <w:pPr>
        <w:widowControl w:val="0"/>
        <w:autoSpaceDE w:val="0"/>
        <w:autoSpaceDN w:val="0"/>
        <w:adjustRightInd w:val="0"/>
        <w:spacing w:after="0" w:line="240" w:lineRule="auto"/>
        <w:ind w:left="540" w:right="90" w:hanging="540"/>
        <w:jc w:val="both"/>
        <w:rPr>
          <w:rFonts w:cs="Arial"/>
          <w:lang w:val="es-ES"/>
        </w:rPr>
      </w:pPr>
    </w:p>
    <w:p w14:paraId="066E5CF1" w14:textId="00664DAA" w:rsidR="00DB33AC" w:rsidRPr="00CA23D1" w:rsidRDefault="005B03DB" w:rsidP="00A618B3">
      <w:pPr>
        <w:widowControl w:val="0"/>
        <w:numPr>
          <w:ilvl w:val="0"/>
          <w:numId w:val="6"/>
        </w:numPr>
        <w:autoSpaceDE w:val="0"/>
        <w:autoSpaceDN w:val="0"/>
        <w:adjustRightInd w:val="0"/>
        <w:spacing w:after="0" w:line="240" w:lineRule="auto"/>
        <w:ind w:left="540" w:right="90" w:hanging="540"/>
        <w:jc w:val="both"/>
        <w:rPr>
          <w:rFonts w:cs="Arial"/>
          <w:lang w:val="es-ES"/>
        </w:rPr>
      </w:pPr>
      <w:r w:rsidRPr="00CA23D1">
        <w:rPr>
          <w:rFonts w:cs="Arial"/>
          <w:lang w:val="es-ES"/>
        </w:rPr>
        <w:t xml:space="preserve">Centrarse en los hábitats principales del tiburón ballena es un primer paso importante, ya que las medidas de mitigación pueden tener un impacto positivo en un gran número de tiburones. Además, los costes del tráfico marítimo son menores debido al tamaño relativamente pequeño de estas zonas del hábitat principal. Podría lograrse una mejor protección del tiburón ballena mediante la designación de áreas que se deben evitar (ATBA) o zonas de exclusión de embarcaciones, aunque se asignaran de forma temporal; mediante sistemas de separación del tráfico que concentren a las </w:t>
      </w:r>
      <w:r w:rsidRPr="00CA23D1">
        <w:rPr>
          <w:rFonts w:cs="Arial"/>
          <w:lang w:val="es-ES"/>
        </w:rPr>
        <w:lastRenderedPageBreak/>
        <w:t>embarcaciones y reduzcan la zona de solapamiento con los tiburones ballena; mediante límites de velocidad en estas áreas críticas; y mediante el uso de redes de alerta que puedan complementarlas o utilizarse a niveles locales. Es necesario seguir trabajando para desarrollar mecanismos de mitigación específicos para cada lugar, en colaboración con la industria, el gobierno y las partes interesadas en la investigación.</w:t>
      </w:r>
    </w:p>
    <w:p w14:paraId="06EB93FD" w14:textId="77777777" w:rsidR="00817CD7" w:rsidRPr="00CA23D1" w:rsidRDefault="00817CD7" w:rsidP="00A618B3">
      <w:pPr>
        <w:widowControl w:val="0"/>
        <w:autoSpaceDE w:val="0"/>
        <w:autoSpaceDN w:val="0"/>
        <w:adjustRightInd w:val="0"/>
        <w:spacing w:after="0" w:line="240" w:lineRule="auto"/>
        <w:ind w:left="540" w:right="90" w:hanging="540"/>
        <w:jc w:val="both"/>
        <w:rPr>
          <w:rFonts w:cs="Arial"/>
          <w:lang w:val="es-ES"/>
        </w:rPr>
      </w:pPr>
    </w:p>
    <w:p w14:paraId="701E370D" w14:textId="1B79C17E" w:rsidR="002C5339" w:rsidRPr="00CA23D1" w:rsidRDefault="000954C8" w:rsidP="00A618B3">
      <w:pPr>
        <w:widowControl w:val="0"/>
        <w:numPr>
          <w:ilvl w:val="0"/>
          <w:numId w:val="6"/>
        </w:numPr>
        <w:autoSpaceDE w:val="0"/>
        <w:autoSpaceDN w:val="0"/>
        <w:adjustRightInd w:val="0"/>
        <w:spacing w:after="0" w:line="240" w:lineRule="auto"/>
        <w:ind w:left="540" w:right="90" w:hanging="540"/>
        <w:jc w:val="both"/>
        <w:rPr>
          <w:rFonts w:cs="Arial"/>
          <w:lang w:val="es-ES"/>
        </w:rPr>
      </w:pPr>
      <w:r w:rsidRPr="00CA23D1">
        <w:rPr>
          <w:rFonts w:cs="Arial"/>
          <w:lang w:val="es-ES"/>
        </w:rPr>
        <w:t xml:space="preserve">Por lo tanto, es necesario que las Partes lleven a cabo acciones para mitigar las colisiones con embarcaciones. Las medidas de seguimiento y aplicación recomendadas, así como otras opciones políticas y legislativas, se presentan en las </w:t>
      </w:r>
      <w:r w:rsidR="00776DA7" w:rsidRPr="00CA23D1">
        <w:rPr>
          <w:rFonts w:cs="Arial"/>
          <w:i/>
          <w:lang w:val="es-ES"/>
        </w:rPr>
        <w:t>Directrices</w:t>
      </w:r>
      <w:r w:rsidR="00776DA7" w:rsidRPr="00CA23D1">
        <w:rPr>
          <w:rFonts w:cs="Arial"/>
          <w:iCs/>
          <w:lang w:val="es-ES"/>
        </w:rPr>
        <w:t xml:space="preserve"> </w:t>
      </w:r>
      <w:r w:rsidR="00776DA7" w:rsidRPr="00CA23D1">
        <w:rPr>
          <w:i/>
          <w:iCs/>
          <w:lang w:val="es-ES"/>
        </w:rPr>
        <w:t>sobre la reducción del riesgo de colisión de embarcaciones con los tiburones ballena (</w:t>
      </w:r>
      <w:proofErr w:type="spellStart"/>
      <w:r w:rsidR="00776DA7" w:rsidRPr="00CA23D1">
        <w:rPr>
          <w:i/>
          <w:iCs/>
          <w:lang w:val="es-ES"/>
        </w:rPr>
        <w:t>Rhincodon</w:t>
      </w:r>
      <w:proofErr w:type="spellEnd"/>
      <w:r w:rsidR="00776DA7" w:rsidRPr="00CA23D1">
        <w:rPr>
          <w:i/>
          <w:iCs/>
          <w:lang w:val="es-ES"/>
        </w:rPr>
        <w:t xml:space="preserve"> </w:t>
      </w:r>
      <w:proofErr w:type="spellStart"/>
      <w:r w:rsidR="00776DA7" w:rsidRPr="00CA23D1">
        <w:rPr>
          <w:i/>
          <w:iCs/>
          <w:lang w:val="es-ES"/>
        </w:rPr>
        <w:t>typus</w:t>
      </w:r>
      <w:proofErr w:type="spellEnd"/>
      <w:r w:rsidR="00776DA7" w:rsidRPr="00CA23D1">
        <w:rPr>
          <w:i/>
          <w:iCs/>
          <w:lang w:val="es-ES"/>
        </w:rPr>
        <w:t>)</w:t>
      </w:r>
      <w:r w:rsidRPr="00CA23D1">
        <w:rPr>
          <w:rFonts w:cs="Arial"/>
          <w:lang w:val="es-ES"/>
        </w:rPr>
        <w:t xml:space="preserve"> en el Anexo 2 de este documento - y se proponen como anexo a la Resolución.</w:t>
      </w:r>
    </w:p>
    <w:p w14:paraId="612F11BE" w14:textId="77777777" w:rsidR="00837F80" w:rsidRPr="00CA23D1" w:rsidRDefault="00837F80" w:rsidP="00A618B3">
      <w:pPr>
        <w:widowControl w:val="0"/>
        <w:autoSpaceDE w:val="0"/>
        <w:autoSpaceDN w:val="0"/>
        <w:adjustRightInd w:val="0"/>
        <w:spacing w:after="0" w:line="240" w:lineRule="auto"/>
        <w:ind w:left="540" w:right="90" w:hanging="540"/>
        <w:jc w:val="both"/>
        <w:rPr>
          <w:rFonts w:cs="Arial"/>
          <w:lang w:val="es-ES"/>
        </w:rPr>
      </w:pPr>
    </w:p>
    <w:p w14:paraId="7BC5C614" w14:textId="62D2D6D0" w:rsidR="007E0314" w:rsidRPr="00CA23D1" w:rsidRDefault="007E0314" w:rsidP="00A618B3">
      <w:pPr>
        <w:widowControl w:val="0"/>
        <w:numPr>
          <w:ilvl w:val="0"/>
          <w:numId w:val="6"/>
        </w:numPr>
        <w:autoSpaceDE w:val="0"/>
        <w:autoSpaceDN w:val="0"/>
        <w:adjustRightInd w:val="0"/>
        <w:spacing w:after="0" w:line="240" w:lineRule="auto"/>
        <w:ind w:left="540" w:right="90" w:hanging="540"/>
        <w:jc w:val="both"/>
        <w:rPr>
          <w:rFonts w:cs="Arial"/>
          <w:lang w:val="es-ES"/>
        </w:rPr>
      </w:pPr>
      <w:r w:rsidRPr="00CA23D1">
        <w:rPr>
          <w:rFonts w:cs="Arial"/>
          <w:lang w:val="es-ES"/>
        </w:rPr>
        <w:t xml:space="preserve">A la luz de la vulnerabilidad potencial de diversas especies de tiburones y rayas (incluidos los tiburones peregrinos que se alimentan por filtración y las rayas </w:t>
      </w:r>
      <w:proofErr w:type="spellStart"/>
      <w:r w:rsidRPr="00CA23D1">
        <w:rPr>
          <w:rFonts w:cs="Arial"/>
          <w:lang w:val="es-ES"/>
        </w:rPr>
        <w:t>mobúlidas</w:t>
      </w:r>
      <w:proofErr w:type="spellEnd"/>
      <w:r w:rsidRPr="00CA23D1">
        <w:rPr>
          <w:rFonts w:cs="Arial"/>
          <w:lang w:val="es-ES"/>
        </w:rPr>
        <w:t>) a un mayor riesgo de colisiones con embarcaciones, es fundamental investigar el aprovechamiento de las Áreas Importantes para Tiburones y Rayas (ISRA) identificadas como un medio para fundamentar el desarrollo de estrategias de mitigación efectivas. Examinando la sinergia potencial entre estas áreas críticas y la aplicación de medidas adecuadas, podemos mejorar nuestros esfuerzos para salvaguardar estas especies de los peligros que representa el tráfico marítimo.</w:t>
      </w:r>
    </w:p>
    <w:p w14:paraId="0DF8C220" w14:textId="77777777" w:rsidR="00D93D23" w:rsidRPr="00CA23D1" w:rsidRDefault="00D93D23" w:rsidP="00A618B3">
      <w:pPr>
        <w:spacing w:after="0" w:line="240" w:lineRule="auto"/>
        <w:ind w:left="540" w:right="90" w:hanging="540"/>
        <w:rPr>
          <w:rFonts w:cs="Arial"/>
          <w:u w:val="single"/>
          <w:lang w:val="es-ES"/>
        </w:rPr>
      </w:pPr>
    </w:p>
    <w:p w14:paraId="5BD6C099" w14:textId="37D9845F" w:rsidR="00C3638B" w:rsidRPr="00CA23D1" w:rsidRDefault="00C3638B" w:rsidP="00A618B3">
      <w:pPr>
        <w:spacing w:after="0" w:line="240" w:lineRule="auto"/>
        <w:ind w:left="540" w:right="90" w:hanging="540"/>
        <w:rPr>
          <w:rFonts w:cs="Arial"/>
          <w:u w:val="single"/>
          <w:lang w:val="es-ES"/>
        </w:rPr>
      </w:pPr>
      <w:r w:rsidRPr="00CA23D1">
        <w:rPr>
          <w:rFonts w:cs="Arial"/>
          <w:u w:val="single"/>
          <w:lang w:val="es-ES"/>
        </w:rPr>
        <w:t>Debate y análisis</w:t>
      </w:r>
    </w:p>
    <w:p w14:paraId="799F895A" w14:textId="77777777" w:rsidR="0016310F" w:rsidRPr="00CA23D1" w:rsidRDefault="0016310F" w:rsidP="00A618B3">
      <w:pPr>
        <w:widowControl w:val="0"/>
        <w:autoSpaceDE w:val="0"/>
        <w:autoSpaceDN w:val="0"/>
        <w:adjustRightInd w:val="0"/>
        <w:spacing w:after="0" w:line="240" w:lineRule="auto"/>
        <w:ind w:left="540" w:right="90" w:hanging="540"/>
        <w:jc w:val="both"/>
        <w:rPr>
          <w:rFonts w:cs="Arial"/>
          <w:lang w:val="es-ES"/>
        </w:rPr>
      </w:pPr>
    </w:p>
    <w:p w14:paraId="6BEFD2F1" w14:textId="355FD806" w:rsidR="00AF3F47" w:rsidRPr="00CA23D1" w:rsidRDefault="00AA7A7F" w:rsidP="00A618B3">
      <w:pPr>
        <w:widowControl w:val="0"/>
        <w:numPr>
          <w:ilvl w:val="0"/>
          <w:numId w:val="6"/>
        </w:numPr>
        <w:autoSpaceDE w:val="0"/>
        <w:autoSpaceDN w:val="0"/>
        <w:adjustRightInd w:val="0"/>
        <w:spacing w:after="0" w:line="240" w:lineRule="auto"/>
        <w:ind w:left="540" w:right="90" w:hanging="540"/>
        <w:jc w:val="both"/>
        <w:rPr>
          <w:rFonts w:cs="Arial"/>
          <w:lang w:val="es-ES"/>
        </w:rPr>
      </w:pPr>
      <w:r w:rsidRPr="00CA23D1">
        <w:rPr>
          <w:rFonts w:cs="Arial"/>
          <w:lang w:val="es-ES"/>
        </w:rPr>
        <w:t xml:space="preserve">En conclusión, las amenazas que representan las colisiones con embarcaciones para las especies de la megafauna marina incluidas en los Apéndices de la CMS, es un problema acuciante que las Partes siguen, en gran medida, sin abordar. La colaboración entre la CMS y la CBI se encuentra en marcha para abordar esta preocupación, </w:t>
      </w:r>
      <w:proofErr w:type="gramStart"/>
      <w:r w:rsidRPr="00CA23D1">
        <w:rPr>
          <w:rFonts w:cs="Arial"/>
          <w:lang w:val="es-ES"/>
        </w:rPr>
        <w:t>centrándose principalmente en</w:t>
      </w:r>
      <w:proofErr w:type="gramEnd"/>
      <w:r w:rsidRPr="00CA23D1">
        <w:rPr>
          <w:rFonts w:cs="Arial"/>
          <w:lang w:val="es-ES"/>
        </w:rPr>
        <w:t xml:space="preserve"> los cetáceos. Sin embargo, es fundamental reconocer que las colisiones con embarcaciones también ponen en peligro a otras especies incluidas en la CMS, como los sirenios y los pinnípedos, las tortugas marinas, los tiburones y las rayas. Los tiburones ballena son conocidos por ser especialmente vulnerables. Por desgracia, aparte de la importante labor realizada a favor de los cetáceos, se ha prestado una escasa atención política internacional a este asunto - una importante laguna que la CMS puede colmar eficazmente.</w:t>
      </w:r>
    </w:p>
    <w:p w14:paraId="561559CD" w14:textId="77777777" w:rsidR="00AF3F47" w:rsidRPr="00CA23D1" w:rsidRDefault="00AF3F47" w:rsidP="00A618B3">
      <w:pPr>
        <w:widowControl w:val="0"/>
        <w:autoSpaceDE w:val="0"/>
        <w:autoSpaceDN w:val="0"/>
        <w:adjustRightInd w:val="0"/>
        <w:spacing w:after="0" w:line="240" w:lineRule="auto"/>
        <w:ind w:left="540" w:right="90" w:hanging="540"/>
        <w:jc w:val="both"/>
        <w:rPr>
          <w:rFonts w:cs="Arial"/>
          <w:lang w:val="es-ES"/>
        </w:rPr>
      </w:pPr>
    </w:p>
    <w:p w14:paraId="1AF05DF8" w14:textId="163E483E" w:rsidR="00AF3F47" w:rsidRPr="00CA23D1" w:rsidRDefault="00AF3F47" w:rsidP="00A618B3">
      <w:pPr>
        <w:widowControl w:val="0"/>
        <w:numPr>
          <w:ilvl w:val="0"/>
          <w:numId w:val="6"/>
        </w:numPr>
        <w:autoSpaceDE w:val="0"/>
        <w:autoSpaceDN w:val="0"/>
        <w:adjustRightInd w:val="0"/>
        <w:spacing w:after="0" w:line="240" w:lineRule="auto"/>
        <w:ind w:left="540" w:right="90" w:hanging="540"/>
        <w:jc w:val="both"/>
        <w:rPr>
          <w:rFonts w:cs="Arial"/>
          <w:lang w:val="es-ES"/>
        </w:rPr>
      </w:pPr>
      <w:r w:rsidRPr="00CA23D1">
        <w:rPr>
          <w:rFonts w:cs="Arial"/>
          <w:lang w:val="es-ES"/>
        </w:rPr>
        <w:t>Es importante que las Partes emprendan medidas proactivas que tengan como objetivo reducir el riesgo de colisión con embarcaciones, llevando a cabo programas de investigación y seguimiento, y fomentando la cooperación con otras naciones para implementar medidas sólidas de conservación. Con el cumplimiento de sus responsabilidades en el marco de la CMS, las Partes pueden jugar un papel decisivo para salvaguardar la supervivencia a largo plazo de estas especies vulnerables y para preservar la salud general de los ecosistemas marinos en los que habitan.</w:t>
      </w:r>
    </w:p>
    <w:p w14:paraId="0D094851" w14:textId="77777777" w:rsidR="00AB1C72" w:rsidRPr="00CA23D1" w:rsidRDefault="00AB1C72" w:rsidP="00A618B3">
      <w:pPr>
        <w:widowControl w:val="0"/>
        <w:autoSpaceDE w:val="0"/>
        <w:autoSpaceDN w:val="0"/>
        <w:adjustRightInd w:val="0"/>
        <w:spacing w:after="0" w:line="240" w:lineRule="auto"/>
        <w:ind w:left="540" w:right="90" w:hanging="540"/>
        <w:jc w:val="both"/>
        <w:rPr>
          <w:rFonts w:cs="Arial"/>
          <w:lang w:val="es-ES"/>
        </w:rPr>
      </w:pPr>
    </w:p>
    <w:p w14:paraId="60388D68" w14:textId="4D5489CB" w:rsidR="00A9294F" w:rsidRPr="00CA23D1" w:rsidRDefault="00A9294F" w:rsidP="00A618B3">
      <w:pPr>
        <w:widowControl w:val="0"/>
        <w:numPr>
          <w:ilvl w:val="0"/>
          <w:numId w:val="6"/>
        </w:numPr>
        <w:autoSpaceDE w:val="0"/>
        <w:autoSpaceDN w:val="0"/>
        <w:adjustRightInd w:val="0"/>
        <w:spacing w:after="0" w:line="240" w:lineRule="auto"/>
        <w:ind w:left="540" w:right="90" w:hanging="540"/>
        <w:jc w:val="both"/>
        <w:rPr>
          <w:rFonts w:cs="Arial"/>
          <w:lang w:val="es-ES"/>
        </w:rPr>
      </w:pPr>
      <w:r w:rsidRPr="00CA23D1">
        <w:rPr>
          <w:rFonts w:cs="Arial"/>
          <w:lang w:val="es-ES"/>
        </w:rPr>
        <w:t>A medida que el tráfico marítimo continúa aumentando, acompañado de los futuros cambios en la distribución de las especies por el cambio climático, la necesidad de un enfoque de gestión adaptativa es cada vez más evidente. Es crucial adoptar estrategias que puedan adaptarse a estas circunstancias cambiantes, garantizando la protección de la vida marina y del frágil equilibrio de nuestros ecosistemas.</w:t>
      </w:r>
    </w:p>
    <w:p w14:paraId="3E1D9B42" w14:textId="77777777" w:rsidR="00DE5203" w:rsidRPr="00CA23D1" w:rsidRDefault="00DE5203" w:rsidP="00A618B3">
      <w:pPr>
        <w:spacing w:after="0" w:line="240" w:lineRule="auto"/>
        <w:ind w:left="540" w:right="90" w:hanging="540"/>
        <w:rPr>
          <w:rFonts w:cs="Arial"/>
          <w:u w:val="single"/>
          <w:lang w:val="es-ES"/>
        </w:rPr>
      </w:pPr>
    </w:p>
    <w:p w14:paraId="49C48001" w14:textId="67984C86" w:rsidR="00A618B3" w:rsidRDefault="00A618B3">
      <w:pPr>
        <w:rPr>
          <w:rFonts w:cs="Arial"/>
          <w:u w:val="single"/>
          <w:lang w:val="es-ES"/>
        </w:rPr>
      </w:pPr>
      <w:r>
        <w:rPr>
          <w:rFonts w:cs="Arial"/>
          <w:u w:val="single"/>
          <w:lang w:val="es-ES"/>
        </w:rPr>
        <w:br w:type="page"/>
      </w:r>
    </w:p>
    <w:p w14:paraId="25D5D96F" w14:textId="77777777" w:rsidR="00661875" w:rsidRPr="00CA23D1" w:rsidRDefault="00661875" w:rsidP="00A618B3">
      <w:pPr>
        <w:spacing w:after="0" w:line="240" w:lineRule="auto"/>
        <w:ind w:left="540" w:right="90" w:hanging="540"/>
        <w:rPr>
          <w:rFonts w:cs="Arial"/>
          <w:lang w:val="es-ES"/>
        </w:rPr>
      </w:pPr>
      <w:r w:rsidRPr="00CA23D1">
        <w:rPr>
          <w:rFonts w:cs="Arial"/>
          <w:u w:val="single"/>
          <w:lang w:val="es-ES"/>
        </w:rPr>
        <w:lastRenderedPageBreak/>
        <w:t>Acciones recomendadas</w:t>
      </w:r>
    </w:p>
    <w:p w14:paraId="180331FF" w14:textId="77777777" w:rsidR="00661875" w:rsidRPr="00CA23D1" w:rsidRDefault="00661875" w:rsidP="00A618B3">
      <w:pPr>
        <w:spacing w:after="0" w:line="240" w:lineRule="auto"/>
        <w:ind w:left="540" w:right="90" w:hanging="540"/>
        <w:rPr>
          <w:rFonts w:cs="Arial"/>
          <w:lang w:val="es-ES"/>
        </w:rPr>
      </w:pPr>
    </w:p>
    <w:p w14:paraId="4DA1BFBB" w14:textId="77777777" w:rsidR="00661875" w:rsidRPr="00CA23D1" w:rsidRDefault="00661875" w:rsidP="00896D5F">
      <w:pPr>
        <w:widowControl w:val="0"/>
        <w:numPr>
          <w:ilvl w:val="0"/>
          <w:numId w:val="6"/>
        </w:numPr>
        <w:autoSpaceDE w:val="0"/>
        <w:autoSpaceDN w:val="0"/>
        <w:adjustRightInd w:val="0"/>
        <w:spacing w:after="0" w:line="240" w:lineRule="auto"/>
        <w:ind w:left="567" w:right="90" w:hanging="567"/>
        <w:jc w:val="both"/>
        <w:rPr>
          <w:rFonts w:cs="Arial"/>
          <w:lang w:val="es-ES"/>
        </w:rPr>
      </w:pPr>
      <w:r w:rsidRPr="00CA23D1">
        <w:rPr>
          <w:rFonts w:cs="Arial"/>
          <w:lang w:val="es-ES" w:eastAsia="es-ES"/>
        </w:rPr>
        <w:t>Se recomienda a la Conferencia de las Partes que:</w:t>
      </w:r>
    </w:p>
    <w:p w14:paraId="51453655" w14:textId="77777777" w:rsidR="00661875" w:rsidRPr="00CA23D1" w:rsidRDefault="00661875" w:rsidP="00896D5F">
      <w:pPr>
        <w:spacing w:after="0" w:line="240" w:lineRule="auto"/>
        <w:ind w:right="90"/>
        <w:jc w:val="both"/>
        <w:rPr>
          <w:rFonts w:cs="Arial"/>
          <w:lang w:val="es-ES"/>
        </w:rPr>
      </w:pPr>
    </w:p>
    <w:p w14:paraId="2DCE8B95" w14:textId="4632A6D1" w:rsidR="00831DC2" w:rsidRPr="00CA23D1" w:rsidRDefault="00831DC2" w:rsidP="00896D5F">
      <w:pPr>
        <w:pStyle w:val="Secondnumbering"/>
        <w:numPr>
          <w:ilvl w:val="0"/>
          <w:numId w:val="25"/>
        </w:numPr>
        <w:ind w:left="900" w:right="90"/>
        <w:jc w:val="both"/>
        <w:rPr>
          <w:lang w:val="es-ES"/>
        </w:rPr>
      </w:pPr>
      <w:r w:rsidRPr="00CA23D1">
        <w:rPr>
          <w:rFonts w:cs="Arial"/>
          <w:lang w:val="es-ES"/>
        </w:rPr>
        <w:t xml:space="preserve">tome nota del Informe facilitado en </w:t>
      </w:r>
      <w:hyperlink r:id="rId25" w:history="1">
        <w:r w:rsidR="00E40FCE" w:rsidRPr="00CA23D1">
          <w:rPr>
            <w:rStyle w:val="Hyperlink"/>
            <w:lang w:val="es-ES"/>
          </w:rPr>
          <w:t>UNEP/CMS/COP14/Inf.27.2.3</w:t>
        </w:r>
      </w:hyperlink>
      <w:r w:rsidR="00C3638B" w:rsidRPr="00CA23D1">
        <w:rPr>
          <w:rFonts w:cs="Arial"/>
          <w:lang w:val="es-ES"/>
        </w:rPr>
        <w:t>;</w:t>
      </w:r>
    </w:p>
    <w:p w14:paraId="67CDA7B9" w14:textId="77777777" w:rsidR="00831DC2" w:rsidRPr="00CA23D1" w:rsidRDefault="00831DC2" w:rsidP="00896D5F">
      <w:pPr>
        <w:pStyle w:val="ListParagraph"/>
        <w:spacing w:after="0" w:line="240" w:lineRule="auto"/>
        <w:ind w:left="900" w:right="90" w:hanging="360"/>
        <w:contextualSpacing w:val="0"/>
        <w:jc w:val="both"/>
        <w:rPr>
          <w:lang w:val="es-ES"/>
        </w:rPr>
      </w:pPr>
    </w:p>
    <w:p w14:paraId="57A840D1" w14:textId="397A00C8" w:rsidR="002A012C" w:rsidRPr="00CA23D1" w:rsidRDefault="00562A3C" w:rsidP="00896D5F">
      <w:pPr>
        <w:pStyle w:val="Secondnumbering"/>
        <w:numPr>
          <w:ilvl w:val="0"/>
          <w:numId w:val="25"/>
        </w:numPr>
        <w:ind w:left="900" w:right="90"/>
        <w:jc w:val="both"/>
        <w:rPr>
          <w:lang w:val="es-ES"/>
        </w:rPr>
      </w:pPr>
      <w:r w:rsidRPr="00CA23D1">
        <w:rPr>
          <w:rFonts w:cs="Arial"/>
          <w:lang w:val="es-ES"/>
        </w:rPr>
        <w:t>adopte el proyecto de Resolución contenido en el Anexo 1, incluidas las Directrices contenidas en el Anexo 2 de este documento;</w:t>
      </w:r>
    </w:p>
    <w:p w14:paraId="1D2AB570" w14:textId="77777777" w:rsidR="008B1B57" w:rsidRPr="00CA23D1" w:rsidRDefault="008B1B57" w:rsidP="00896D5F">
      <w:pPr>
        <w:pStyle w:val="Secondnumbering"/>
        <w:numPr>
          <w:ilvl w:val="0"/>
          <w:numId w:val="0"/>
        </w:numPr>
        <w:ind w:left="900" w:right="90" w:hanging="360"/>
        <w:jc w:val="both"/>
        <w:rPr>
          <w:lang w:val="es-ES"/>
        </w:rPr>
      </w:pPr>
    </w:p>
    <w:p w14:paraId="761F48E1" w14:textId="77777777" w:rsidR="008C7A00" w:rsidRPr="00CA23D1" w:rsidRDefault="008B1B57" w:rsidP="00896D5F">
      <w:pPr>
        <w:pStyle w:val="Secondnumbering"/>
        <w:numPr>
          <w:ilvl w:val="0"/>
          <w:numId w:val="25"/>
        </w:numPr>
        <w:ind w:left="900" w:right="90"/>
        <w:jc w:val="both"/>
        <w:rPr>
          <w:rFonts w:cs="Arial"/>
          <w:lang w:val="es-ES"/>
        </w:rPr>
        <w:sectPr w:rsidR="008C7A00" w:rsidRPr="00CA23D1" w:rsidSect="00A618B3">
          <w:headerReference w:type="even" r:id="rId26"/>
          <w:headerReference w:type="default" r:id="rId27"/>
          <w:headerReference w:type="first" r:id="rId28"/>
          <w:footerReference w:type="first" r:id="rId29"/>
          <w:pgSz w:w="11906" w:h="16838" w:code="9"/>
          <w:pgMar w:top="1440" w:right="1440" w:bottom="1440" w:left="1440" w:header="720" w:footer="720" w:gutter="0"/>
          <w:cols w:space="720"/>
          <w:titlePg/>
          <w:docGrid w:linePitch="360"/>
        </w:sectPr>
      </w:pPr>
      <w:r w:rsidRPr="00CA23D1">
        <w:rPr>
          <w:rFonts w:cs="Arial"/>
          <w:lang w:val="es-ES"/>
        </w:rPr>
        <w:t>adopte el proyecto de Decisión contenido en el Anexo 3 de este documento.</w:t>
      </w:r>
    </w:p>
    <w:p w14:paraId="371628D4" w14:textId="28D438CE" w:rsidR="00831DC2" w:rsidRPr="00CA23D1" w:rsidRDefault="00831DC2" w:rsidP="00C3638B">
      <w:pPr>
        <w:pStyle w:val="Secondnumbering"/>
        <w:numPr>
          <w:ilvl w:val="0"/>
          <w:numId w:val="0"/>
        </w:numPr>
        <w:ind w:right="90"/>
        <w:jc w:val="right"/>
        <w:rPr>
          <w:lang w:val="es-ES"/>
        </w:rPr>
      </w:pPr>
      <w:r w:rsidRPr="00CA23D1">
        <w:rPr>
          <w:rFonts w:cs="Arial"/>
          <w:b/>
          <w:caps/>
          <w:lang w:val="es-ES"/>
        </w:rPr>
        <w:lastRenderedPageBreak/>
        <w:t>Anexo 1</w:t>
      </w:r>
    </w:p>
    <w:p w14:paraId="6829208F" w14:textId="77777777" w:rsidR="00831DC2" w:rsidRDefault="00831DC2" w:rsidP="00C3638B">
      <w:pPr>
        <w:pStyle w:val="Secondnumbering"/>
        <w:numPr>
          <w:ilvl w:val="0"/>
          <w:numId w:val="0"/>
        </w:numPr>
        <w:ind w:right="90"/>
        <w:rPr>
          <w:lang w:val="es-ES"/>
        </w:rPr>
      </w:pPr>
    </w:p>
    <w:p w14:paraId="35887617" w14:textId="77777777" w:rsidR="00A618B3" w:rsidRPr="00CA23D1" w:rsidRDefault="00A618B3" w:rsidP="00C3638B">
      <w:pPr>
        <w:pStyle w:val="Secondnumbering"/>
        <w:numPr>
          <w:ilvl w:val="0"/>
          <w:numId w:val="0"/>
        </w:numPr>
        <w:ind w:right="90"/>
        <w:rPr>
          <w:lang w:val="es-ES"/>
        </w:rPr>
      </w:pPr>
    </w:p>
    <w:p w14:paraId="151DFF03" w14:textId="6C4AC16A" w:rsidR="00831DC2" w:rsidRPr="00CA23D1" w:rsidRDefault="00831DC2" w:rsidP="00C3638B">
      <w:pPr>
        <w:widowControl w:val="0"/>
        <w:autoSpaceDE w:val="0"/>
        <w:autoSpaceDN w:val="0"/>
        <w:adjustRightInd w:val="0"/>
        <w:spacing w:after="0" w:line="240" w:lineRule="auto"/>
        <w:ind w:right="90"/>
        <w:jc w:val="center"/>
        <w:rPr>
          <w:rFonts w:eastAsia="Times New Roman" w:cs="Arial"/>
          <w:lang w:val="es-ES"/>
        </w:rPr>
      </w:pPr>
      <w:r w:rsidRPr="00CA23D1">
        <w:rPr>
          <w:rFonts w:eastAsia="Times New Roman" w:cs="Arial"/>
          <w:lang w:val="es-ES"/>
        </w:rPr>
        <w:t>PROYECTO DE RESOLUCIÓN</w:t>
      </w:r>
    </w:p>
    <w:p w14:paraId="0C713FC9" w14:textId="77777777" w:rsidR="00BE0EA7" w:rsidRPr="00CA23D1" w:rsidRDefault="00BE0EA7" w:rsidP="00C3638B">
      <w:pPr>
        <w:widowControl w:val="0"/>
        <w:autoSpaceDE w:val="0"/>
        <w:autoSpaceDN w:val="0"/>
        <w:adjustRightInd w:val="0"/>
        <w:spacing w:after="0" w:line="240" w:lineRule="auto"/>
        <w:ind w:right="90"/>
        <w:jc w:val="both"/>
        <w:rPr>
          <w:rFonts w:eastAsia="Times New Roman" w:cs="Arial"/>
          <w:lang w:val="es-ES"/>
        </w:rPr>
      </w:pPr>
    </w:p>
    <w:p w14:paraId="4649CD9C" w14:textId="55EA236E" w:rsidR="00831DC2" w:rsidRPr="00CA23D1" w:rsidRDefault="00831DC2" w:rsidP="00C3638B">
      <w:pPr>
        <w:widowControl w:val="0"/>
        <w:autoSpaceDE w:val="0"/>
        <w:autoSpaceDN w:val="0"/>
        <w:adjustRightInd w:val="0"/>
        <w:spacing w:after="0" w:line="240" w:lineRule="auto"/>
        <w:ind w:right="90"/>
        <w:jc w:val="center"/>
        <w:rPr>
          <w:rFonts w:eastAsia="Times New Roman" w:cs="Arial"/>
          <w:lang w:val="es-ES"/>
        </w:rPr>
      </w:pPr>
    </w:p>
    <w:p w14:paraId="66AC0F36" w14:textId="192D2081" w:rsidR="0033561D" w:rsidRPr="00CA23D1" w:rsidRDefault="0033561D" w:rsidP="002D4EE1">
      <w:pPr>
        <w:spacing w:after="0" w:line="240" w:lineRule="auto"/>
        <w:ind w:right="90"/>
        <w:jc w:val="center"/>
        <w:rPr>
          <w:b/>
          <w:bCs/>
          <w:lang w:val="es-ES"/>
        </w:rPr>
      </w:pPr>
      <w:r w:rsidRPr="00CA23D1">
        <w:rPr>
          <w:b/>
          <w:bCs/>
          <w:lang w:val="es-ES"/>
        </w:rPr>
        <w:t>REDUCIR EL RIESGO DE COLISIÓN DE LAS EMBARCACIONES CON LA MEGAFAUNA MARINA</w:t>
      </w:r>
    </w:p>
    <w:p w14:paraId="77A934D4" w14:textId="77777777" w:rsidR="00831DC2" w:rsidRPr="00CA23D1" w:rsidRDefault="00831DC2" w:rsidP="00C3638B">
      <w:pPr>
        <w:widowControl w:val="0"/>
        <w:autoSpaceDE w:val="0"/>
        <w:autoSpaceDN w:val="0"/>
        <w:adjustRightInd w:val="0"/>
        <w:spacing w:after="0" w:line="240" w:lineRule="auto"/>
        <w:ind w:right="90"/>
        <w:jc w:val="both"/>
        <w:rPr>
          <w:rFonts w:eastAsia="Times New Roman" w:cs="Arial"/>
          <w:lang w:val="es-ES"/>
        </w:rPr>
      </w:pPr>
    </w:p>
    <w:p w14:paraId="68A6C766" w14:textId="77777777" w:rsidR="002D4EE1" w:rsidRPr="00CA23D1" w:rsidRDefault="002D4EE1" w:rsidP="002D4EE1">
      <w:pPr>
        <w:spacing w:after="0" w:line="240" w:lineRule="auto"/>
        <w:ind w:right="90"/>
        <w:jc w:val="both"/>
        <w:rPr>
          <w:i/>
          <w:iCs/>
          <w:lang w:val="es-ES"/>
        </w:rPr>
      </w:pPr>
    </w:p>
    <w:p w14:paraId="72C7BECC" w14:textId="5C0BB1A7" w:rsidR="00876D48" w:rsidRPr="00CA23D1" w:rsidRDefault="00876D48" w:rsidP="006263B2">
      <w:pPr>
        <w:spacing w:after="0" w:line="240" w:lineRule="auto"/>
        <w:ind w:right="90"/>
        <w:jc w:val="both"/>
        <w:rPr>
          <w:lang w:val="es-ES"/>
        </w:rPr>
      </w:pPr>
      <w:r w:rsidRPr="00CA23D1">
        <w:rPr>
          <w:i/>
          <w:iCs/>
          <w:lang w:val="es-ES"/>
        </w:rPr>
        <w:t>Recordando</w:t>
      </w:r>
      <w:r w:rsidRPr="00CA23D1">
        <w:rPr>
          <w:lang w:val="es-ES"/>
        </w:rPr>
        <w:t xml:space="preserve"> el Artículo III (4) de la Convención sobre la Conservación de las Especies Migratorias de Animales Silvestres (CMS), que implica que «las Partes que sean Estados del área de distribución de una especie migratoria enumerada en el Apéndice I se esforzarán por: (a) conservar y, cuando sea posible y apropiado, restaurar los hábitats que sean importantes para preservar dicha especie del peligro de extinción, b) prevenir, eliminar, compensar o minimizar, según proceda, los efectos adversos de actividades o de obstáculos que dificultan seriamente o impiden la migración de dicha especie; y (c) prevenir, reducir o controlar, cuando sea posible y apropiado, los factores que actualmente ponen en peligro o implican el riego de poner en peligro en adelante a dicha especie, inclusive controlando estrictamente la introducción de especies exóticas, o vigilando o eliminando las que ya hayan sido introducidas»;</w:t>
      </w:r>
    </w:p>
    <w:p w14:paraId="68FA8B7C" w14:textId="77777777" w:rsidR="002D4EE1" w:rsidRPr="00CA23D1" w:rsidRDefault="002D4EE1" w:rsidP="002D4EE1">
      <w:pPr>
        <w:spacing w:after="0" w:line="240" w:lineRule="auto"/>
        <w:ind w:right="90"/>
        <w:jc w:val="both"/>
        <w:rPr>
          <w:lang w:val="es-ES"/>
        </w:rPr>
      </w:pPr>
    </w:p>
    <w:p w14:paraId="73EF97B6" w14:textId="0A5AA0C3" w:rsidR="00876D48" w:rsidRPr="00CA23D1" w:rsidRDefault="00876D48" w:rsidP="002D4EE1">
      <w:pPr>
        <w:spacing w:after="0" w:line="240" w:lineRule="auto"/>
        <w:ind w:right="90"/>
        <w:jc w:val="both"/>
        <w:rPr>
          <w:lang w:val="es-ES"/>
        </w:rPr>
      </w:pPr>
      <w:r w:rsidRPr="00CA23D1">
        <w:rPr>
          <w:i/>
          <w:iCs/>
          <w:lang w:val="es-ES"/>
        </w:rPr>
        <w:t xml:space="preserve">Recordando además </w:t>
      </w:r>
      <w:r w:rsidR="007E0C1E" w:rsidRPr="00CA23D1">
        <w:rPr>
          <w:lang w:val="es-ES"/>
        </w:rPr>
        <w:t xml:space="preserve">que la Resolución 10.15 (Rev.COP12) </w:t>
      </w:r>
      <w:r w:rsidRPr="00CA23D1">
        <w:rPr>
          <w:i/>
          <w:iCs/>
          <w:lang w:val="es-ES"/>
        </w:rPr>
        <w:t>Programa Mundial de Trabajo para Cetáceos</w:t>
      </w:r>
      <w:r w:rsidR="007E0C1E" w:rsidRPr="00CA23D1">
        <w:rPr>
          <w:lang w:val="es-ES"/>
        </w:rPr>
        <w:t xml:space="preserve"> aborda las colisiones con embarcaciones como una amenaza para los cetáceos y que solicita a las Partes que faciliten el desarrollo de Resoluciones temáticas que hagan frente a las amenazas prioritarias para la COP13 y para la COP14;</w:t>
      </w:r>
    </w:p>
    <w:p w14:paraId="0AF96237" w14:textId="77777777" w:rsidR="002D4EE1" w:rsidRPr="00CA23D1" w:rsidRDefault="002D4EE1" w:rsidP="002D4EE1">
      <w:pPr>
        <w:spacing w:after="0" w:line="240" w:lineRule="auto"/>
        <w:ind w:right="90"/>
        <w:jc w:val="both"/>
        <w:rPr>
          <w:i/>
          <w:iCs/>
          <w:lang w:val="es-ES"/>
        </w:rPr>
      </w:pPr>
    </w:p>
    <w:p w14:paraId="298666A3" w14:textId="68CD0FF5" w:rsidR="00F7069D" w:rsidRPr="00CA23D1" w:rsidRDefault="00876D48" w:rsidP="002D4EE1">
      <w:pPr>
        <w:spacing w:after="0" w:line="240" w:lineRule="auto"/>
        <w:ind w:right="90"/>
        <w:jc w:val="both"/>
        <w:rPr>
          <w:lang w:val="es-ES"/>
        </w:rPr>
      </w:pPr>
      <w:r w:rsidRPr="00CA23D1">
        <w:rPr>
          <w:i/>
          <w:iCs/>
          <w:lang w:val="es-ES"/>
        </w:rPr>
        <w:t>Reconociendo</w:t>
      </w:r>
      <w:r w:rsidRPr="00CA23D1">
        <w:rPr>
          <w:lang w:val="es-ES"/>
        </w:rPr>
        <w:t xml:space="preserve"> el aumento significativo del tráfico marítimo en los últimos años, que ha conducido al correspondiente incremento del riesgo de colisiones de embarcaciones con la megafauna marina enumerada en la CMS;</w:t>
      </w:r>
    </w:p>
    <w:p w14:paraId="4092711B" w14:textId="77777777" w:rsidR="002D4EE1" w:rsidRPr="00CA23D1" w:rsidRDefault="002D4EE1" w:rsidP="002D4EE1">
      <w:pPr>
        <w:spacing w:after="0" w:line="240" w:lineRule="auto"/>
        <w:ind w:right="90"/>
        <w:jc w:val="both"/>
        <w:rPr>
          <w:i/>
          <w:iCs/>
          <w:lang w:val="es-ES"/>
        </w:rPr>
      </w:pPr>
    </w:p>
    <w:p w14:paraId="48268BD7" w14:textId="5951C74E" w:rsidR="00253400" w:rsidRPr="00CA23D1" w:rsidRDefault="00140871" w:rsidP="002D4EE1">
      <w:pPr>
        <w:spacing w:after="0" w:line="240" w:lineRule="auto"/>
        <w:ind w:right="90"/>
        <w:jc w:val="both"/>
        <w:rPr>
          <w:lang w:val="es-ES"/>
        </w:rPr>
      </w:pPr>
      <w:r w:rsidRPr="00CA23D1">
        <w:rPr>
          <w:i/>
          <w:lang w:val="es-ES"/>
        </w:rPr>
        <w:t xml:space="preserve">Recordando </w:t>
      </w:r>
      <w:r w:rsidRPr="00CA23D1">
        <w:rPr>
          <w:lang w:val="es-ES"/>
        </w:rPr>
        <w:t>a las Partes que un «Estado del área de distribución», en relación con una determinada especie migratoria, es cualquier Estado que ejerce jurisdicción sobre cualquier parte del área de distribución de dicha especie, o un Estado bajo cuyo pabellón naveguen buques cuya actividad consista en sacar de su ambiente natural, fuera de los límites de jurisdicción nacional, ejemplares de la especie migratoria en cuestión;</w:t>
      </w:r>
    </w:p>
    <w:p w14:paraId="0E0B8009" w14:textId="77777777" w:rsidR="00253400" w:rsidRPr="00CA23D1" w:rsidRDefault="00253400" w:rsidP="002D4EE1">
      <w:pPr>
        <w:spacing w:after="0" w:line="240" w:lineRule="auto"/>
        <w:ind w:right="90"/>
        <w:jc w:val="both"/>
        <w:rPr>
          <w:i/>
          <w:iCs/>
          <w:lang w:val="es-ES"/>
        </w:rPr>
      </w:pPr>
    </w:p>
    <w:p w14:paraId="36A76281" w14:textId="0E17F59F" w:rsidR="00F7069D" w:rsidRPr="00CA23D1" w:rsidRDefault="00F7069D" w:rsidP="002D4EE1">
      <w:pPr>
        <w:spacing w:after="0" w:line="240" w:lineRule="auto"/>
        <w:ind w:right="90"/>
        <w:jc w:val="both"/>
        <w:rPr>
          <w:lang w:val="es-ES"/>
        </w:rPr>
      </w:pPr>
      <w:r w:rsidRPr="00CA23D1">
        <w:rPr>
          <w:i/>
          <w:iCs/>
          <w:lang w:val="es-ES"/>
        </w:rPr>
        <w:t xml:space="preserve">Tomando nota </w:t>
      </w:r>
      <w:r w:rsidRPr="00CA23D1">
        <w:rPr>
          <w:lang w:val="es-ES"/>
        </w:rPr>
        <w:t>de los impactos negativos de las colisiones con embarcaciones en la conservación de la megafauna marina, entre ellos la mortalidad, las lesiones y el declive de las poblaciones;</w:t>
      </w:r>
    </w:p>
    <w:p w14:paraId="1100B4C8" w14:textId="77777777" w:rsidR="002D4EE1" w:rsidRPr="00CA23D1" w:rsidRDefault="002D4EE1" w:rsidP="002D4EE1">
      <w:pPr>
        <w:spacing w:after="0" w:line="240" w:lineRule="auto"/>
        <w:ind w:right="90"/>
        <w:jc w:val="both"/>
        <w:rPr>
          <w:i/>
          <w:iCs/>
          <w:lang w:val="es-ES"/>
        </w:rPr>
      </w:pPr>
    </w:p>
    <w:p w14:paraId="01E5C483" w14:textId="1F25C3AA" w:rsidR="00876D48" w:rsidRPr="00CA23D1" w:rsidRDefault="00876D48" w:rsidP="002D4EE1">
      <w:pPr>
        <w:spacing w:after="0" w:line="240" w:lineRule="auto"/>
        <w:ind w:right="90"/>
        <w:jc w:val="both"/>
        <w:rPr>
          <w:lang w:val="es-ES"/>
        </w:rPr>
      </w:pPr>
      <w:r w:rsidRPr="00CA23D1">
        <w:rPr>
          <w:i/>
          <w:iCs/>
          <w:lang w:val="es-ES"/>
        </w:rPr>
        <w:t>Reconociendo</w:t>
      </w:r>
      <w:r w:rsidRPr="00CA23D1">
        <w:rPr>
          <w:lang w:val="es-ES"/>
        </w:rPr>
        <w:t xml:space="preserve"> el trabajo en curso llevado a cabo por la Organización Marítima Internacional (OMI) para minimizar el riesgo de colisión entre las embarcaciones y la fauna marina, a través de medidas que incluyen las Zonas Marinas Especialmente Sensibles (ZMES) y las Áreas que se deben evitar (ATBA);</w:t>
      </w:r>
    </w:p>
    <w:p w14:paraId="40A358D9" w14:textId="77777777" w:rsidR="002D4EE1" w:rsidRPr="00CA23D1" w:rsidRDefault="002D4EE1" w:rsidP="002D4EE1">
      <w:pPr>
        <w:spacing w:after="0" w:line="240" w:lineRule="auto"/>
        <w:ind w:right="90"/>
        <w:jc w:val="both"/>
        <w:rPr>
          <w:i/>
          <w:lang w:val="es-ES"/>
        </w:rPr>
      </w:pPr>
    </w:p>
    <w:p w14:paraId="3ECCD5E8" w14:textId="506F6BAE" w:rsidR="00D5768B" w:rsidRPr="00CA23D1" w:rsidRDefault="00D5768B" w:rsidP="002D4EE1">
      <w:pPr>
        <w:spacing w:after="0" w:line="240" w:lineRule="auto"/>
        <w:ind w:right="90"/>
        <w:jc w:val="both"/>
        <w:rPr>
          <w:lang w:val="es-ES"/>
        </w:rPr>
      </w:pPr>
      <w:r w:rsidRPr="00CA23D1">
        <w:rPr>
          <w:i/>
          <w:lang w:val="es-ES"/>
        </w:rPr>
        <w:t>Reconociendo</w:t>
      </w:r>
      <w:r w:rsidRPr="00CA23D1">
        <w:rPr>
          <w:lang w:val="es-ES"/>
        </w:rPr>
        <w:t xml:space="preserve"> el trabajo de la Comisión Ballenera Internacional (CBI) para abordar el riesgo de colisión de las embarcaciones con las ballenas, los delfines y las marsopas, y</w:t>
      </w:r>
    </w:p>
    <w:p w14:paraId="6E07AA9B" w14:textId="77777777" w:rsidR="002D4EE1" w:rsidRPr="00CA23D1" w:rsidRDefault="002D4EE1" w:rsidP="002D4EE1">
      <w:pPr>
        <w:spacing w:after="0" w:line="240" w:lineRule="auto"/>
        <w:ind w:right="90"/>
        <w:jc w:val="both"/>
        <w:rPr>
          <w:i/>
          <w:iCs/>
          <w:lang w:val="es-ES"/>
        </w:rPr>
      </w:pPr>
    </w:p>
    <w:p w14:paraId="1BC3D728" w14:textId="7AC8378A" w:rsidR="00876D48" w:rsidRPr="00CA23D1" w:rsidRDefault="00876D48" w:rsidP="002D4EE1">
      <w:pPr>
        <w:spacing w:after="0" w:line="240" w:lineRule="auto"/>
        <w:ind w:right="90"/>
        <w:jc w:val="both"/>
        <w:rPr>
          <w:lang w:val="es-ES"/>
        </w:rPr>
      </w:pPr>
      <w:r w:rsidRPr="00CA23D1">
        <w:rPr>
          <w:i/>
          <w:iCs/>
          <w:lang w:val="es-ES"/>
        </w:rPr>
        <w:t xml:space="preserve">Reconociendo </w:t>
      </w:r>
      <w:r w:rsidRPr="00CA23D1">
        <w:rPr>
          <w:lang w:val="es-ES"/>
        </w:rPr>
        <w:t>la necesidad de tomar medidas inmediatas y eficaces para reducir el riesgo de colisión de las embarcaciones con la megafauna marina,</w:t>
      </w:r>
    </w:p>
    <w:p w14:paraId="6B80BBB3" w14:textId="33DE049A" w:rsidR="00A618B3" w:rsidRDefault="00A618B3">
      <w:pPr>
        <w:rPr>
          <w:rFonts w:eastAsia="Times New Roman" w:cs="Arial"/>
          <w:i/>
          <w:lang w:val="es-ES"/>
        </w:rPr>
      </w:pPr>
      <w:r>
        <w:rPr>
          <w:rFonts w:eastAsia="Times New Roman" w:cs="Arial"/>
          <w:i/>
          <w:lang w:val="es-ES"/>
        </w:rPr>
        <w:br w:type="page"/>
      </w:r>
    </w:p>
    <w:p w14:paraId="44ADA2C3" w14:textId="77777777" w:rsidR="00831DC2" w:rsidRPr="00CA23D1" w:rsidRDefault="00831DC2" w:rsidP="00C3638B">
      <w:pPr>
        <w:widowControl w:val="0"/>
        <w:autoSpaceDE w:val="0"/>
        <w:autoSpaceDN w:val="0"/>
        <w:adjustRightInd w:val="0"/>
        <w:spacing w:after="0" w:line="240" w:lineRule="auto"/>
        <w:ind w:right="90"/>
        <w:jc w:val="center"/>
        <w:rPr>
          <w:rFonts w:eastAsia="Times New Roman" w:cs="Arial"/>
          <w:i/>
          <w:lang w:val="es-ES"/>
        </w:rPr>
      </w:pPr>
      <w:r w:rsidRPr="00CA23D1">
        <w:rPr>
          <w:rFonts w:eastAsia="Times New Roman" w:cs="Arial"/>
          <w:i/>
          <w:lang w:val="es-ES"/>
        </w:rPr>
        <w:lastRenderedPageBreak/>
        <w:t>La Conferencia de las Partes en la</w:t>
      </w:r>
    </w:p>
    <w:p w14:paraId="5449D97F" w14:textId="77777777" w:rsidR="00831DC2" w:rsidRPr="00CA23D1" w:rsidRDefault="00831DC2" w:rsidP="00C3638B">
      <w:pPr>
        <w:widowControl w:val="0"/>
        <w:autoSpaceDE w:val="0"/>
        <w:autoSpaceDN w:val="0"/>
        <w:adjustRightInd w:val="0"/>
        <w:spacing w:after="0" w:line="240" w:lineRule="auto"/>
        <w:ind w:right="90"/>
        <w:jc w:val="center"/>
        <w:rPr>
          <w:rFonts w:eastAsia="Times New Roman" w:cs="Arial"/>
          <w:i/>
          <w:lang w:val="es-ES"/>
        </w:rPr>
      </w:pPr>
      <w:r w:rsidRPr="00CA23D1">
        <w:rPr>
          <w:rFonts w:eastAsia="Times New Roman" w:cs="Arial"/>
          <w:i/>
          <w:lang w:val="es-ES"/>
        </w:rPr>
        <w:t>Convención sobre la Conservación de las Especies Migratorias de Animales Silvestres</w:t>
      </w:r>
    </w:p>
    <w:p w14:paraId="391DE165" w14:textId="77777777" w:rsidR="0033561D" w:rsidRDefault="0033561D" w:rsidP="002D4EE1">
      <w:pPr>
        <w:spacing w:after="0" w:line="240" w:lineRule="auto"/>
        <w:ind w:right="90"/>
        <w:rPr>
          <w:lang w:val="es-ES"/>
        </w:rPr>
      </w:pPr>
    </w:p>
    <w:p w14:paraId="79A2F854" w14:textId="77777777" w:rsidR="005660CB" w:rsidRPr="00CA23D1" w:rsidRDefault="005660CB" w:rsidP="002D4EE1">
      <w:pPr>
        <w:spacing w:after="0" w:line="240" w:lineRule="auto"/>
        <w:ind w:right="90"/>
        <w:rPr>
          <w:lang w:val="es-ES"/>
        </w:rPr>
      </w:pPr>
    </w:p>
    <w:p w14:paraId="2A2193E0" w14:textId="0D16943E" w:rsidR="00347406" w:rsidRPr="00CA23D1" w:rsidRDefault="00905A49" w:rsidP="002D4EE1">
      <w:pPr>
        <w:pStyle w:val="ListParagraph"/>
        <w:numPr>
          <w:ilvl w:val="0"/>
          <w:numId w:val="19"/>
        </w:numPr>
        <w:spacing w:after="0" w:line="240" w:lineRule="auto"/>
        <w:ind w:left="567" w:right="90" w:hanging="567"/>
        <w:contextualSpacing w:val="0"/>
        <w:jc w:val="both"/>
        <w:rPr>
          <w:lang w:val="es-ES"/>
        </w:rPr>
      </w:pPr>
      <w:r w:rsidRPr="00CA23D1">
        <w:rPr>
          <w:i/>
          <w:iCs/>
          <w:lang w:val="es-ES"/>
        </w:rPr>
        <w:t>Insta</w:t>
      </w:r>
      <w:r w:rsidR="00EA4F81" w:rsidRPr="00CA23D1">
        <w:rPr>
          <w:lang w:val="es-ES"/>
        </w:rPr>
        <w:t xml:space="preserve"> a las Partes a adoptar medidas para reducir el riesgo de colisión de las embarcaciones con la megafauna marina, como los mamíferos marinos, las tortugas marinas, los tiburones y las rayas, aplicando las prácticas y tecnologías más eficaces, garantizando que las medidas de mitigación se basen los mejores datos científicos disponibles para lograr resultados positivos en materia de conservación;</w:t>
      </w:r>
    </w:p>
    <w:p w14:paraId="7808F0FB" w14:textId="77777777" w:rsidR="00D806AB" w:rsidRPr="00CA23D1" w:rsidRDefault="00D806AB" w:rsidP="002D4EE1">
      <w:pPr>
        <w:pStyle w:val="ListParagraph"/>
        <w:spacing w:after="0" w:line="240" w:lineRule="auto"/>
        <w:ind w:left="567" w:right="90"/>
        <w:contextualSpacing w:val="0"/>
        <w:jc w:val="both"/>
        <w:rPr>
          <w:lang w:val="es-ES"/>
        </w:rPr>
      </w:pPr>
    </w:p>
    <w:p w14:paraId="150F6497" w14:textId="35823AB4" w:rsidR="003B154A" w:rsidRPr="00CA23D1" w:rsidRDefault="002C5339" w:rsidP="002D4EE1">
      <w:pPr>
        <w:pStyle w:val="ListParagraph"/>
        <w:numPr>
          <w:ilvl w:val="0"/>
          <w:numId w:val="19"/>
        </w:numPr>
        <w:spacing w:after="0" w:line="240" w:lineRule="auto"/>
        <w:ind w:left="567" w:right="90" w:hanging="567"/>
        <w:contextualSpacing w:val="0"/>
        <w:jc w:val="both"/>
        <w:rPr>
          <w:lang w:val="es-ES"/>
        </w:rPr>
      </w:pPr>
      <w:r w:rsidRPr="00CA23D1">
        <w:rPr>
          <w:i/>
          <w:iCs/>
          <w:lang w:val="es-ES"/>
        </w:rPr>
        <w:t>Alienta</w:t>
      </w:r>
      <w:r w:rsidRPr="00CA23D1">
        <w:rPr>
          <w:lang w:val="es-ES"/>
        </w:rPr>
        <w:t xml:space="preserve"> a las Partes a designar zonas centrales de agregación y corredores de migración de megafauna marina vulnerable, por ejemplo</w:t>
      </w:r>
      <w:r w:rsidR="00407376">
        <w:rPr>
          <w:lang w:val="es-ES"/>
        </w:rPr>
        <w:t>,</w:t>
      </w:r>
      <w:r w:rsidRPr="00CA23D1">
        <w:rPr>
          <w:lang w:val="es-ES"/>
        </w:rPr>
        <w:t xml:space="preserve"> las Áreas Importantes para los Mamíferos Marinos (IMMA) y las Áreas Importantes para Tiburones y Rayas (ISRA), en las que existe un riesgo significativo de colisión con embarcaciones como en las Áreas a evitar (ATBA), como medida de protección, o a adoptar otras medidas eficaces basadas en el área;</w:t>
      </w:r>
    </w:p>
    <w:p w14:paraId="0A92A44A" w14:textId="77777777" w:rsidR="003B154A" w:rsidRPr="00CA23D1" w:rsidRDefault="003B154A" w:rsidP="008E228A">
      <w:pPr>
        <w:pStyle w:val="ListParagraph"/>
        <w:spacing w:after="0" w:line="240" w:lineRule="auto"/>
        <w:contextualSpacing w:val="0"/>
        <w:rPr>
          <w:lang w:val="es-ES"/>
        </w:rPr>
      </w:pPr>
    </w:p>
    <w:p w14:paraId="1CA0590B" w14:textId="5146E761" w:rsidR="000B59A3" w:rsidRPr="00CA23D1" w:rsidRDefault="00902193" w:rsidP="00067769">
      <w:pPr>
        <w:pStyle w:val="ListParagraph"/>
        <w:numPr>
          <w:ilvl w:val="0"/>
          <w:numId w:val="19"/>
        </w:numPr>
        <w:spacing w:after="0" w:line="240" w:lineRule="auto"/>
        <w:ind w:left="567" w:right="90" w:hanging="567"/>
        <w:contextualSpacing w:val="0"/>
        <w:jc w:val="both"/>
        <w:rPr>
          <w:lang w:val="es-ES"/>
        </w:rPr>
      </w:pPr>
      <w:r w:rsidRPr="00CA23D1">
        <w:rPr>
          <w:i/>
          <w:lang w:val="es-ES"/>
        </w:rPr>
        <w:t>Insta</w:t>
      </w:r>
      <w:r w:rsidRPr="00CA23D1">
        <w:rPr>
          <w:lang w:val="es-ES"/>
        </w:rPr>
        <w:t xml:space="preserve"> a las Partes a que consideren la posibilidad de integrar dichas áreas en designaciones más amplias de Áreas Marinas Protegidas (AMP), también con vistas a aplicar el objetivo 3 del Marco Mundial Kunming-Montreal de la Diversidad Biológica, adoptado por las Partes en el Convenio sobre la Diversidad Biológica (CDB) en su 15.</w:t>
      </w:r>
      <w:r w:rsidR="00067769" w:rsidRPr="00CA23D1">
        <w:rPr>
          <w:vertAlign w:val="superscript"/>
          <w:lang w:val="es-ES"/>
        </w:rPr>
        <w:t>ª</w:t>
      </w:r>
      <w:r w:rsidRPr="00CA23D1">
        <w:rPr>
          <w:lang w:val="es-ES"/>
        </w:rPr>
        <w:t xml:space="preserve"> Conferencia de las Partes «haciendo un llamamiento y haciendo posible que, para 2030, al menos el 30 % de las zonas costeras y marinas, especialmente, las zonas de particular importancia para la biodiversidad y las funciones y servicios de los ecosistemas, se conserven y gestionen eficazmente a través de sistemas de áreas protegidas ecológicamente representativos, bien conectados y gobernados de forma equitativa, reconociendo los territorios indígenas y tradicionales, cuando proceda, y los integrados en paisajes terrestres, marinos y oceánicos más amplios, garantizando al mismo tiempo que cualquier uso sostenible, cuando proceda en dichas zonas, sea plenamente coherente con los resultados de conservación, reconociendo y respetando los derechos de los pueblos indígenas y las comunidades locales, incluso sobre sus territorios tradicionales».</w:t>
      </w:r>
    </w:p>
    <w:p w14:paraId="177EC328" w14:textId="77777777" w:rsidR="00E0022D" w:rsidRPr="00CA23D1" w:rsidRDefault="00E0022D" w:rsidP="00E0022D">
      <w:pPr>
        <w:pStyle w:val="ListParagraph"/>
        <w:spacing w:after="0" w:line="240" w:lineRule="auto"/>
        <w:ind w:left="567" w:right="90"/>
        <w:jc w:val="both"/>
        <w:rPr>
          <w:lang w:val="es-ES"/>
        </w:rPr>
      </w:pPr>
    </w:p>
    <w:p w14:paraId="4A5CA0A7" w14:textId="6C1F2619" w:rsidR="0033561D" w:rsidRPr="00CA23D1" w:rsidRDefault="0033561D" w:rsidP="002D4EE1">
      <w:pPr>
        <w:pStyle w:val="ListParagraph"/>
        <w:numPr>
          <w:ilvl w:val="0"/>
          <w:numId w:val="19"/>
        </w:numPr>
        <w:spacing w:after="0" w:line="240" w:lineRule="auto"/>
        <w:ind w:left="567" w:right="90" w:hanging="567"/>
        <w:contextualSpacing w:val="0"/>
        <w:jc w:val="both"/>
        <w:rPr>
          <w:lang w:val="es-ES"/>
        </w:rPr>
      </w:pPr>
      <w:r w:rsidRPr="00CA23D1">
        <w:rPr>
          <w:i/>
          <w:iCs/>
          <w:lang w:val="es-ES"/>
        </w:rPr>
        <w:t xml:space="preserve">Acuerda </w:t>
      </w:r>
      <w:r w:rsidRPr="00CA23D1">
        <w:rPr>
          <w:lang w:val="es-ES"/>
        </w:rPr>
        <w:t>promover y apoyar el desarrollo y la aplicación de las mejores prácticas para reducir el riesgo de colisión de las embarcaciones con la megafauna marina, entre las que se incluyen, pero no se limitan, las siguientes:</w:t>
      </w:r>
    </w:p>
    <w:p w14:paraId="075CD97D" w14:textId="77777777" w:rsidR="00881468" w:rsidRPr="00CA23D1" w:rsidRDefault="00881468" w:rsidP="002D4EE1">
      <w:pPr>
        <w:pStyle w:val="ListParagraph"/>
        <w:spacing w:after="0" w:line="240" w:lineRule="auto"/>
        <w:ind w:left="567" w:right="90"/>
        <w:contextualSpacing w:val="0"/>
        <w:jc w:val="both"/>
        <w:rPr>
          <w:lang w:val="es-ES"/>
        </w:rPr>
      </w:pPr>
    </w:p>
    <w:p w14:paraId="5E8C1303" w14:textId="214D4C35" w:rsidR="0033561D" w:rsidRPr="00CA23D1" w:rsidRDefault="0033561D" w:rsidP="005660CB">
      <w:pPr>
        <w:pStyle w:val="ListParagraph"/>
        <w:numPr>
          <w:ilvl w:val="1"/>
          <w:numId w:val="19"/>
        </w:numPr>
        <w:spacing w:after="0" w:line="240" w:lineRule="auto"/>
        <w:ind w:left="900" w:right="90"/>
        <w:contextualSpacing w:val="0"/>
        <w:jc w:val="both"/>
        <w:rPr>
          <w:lang w:val="es-ES"/>
        </w:rPr>
      </w:pPr>
      <w:r w:rsidRPr="00CA23D1">
        <w:rPr>
          <w:lang w:val="es-ES"/>
        </w:rPr>
        <w:t>Restricciones a la velocidad en áreas de gran actividad de megafauna marina;</w:t>
      </w:r>
    </w:p>
    <w:p w14:paraId="3EC24CF5" w14:textId="544CD18B" w:rsidR="0033561D" w:rsidRPr="00CA23D1" w:rsidRDefault="0033561D" w:rsidP="005660CB">
      <w:pPr>
        <w:pStyle w:val="ListParagraph"/>
        <w:numPr>
          <w:ilvl w:val="1"/>
          <w:numId w:val="19"/>
        </w:numPr>
        <w:spacing w:after="0" w:line="240" w:lineRule="auto"/>
        <w:ind w:left="900" w:right="90"/>
        <w:contextualSpacing w:val="0"/>
        <w:jc w:val="both"/>
        <w:rPr>
          <w:lang w:val="es-ES"/>
        </w:rPr>
      </w:pPr>
      <w:r w:rsidRPr="00CA23D1">
        <w:rPr>
          <w:lang w:val="es-ES"/>
        </w:rPr>
        <w:t>El uso de tecnologías, como los sistemas de detección acústica, para detectar y evitar a la megafauna marina; y</w:t>
      </w:r>
    </w:p>
    <w:p w14:paraId="3F0F17F0" w14:textId="7E4C0FAB" w:rsidR="0033561D" w:rsidRPr="00CA23D1" w:rsidRDefault="0033561D" w:rsidP="005660CB">
      <w:pPr>
        <w:pStyle w:val="ListParagraph"/>
        <w:numPr>
          <w:ilvl w:val="1"/>
          <w:numId w:val="19"/>
        </w:numPr>
        <w:spacing w:after="0" w:line="240" w:lineRule="auto"/>
        <w:ind w:left="900" w:right="90"/>
        <w:contextualSpacing w:val="0"/>
        <w:jc w:val="both"/>
        <w:rPr>
          <w:lang w:val="es-ES"/>
        </w:rPr>
      </w:pPr>
      <w:r w:rsidRPr="00CA23D1">
        <w:rPr>
          <w:lang w:val="es-ES"/>
        </w:rPr>
        <w:t>Educar y formar a la tripulación de las embarcaciones en materia de conservación de la megafauna marina y de prevención de las colisiones con las embarcaciones;</w:t>
      </w:r>
    </w:p>
    <w:p w14:paraId="41163039" w14:textId="77777777" w:rsidR="0033561D" w:rsidRPr="00CA23D1" w:rsidRDefault="0033561D" w:rsidP="002D4EE1">
      <w:pPr>
        <w:pStyle w:val="ListParagraph"/>
        <w:spacing w:after="0" w:line="240" w:lineRule="auto"/>
        <w:ind w:left="1440" w:right="90"/>
        <w:contextualSpacing w:val="0"/>
        <w:jc w:val="both"/>
        <w:rPr>
          <w:lang w:val="es-ES"/>
        </w:rPr>
      </w:pPr>
    </w:p>
    <w:p w14:paraId="0B44D2FA" w14:textId="2181C181" w:rsidR="0033561D" w:rsidRPr="00CA23D1" w:rsidRDefault="0033561D" w:rsidP="002D4EE1">
      <w:pPr>
        <w:pStyle w:val="ListParagraph"/>
        <w:numPr>
          <w:ilvl w:val="0"/>
          <w:numId w:val="19"/>
        </w:numPr>
        <w:spacing w:after="0" w:line="240" w:lineRule="auto"/>
        <w:ind w:left="567" w:right="90" w:hanging="567"/>
        <w:contextualSpacing w:val="0"/>
        <w:jc w:val="both"/>
        <w:rPr>
          <w:lang w:val="es-ES"/>
        </w:rPr>
      </w:pPr>
      <w:r w:rsidRPr="00CA23D1">
        <w:rPr>
          <w:i/>
          <w:iCs/>
          <w:lang w:val="es-ES"/>
        </w:rPr>
        <w:t>Insta</w:t>
      </w:r>
      <w:r w:rsidRPr="00CA23D1">
        <w:rPr>
          <w:lang w:val="es-ES"/>
        </w:rPr>
        <w:t xml:space="preserve"> a las Partes a que animen a la industria marítima a adoptar medidas proactivas para reducir el riesgo de colisión de las embarcaciones con la megafauna marina;</w:t>
      </w:r>
    </w:p>
    <w:p w14:paraId="6A5E733F" w14:textId="77777777" w:rsidR="0033561D" w:rsidRPr="00CA23D1" w:rsidRDefault="0033561D" w:rsidP="002D4EE1">
      <w:pPr>
        <w:pStyle w:val="ListParagraph"/>
        <w:spacing w:after="0" w:line="240" w:lineRule="auto"/>
        <w:ind w:left="567" w:right="90"/>
        <w:contextualSpacing w:val="0"/>
        <w:jc w:val="both"/>
        <w:rPr>
          <w:lang w:val="es-ES"/>
        </w:rPr>
      </w:pPr>
    </w:p>
    <w:p w14:paraId="44781B18" w14:textId="3ED2A24C" w:rsidR="0033561D" w:rsidRPr="00CA23D1" w:rsidRDefault="0033561D" w:rsidP="002D4EE1">
      <w:pPr>
        <w:pStyle w:val="ListParagraph"/>
        <w:numPr>
          <w:ilvl w:val="0"/>
          <w:numId w:val="19"/>
        </w:numPr>
        <w:spacing w:after="0" w:line="240" w:lineRule="auto"/>
        <w:ind w:left="567" w:right="90" w:hanging="567"/>
        <w:contextualSpacing w:val="0"/>
        <w:jc w:val="both"/>
        <w:rPr>
          <w:lang w:val="es-ES"/>
        </w:rPr>
      </w:pPr>
      <w:r w:rsidRPr="00CA23D1">
        <w:rPr>
          <w:i/>
          <w:iCs/>
          <w:lang w:val="es-ES"/>
        </w:rPr>
        <w:t>Solicita</w:t>
      </w:r>
      <w:r w:rsidR="00407376">
        <w:rPr>
          <w:i/>
          <w:iCs/>
          <w:lang w:val="es-ES"/>
        </w:rPr>
        <w:t xml:space="preserve"> </w:t>
      </w:r>
      <w:r w:rsidRPr="00CA23D1">
        <w:rPr>
          <w:lang w:val="es-ES"/>
        </w:rPr>
        <w:t>a las Partes que revisen y actualicen sus leyes nacionales, regulaciones y políticas relacionadas con la conservación de la megafauna marina y con la reducción de las colisiones con embarcaciones, según sea necesario, para garantizar su eficacia y equiparación a esta resolución;</w:t>
      </w:r>
    </w:p>
    <w:p w14:paraId="4EB42E13" w14:textId="77777777" w:rsidR="0033561D" w:rsidRPr="00CA23D1" w:rsidRDefault="0033561D" w:rsidP="002D4EE1">
      <w:pPr>
        <w:pStyle w:val="ListParagraph"/>
        <w:spacing w:after="0" w:line="240" w:lineRule="auto"/>
        <w:ind w:left="567" w:right="90"/>
        <w:contextualSpacing w:val="0"/>
        <w:jc w:val="both"/>
        <w:rPr>
          <w:lang w:val="es-ES"/>
        </w:rPr>
      </w:pPr>
    </w:p>
    <w:p w14:paraId="5F01007A" w14:textId="5BBC82A5" w:rsidR="0033561D" w:rsidRPr="00CA23D1" w:rsidRDefault="0033561D" w:rsidP="002D4EE1">
      <w:pPr>
        <w:pStyle w:val="ListParagraph"/>
        <w:numPr>
          <w:ilvl w:val="0"/>
          <w:numId w:val="19"/>
        </w:numPr>
        <w:spacing w:after="0" w:line="240" w:lineRule="auto"/>
        <w:ind w:left="567" w:right="90" w:hanging="567"/>
        <w:contextualSpacing w:val="0"/>
        <w:jc w:val="both"/>
        <w:rPr>
          <w:i/>
          <w:lang w:val="es-ES"/>
        </w:rPr>
      </w:pPr>
      <w:r w:rsidRPr="00CA23D1">
        <w:rPr>
          <w:i/>
          <w:iCs/>
          <w:lang w:val="es-ES"/>
        </w:rPr>
        <w:t>Alienta encarecidamente</w:t>
      </w:r>
      <w:r w:rsidR="00244A10" w:rsidRPr="00CA23D1">
        <w:rPr>
          <w:i/>
          <w:iCs/>
          <w:lang w:val="es-ES"/>
        </w:rPr>
        <w:t xml:space="preserve"> </w:t>
      </w:r>
      <w:r w:rsidRPr="00CA23D1">
        <w:rPr>
          <w:lang w:val="es-ES"/>
        </w:rPr>
        <w:t xml:space="preserve">a las Partes a que cooperen entre sí, con las organizaciones pertinentes y con las partes interesadas para promover y apoyar la aplicación de medidas destinadas a reducir el riesgo de colisiones de embarcaciones con la megafauna marina, entre las que se incluyen, el intercambio de información sobre </w:t>
      </w:r>
      <w:r w:rsidRPr="00CA23D1">
        <w:rPr>
          <w:lang w:val="es-ES"/>
        </w:rPr>
        <w:lastRenderedPageBreak/>
        <w:t>mejores prácticas y sobre las lecciones aprendidas, la colaboración en la investigación, en el seguimiento de la megafauna marina y en las colisiones con embarcaciones, y el fomento de la cooperación y coordinación internacionales en materia de conservación de la megafauna marina y en la reducción de las colisiones con embarcaciones;</w:t>
      </w:r>
    </w:p>
    <w:p w14:paraId="11BAD0F9" w14:textId="77777777" w:rsidR="00676499" w:rsidRPr="00CA23D1" w:rsidRDefault="00676499" w:rsidP="002D4EE1">
      <w:pPr>
        <w:pStyle w:val="ListParagraph"/>
        <w:spacing w:after="0" w:line="240" w:lineRule="auto"/>
        <w:contextualSpacing w:val="0"/>
        <w:rPr>
          <w:i/>
          <w:lang w:val="es-ES"/>
        </w:rPr>
      </w:pPr>
    </w:p>
    <w:p w14:paraId="0C00B20A" w14:textId="006CE421" w:rsidR="00676499" w:rsidRPr="00CA23D1" w:rsidRDefault="00676499" w:rsidP="002D4EE1">
      <w:pPr>
        <w:pStyle w:val="ListParagraph"/>
        <w:numPr>
          <w:ilvl w:val="0"/>
          <w:numId w:val="19"/>
        </w:numPr>
        <w:spacing w:after="0" w:line="240" w:lineRule="auto"/>
        <w:ind w:left="567" w:right="90" w:hanging="567"/>
        <w:contextualSpacing w:val="0"/>
        <w:jc w:val="both"/>
        <w:rPr>
          <w:i/>
          <w:iCs/>
          <w:lang w:val="es-ES"/>
        </w:rPr>
      </w:pPr>
      <w:r w:rsidRPr="00CA23D1">
        <w:rPr>
          <w:i/>
          <w:iCs/>
          <w:lang w:val="es-ES"/>
        </w:rPr>
        <w:t>Invita</w:t>
      </w:r>
      <w:r w:rsidRPr="00CA23D1">
        <w:rPr>
          <w:lang w:val="es-ES"/>
        </w:rPr>
        <w:t xml:space="preserve"> a las Partes, a la industria y a otras partes interesadas a que faciliten información a la base de datos sobre colisiones de barcos de la CBI acerca de las colisiones de las embarcaciones con los cetáceos;</w:t>
      </w:r>
    </w:p>
    <w:p w14:paraId="215B64FA" w14:textId="77777777" w:rsidR="008B5731" w:rsidRPr="00CA23D1" w:rsidRDefault="008B5731" w:rsidP="002D4EE1">
      <w:pPr>
        <w:pStyle w:val="ListParagraph"/>
        <w:spacing w:after="0" w:line="240" w:lineRule="auto"/>
        <w:ind w:left="567" w:right="90"/>
        <w:contextualSpacing w:val="0"/>
        <w:jc w:val="both"/>
        <w:rPr>
          <w:i/>
          <w:iCs/>
          <w:lang w:val="es-ES"/>
        </w:rPr>
      </w:pPr>
    </w:p>
    <w:p w14:paraId="4A3D9393" w14:textId="4086C5C4" w:rsidR="008B5731" w:rsidRPr="00CA23D1" w:rsidRDefault="008B5731" w:rsidP="002D4EE1">
      <w:pPr>
        <w:pStyle w:val="ListParagraph"/>
        <w:numPr>
          <w:ilvl w:val="0"/>
          <w:numId w:val="19"/>
        </w:numPr>
        <w:spacing w:after="0" w:line="240" w:lineRule="auto"/>
        <w:ind w:left="567" w:right="90" w:hanging="567"/>
        <w:contextualSpacing w:val="0"/>
        <w:jc w:val="both"/>
        <w:rPr>
          <w:lang w:val="es-ES"/>
        </w:rPr>
      </w:pPr>
      <w:r w:rsidRPr="00CA23D1">
        <w:rPr>
          <w:i/>
          <w:iCs/>
          <w:lang w:val="es-ES"/>
        </w:rPr>
        <w:t xml:space="preserve">Invita </w:t>
      </w:r>
      <w:r w:rsidRPr="00CA23D1">
        <w:rPr>
          <w:lang w:val="es-ES"/>
        </w:rPr>
        <w:t>a las Partes a que colaboren con la OMI para hacer uso de sus herramientas de gestión (p.ej., ATBA o ZMES) con el fin de reducir las colisiones de las embarcaciones con la megafauna marina;</w:t>
      </w:r>
    </w:p>
    <w:p w14:paraId="1CE1CE6A" w14:textId="77777777" w:rsidR="00A44BEB" w:rsidRPr="00CA23D1" w:rsidRDefault="00A44BEB" w:rsidP="002D4EE1">
      <w:pPr>
        <w:pStyle w:val="ListParagraph"/>
        <w:spacing w:after="0" w:line="240" w:lineRule="auto"/>
        <w:ind w:left="567" w:right="90"/>
        <w:contextualSpacing w:val="0"/>
        <w:jc w:val="both"/>
        <w:rPr>
          <w:highlight w:val="yellow"/>
          <w:lang w:val="es-ES"/>
        </w:rPr>
      </w:pPr>
    </w:p>
    <w:p w14:paraId="68A78482" w14:textId="2E733F82" w:rsidR="0033561D" w:rsidRPr="00CA23D1" w:rsidRDefault="006615FB" w:rsidP="002D4EE1">
      <w:pPr>
        <w:pStyle w:val="ListParagraph"/>
        <w:numPr>
          <w:ilvl w:val="0"/>
          <w:numId w:val="19"/>
        </w:numPr>
        <w:spacing w:after="0" w:line="240" w:lineRule="auto"/>
        <w:ind w:left="567" w:right="90" w:hanging="567"/>
        <w:contextualSpacing w:val="0"/>
        <w:jc w:val="both"/>
        <w:rPr>
          <w:lang w:val="es-ES"/>
        </w:rPr>
      </w:pPr>
      <w:r w:rsidRPr="00CA23D1">
        <w:rPr>
          <w:i/>
          <w:iCs/>
          <w:lang w:val="es-ES"/>
        </w:rPr>
        <w:t>Encarga</w:t>
      </w:r>
      <w:r w:rsidRPr="00CA23D1">
        <w:rPr>
          <w:lang w:val="es-ES"/>
        </w:rPr>
        <w:t xml:space="preserve"> a la Secretaría que facilite el intercambio de información y las mejores prácticas entre las Partes, las organizaciones pertinentes y las partes interesadas; y</w:t>
      </w:r>
    </w:p>
    <w:p w14:paraId="64EF667B" w14:textId="77777777" w:rsidR="002511D6" w:rsidRPr="00CA23D1" w:rsidRDefault="002511D6" w:rsidP="002D4EE1">
      <w:pPr>
        <w:pStyle w:val="ListParagraph"/>
        <w:spacing w:after="0" w:line="240" w:lineRule="auto"/>
        <w:ind w:left="567" w:right="90"/>
        <w:contextualSpacing w:val="0"/>
        <w:jc w:val="both"/>
        <w:rPr>
          <w:i/>
          <w:iCs/>
          <w:lang w:val="es-ES"/>
        </w:rPr>
      </w:pPr>
    </w:p>
    <w:p w14:paraId="1B8C4CCC" w14:textId="3CC8BC75" w:rsidR="002511D6" w:rsidRPr="00CA23D1" w:rsidRDefault="002511D6" w:rsidP="002D4EE1">
      <w:pPr>
        <w:pStyle w:val="ListParagraph"/>
        <w:numPr>
          <w:ilvl w:val="0"/>
          <w:numId w:val="19"/>
        </w:numPr>
        <w:spacing w:after="0" w:line="240" w:lineRule="auto"/>
        <w:ind w:left="567" w:right="90" w:hanging="567"/>
        <w:contextualSpacing w:val="0"/>
        <w:jc w:val="both"/>
        <w:rPr>
          <w:i/>
          <w:iCs/>
          <w:lang w:val="es-ES"/>
        </w:rPr>
      </w:pPr>
      <w:r w:rsidRPr="00CA23D1">
        <w:rPr>
          <w:i/>
          <w:iCs/>
          <w:lang w:val="es-ES"/>
        </w:rPr>
        <w:t xml:space="preserve">Adopta </w:t>
      </w:r>
      <w:r w:rsidRPr="00CA23D1">
        <w:rPr>
          <w:lang w:val="es-ES"/>
        </w:rPr>
        <w:t xml:space="preserve">las específicas </w:t>
      </w:r>
      <w:r w:rsidRPr="00CA23D1">
        <w:rPr>
          <w:i/>
          <w:iCs/>
          <w:lang w:val="es-ES"/>
        </w:rPr>
        <w:t>Directrices sobre la reducción del riesgo de colisión de las embarcaciones con los tiburones ballena (</w:t>
      </w:r>
      <w:proofErr w:type="spellStart"/>
      <w:r w:rsidRPr="00CA23D1">
        <w:rPr>
          <w:i/>
          <w:iCs/>
          <w:lang w:val="es-ES"/>
        </w:rPr>
        <w:t>Rhincodon</w:t>
      </w:r>
      <w:proofErr w:type="spellEnd"/>
      <w:r w:rsidRPr="00CA23D1">
        <w:rPr>
          <w:i/>
          <w:iCs/>
          <w:lang w:val="es-ES"/>
        </w:rPr>
        <w:t xml:space="preserve"> </w:t>
      </w:r>
      <w:proofErr w:type="spellStart"/>
      <w:r w:rsidRPr="00CA23D1">
        <w:rPr>
          <w:i/>
          <w:iCs/>
          <w:lang w:val="es-ES"/>
        </w:rPr>
        <w:t>typus</w:t>
      </w:r>
      <w:proofErr w:type="spellEnd"/>
      <w:r w:rsidRPr="00CA23D1">
        <w:rPr>
          <w:i/>
          <w:iCs/>
          <w:lang w:val="es-ES"/>
        </w:rPr>
        <w:t>)</w:t>
      </w:r>
      <w:r w:rsidRPr="00CA23D1">
        <w:rPr>
          <w:lang w:val="es-ES"/>
        </w:rPr>
        <w:t xml:space="preserve"> adjuntas al Anexo […] de esta Resolución.</w:t>
      </w:r>
    </w:p>
    <w:p w14:paraId="0C12F608" w14:textId="77777777" w:rsidR="009D37A2" w:rsidRPr="00CA23D1" w:rsidRDefault="009D37A2" w:rsidP="00C3638B">
      <w:pPr>
        <w:pStyle w:val="Secondnumbering"/>
        <w:numPr>
          <w:ilvl w:val="0"/>
          <w:numId w:val="0"/>
        </w:numPr>
        <w:ind w:right="90"/>
        <w:rPr>
          <w:lang w:val="es-ES"/>
        </w:rPr>
        <w:sectPr w:rsidR="009D37A2" w:rsidRPr="00CA23D1" w:rsidSect="00A618B3">
          <w:headerReference w:type="even" r:id="rId30"/>
          <w:headerReference w:type="default" r:id="rId31"/>
          <w:headerReference w:type="first" r:id="rId32"/>
          <w:pgSz w:w="11906" w:h="16838" w:code="9"/>
          <w:pgMar w:top="1440" w:right="1440" w:bottom="1440" w:left="1440" w:header="720" w:footer="720" w:gutter="0"/>
          <w:cols w:space="720"/>
          <w:titlePg/>
          <w:docGrid w:linePitch="360"/>
        </w:sectPr>
      </w:pPr>
    </w:p>
    <w:p w14:paraId="2328ECFA" w14:textId="107AC5FD" w:rsidR="009D37A2" w:rsidRPr="00CA23D1" w:rsidRDefault="009D37A2" w:rsidP="00C3638B">
      <w:pPr>
        <w:pStyle w:val="Secondnumbering"/>
        <w:numPr>
          <w:ilvl w:val="0"/>
          <w:numId w:val="0"/>
        </w:numPr>
        <w:ind w:right="90"/>
        <w:jc w:val="right"/>
        <w:rPr>
          <w:lang w:val="es-ES"/>
        </w:rPr>
      </w:pPr>
      <w:r w:rsidRPr="00CA23D1">
        <w:rPr>
          <w:rFonts w:cs="Arial"/>
          <w:b/>
          <w:caps/>
          <w:lang w:val="es-ES"/>
        </w:rPr>
        <w:lastRenderedPageBreak/>
        <w:t>Anexo 2</w:t>
      </w:r>
    </w:p>
    <w:p w14:paraId="741804F0" w14:textId="77777777" w:rsidR="009D37A2" w:rsidRDefault="009D37A2" w:rsidP="00C3638B">
      <w:pPr>
        <w:pStyle w:val="Secondnumbering"/>
        <w:numPr>
          <w:ilvl w:val="0"/>
          <w:numId w:val="0"/>
        </w:numPr>
        <w:ind w:right="90"/>
        <w:rPr>
          <w:lang w:val="es-ES"/>
        </w:rPr>
      </w:pPr>
    </w:p>
    <w:p w14:paraId="2B381546" w14:textId="77777777" w:rsidR="002F221A" w:rsidRPr="00CA23D1" w:rsidRDefault="002F221A" w:rsidP="00C3638B">
      <w:pPr>
        <w:pStyle w:val="Secondnumbering"/>
        <w:numPr>
          <w:ilvl w:val="0"/>
          <w:numId w:val="0"/>
        </w:numPr>
        <w:ind w:right="90"/>
        <w:rPr>
          <w:lang w:val="es-ES"/>
        </w:rPr>
      </w:pPr>
    </w:p>
    <w:p w14:paraId="58826E63" w14:textId="655F9681" w:rsidR="009D37A2" w:rsidRPr="00CA23D1" w:rsidRDefault="00C778DA" w:rsidP="00C3638B">
      <w:pPr>
        <w:widowControl w:val="0"/>
        <w:autoSpaceDE w:val="0"/>
        <w:autoSpaceDN w:val="0"/>
        <w:adjustRightInd w:val="0"/>
        <w:spacing w:after="0" w:line="240" w:lineRule="auto"/>
        <w:ind w:right="90"/>
        <w:jc w:val="center"/>
        <w:rPr>
          <w:rFonts w:eastAsia="Times New Roman" w:cs="Arial"/>
          <w:lang w:val="es-ES"/>
        </w:rPr>
      </w:pPr>
      <w:r w:rsidRPr="00CA23D1">
        <w:rPr>
          <w:rFonts w:eastAsia="Times New Roman" w:cs="Arial"/>
          <w:lang w:val="es-ES"/>
        </w:rPr>
        <w:t>[Proyecto de Anexo a la Resolución]</w:t>
      </w:r>
    </w:p>
    <w:p w14:paraId="1ED1A7E7" w14:textId="77777777" w:rsidR="009D37A2" w:rsidRPr="00CA23D1" w:rsidRDefault="009D37A2" w:rsidP="00C3638B">
      <w:pPr>
        <w:widowControl w:val="0"/>
        <w:autoSpaceDE w:val="0"/>
        <w:autoSpaceDN w:val="0"/>
        <w:adjustRightInd w:val="0"/>
        <w:spacing w:after="0" w:line="240" w:lineRule="auto"/>
        <w:ind w:right="90"/>
        <w:jc w:val="both"/>
        <w:rPr>
          <w:rFonts w:eastAsia="Times New Roman" w:cs="Arial"/>
          <w:lang w:val="es-ES"/>
        </w:rPr>
      </w:pPr>
    </w:p>
    <w:p w14:paraId="1A3E668F" w14:textId="3F43E943" w:rsidR="009D37A2" w:rsidRPr="00CA23D1" w:rsidRDefault="00CB7B98" w:rsidP="00C3638B">
      <w:pPr>
        <w:ind w:right="90"/>
        <w:jc w:val="center"/>
        <w:rPr>
          <w:b/>
          <w:bCs/>
          <w:lang w:val="es-ES"/>
        </w:rPr>
      </w:pPr>
      <w:r w:rsidRPr="00CA23D1">
        <w:rPr>
          <w:b/>
          <w:bCs/>
          <w:lang w:val="es-ES"/>
        </w:rPr>
        <w:t>DIRECTRICES SOBRE LA REDUCCIÓN DEL RIESGO DE COLISIÓN DE EMBARCACIONES</w:t>
      </w:r>
      <w:r w:rsidR="00D21B73">
        <w:rPr>
          <w:b/>
          <w:bCs/>
          <w:lang w:val="es-ES"/>
        </w:rPr>
        <w:t xml:space="preserve"> </w:t>
      </w:r>
      <w:r w:rsidR="001D0402" w:rsidRPr="00CA23D1">
        <w:rPr>
          <w:b/>
          <w:bCs/>
          <w:lang w:val="es-ES"/>
        </w:rPr>
        <w:t>CON LOS TIBURONES BALLENA (</w:t>
      </w:r>
      <w:proofErr w:type="spellStart"/>
      <w:r w:rsidR="00F052AD" w:rsidRPr="00CA23D1">
        <w:rPr>
          <w:b/>
          <w:bCs/>
          <w:i/>
          <w:iCs/>
          <w:lang w:val="es-ES"/>
        </w:rPr>
        <w:t>Rhincodon</w:t>
      </w:r>
      <w:proofErr w:type="spellEnd"/>
      <w:r w:rsidR="00F052AD" w:rsidRPr="00CA23D1">
        <w:rPr>
          <w:b/>
          <w:bCs/>
          <w:i/>
          <w:iCs/>
          <w:lang w:val="es-ES"/>
        </w:rPr>
        <w:t xml:space="preserve"> </w:t>
      </w:r>
      <w:proofErr w:type="spellStart"/>
      <w:r w:rsidR="00F052AD" w:rsidRPr="00CA23D1">
        <w:rPr>
          <w:b/>
          <w:bCs/>
          <w:i/>
          <w:iCs/>
          <w:lang w:val="es-ES"/>
        </w:rPr>
        <w:t>typus</w:t>
      </w:r>
      <w:proofErr w:type="spellEnd"/>
      <w:r w:rsidR="00F052AD" w:rsidRPr="00CA23D1">
        <w:rPr>
          <w:b/>
          <w:bCs/>
          <w:lang w:val="es-ES"/>
        </w:rPr>
        <w:t>)</w:t>
      </w:r>
    </w:p>
    <w:p w14:paraId="5870A2DC" w14:textId="77777777" w:rsidR="0033561D" w:rsidRPr="00CA23D1" w:rsidRDefault="0033561D" w:rsidP="00C3638B">
      <w:pPr>
        <w:pStyle w:val="Secondnumbering"/>
        <w:numPr>
          <w:ilvl w:val="0"/>
          <w:numId w:val="0"/>
        </w:numPr>
        <w:ind w:right="90"/>
        <w:rPr>
          <w:lang w:val="es-ES"/>
        </w:rPr>
      </w:pPr>
    </w:p>
    <w:p w14:paraId="409E69D4" w14:textId="77777777" w:rsidR="008F5B2F" w:rsidRPr="00CA23D1" w:rsidRDefault="008F5B2F" w:rsidP="00C3638B">
      <w:pPr>
        <w:pStyle w:val="Secondnumbering"/>
        <w:numPr>
          <w:ilvl w:val="0"/>
          <w:numId w:val="0"/>
        </w:numPr>
        <w:ind w:right="90"/>
        <w:rPr>
          <w:lang w:val="es-ES"/>
        </w:rPr>
      </w:pPr>
    </w:p>
    <w:p w14:paraId="74E4EF8D" w14:textId="2D84FBDF" w:rsidR="00BF6554" w:rsidRPr="00CA23D1" w:rsidRDefault="00F26A83" w:rsidP="00C3638B">
      <w:pPr>
        <w:autoSpaceDE w:val="0"/>
        <w:autoSpaceDN w:val="0"/>
        <w:adjustRightInd w:val="0"/>
        <w:spacing w:after="0" w:line="240" w:lineRule="auto"/>
        <w:ind w:right="90"/>
        <w:jc w:val="both"/>
        <w:rPr>
          <w:rFonts w:cs="Arial"/>
          <w:lang w:val="es-ES"/>
        </w:rPr>
      </w:pPr>
      <w:r w:rsidRPr="00CA23D1">
        <w:rPr>
          <w:rFonts w:cs="Arial"/>
          <w:lang w:val="es-ES"/>
        </w:rPr>
        <w:t xml:space="preserve">Basadas en el informe de la CMS </w:t>
      </w:r>
      <w:r w:rsidR="00DB1121" w:rsidRPr="00CA23D1">
        <w:rPr>
          <w:i/>
          <w:lang w:val="es-ES"/>
        </w:rPr>
        <w:t xml:space="preserve">Limitar el impacto global de las embarcaciones sobre los tiburones ballena: comprender una amenaza creciente al pez más grande del mundo </w:t>
      </w:r>
      <w:r w:rsidR="00057FEF" w:rsidRPr="00CA23D1">
        <w:rPr>
          <w:rStyle w:val="FootnoteReference"/>
          <w:rFonts w:cs="Arial"/>
          <w:lang w:val="es-ES"/>
        </w:rPr>
        <w:footnoteReference w:id="7"/>
      </w:r>
      <w:r w:rsidR="00BA33EF" w:rsidRPr="00CA23D1">
        <w:rPr>
          <w:rFonts w:cs="Arial"/>
          <w:b/>
          <w:bCs/>
          <w:lang w:val="es-ES"/>
        </w:rPr>
        <w:t xml:space="preserve"> </w:t>
      </w:r>
      <w:r w:rsidRPr="00CA23D1">
        <w:rPr>
          <w:rFonts w:cs="Arial"/>
          <w:lang w:val="es-ES"/>
        </w:rPr>
        <w:t>(</w:t>
      </w:r>
      <w:hyperlink r:id="rId33" w:history="1">
        <w:r w:rsidR="00F31BC9" w:rsidRPr="00CA23D1">
          <w:rPr>
            <w:rStyle w:val="Hyperlink"/>
            <w:lang w:val="es-ES"/>
          </w:rPr>
          <w:t>COP14/Inf.27.2.3</w:t>
        </w:r>
      </w:hyperlink>
      <w:r w:rsidR="00F31BC9" w:rsidRPr="00CA23D1">
        <w:rPr>
          <w:rFonts w:cs="Arial"/>
          <w:lang w:val="es-ES"/>
        </w:rPr>
        <w:t>)</w:t>
      </w:r>
      <w:r w:rsidR="00CC50B5" w:rsidRPr="00CA23D1">
        <w:rPr>
          <w:rFonts w:cs="Arial"/>
          <w:lang w:val="es-ES"/>
        </w:rPr>
        <w:t>.</w:t>
      </w:r>
    </w:p>
    <w:p w14:paraId="20E73606" w14:textId="77777777" w:rsidR="00BF6554" w:rsidRPr="00CA23D1" w:rsidRDefault="00BF6554" w:rsidP="00C3638B">
      <w:pPr>
        <w:autoSpaceDE w:val="0"/>
        <w:autoSpaceDN w:val="0"/>
        <w:adjustRightInd w:val="0"/>
        <w:spacing w:after="0" w:line="240" w:lineRule="auto"/>
        <w:ind w:right="90"/>
        <w:jc w:val="both"/>
        <w:rPr>
          <w:rFonts w:cs="Arial"/>
          <w:lang w:val="es-ES"/>
        </w:rPr>
      </w:pPr>
    </w:p>
    <w:p w14:paraId="4BC8A5C8" w14:textId="77777777" w:rsidR="00475E0B" w:rsidRPr="00CA23D1" w:rsidRDefault="00475E0B" w:rsidP="00C3638B">
      <w:pPr>
        <w:autoSpaceDE w:val="0"/>
        <w:autoSpaceDN w:val="0"/>
        <w:adjustRightInd w:val="0"/>
        <w:spacing w:after="0" w:line="240" w:lineRule="auto"/>
        <w:ind w:right="90"/>
        <w:jc w:val="both"/>
        <w:rPr>
          <w:rFonts w:cs="Arial"/>
          <w:lang w:val="es-ES"/>
        </w:rPr>
      </w:pPr>
    </w:p>
    <w:p w14:paraId="16068080" w14:textId="32A8FDDD" w:rsidR="00022B38" w:rsidRPr="00CA23D1" w:rsidRDefault="00022B38" w:rsidP="00987543">
      <w:pPr>
        <w:autoSpaceDE w:val="0"/>
        <w:autoSpaceDN w:val="0"/>
        <w:adjustRightInd w:val="0"/>
        <w:spacing w:after="0" w:line="240" w:lineRule="auto"/>
        <w:ind w:right="86"/>
        <w:jc w:val="both"/>
        <w:rPr>
          <w:rFonts w:cs="Arial"/>
          <w:b/>
          <w:bCs/>
          <w:lang w:val="es-ES"/>
        </w:rPr>
      </w:pPr>
      <w:r w:rsidRPr="00CA23D1">
        <w:rPr>
          <w:rFonts w:cs="Arial"/>
          <w:b/>
          <w:bCs/>
          <w:lang w:val="es-ES"/>
        </w:rPr>
        <w:t>Se recomienda a las Partes que son Estados del área de distribución del tiburón ballena que:</w:t>
      </w:r>
    </w:p>
    <w:p w14:paraId="48F2A38D" w14:textId="77777777" w:rsidR="00022B38" w:rsidRPr="00CA23D1" w:rsidRDefault="00022B38" w:rsidP="00987543">
      <w:pPr>
        <w:autoSpaceDE w:val="0"/>
        <w:autoSpaceDN w:val="0"/>
        <w:adjustRightInd w:val="0"/>
        <w:spacing w:after="0" w:line="240" w:lineRule="auto"/>
        <w:ind w:right="86"/>
        <w:jc w:val="both"/>
        <w:rPr>
          <w:rFonts w:cs="Arial"/>
          <w:u w:val="single"/>
          <w:lang w:val="es-ES"/>
        </w:rPr>
      </w:pPr>
    </w:p>
    <w:p w14:paraId="16441F0C" w14:textId="20982189" w:rsidR="008F5B2F" w:rsidRPr="00CA23D1" w:rsidRDefault="002A6121" w:rsidP="00987543">
      <w:pPr>
        <w:pStyle w:val="ListParagraph"/>
        <w:numPr>
          <w:ilvl w:val="0"/>
          <w:numId w:val="24"/>
        </w:numPr>
        <w:autoSpaceDE w:val="0"/>
        <w:autoSpaceDN w:val="0"/>
        <w:adjustRightInd w:val="0"/>
        <w:spacing w:after="0" w:line="240" w:lineRule="auto"/>
        <w:ind w:left="567" w:right="86" w:hanging="567"/>
        <w:contextualSpacing w:val="0"/>
        <w:jc w:val="both"/>
        <w:rPr>
          <w:rFonts w:cs="Arial"/>
          <w:b/>
          <w:bCs/>
          <w:lang w:val="es-ES"/>
        </w:rPr>
      </w:pPr>
      <w:r w:rsidRPr="00CA23D1">
        <w:rPr>
          <w:rFonts w:cs="Arial"/>
          <w:b/>
          <w:bCs/>
          <w:lang w:val="es-ES"/>
        </w:rPr>
        <w:t>Identifiquen y apliquen unas medidas de mitigación adecuadas en las zonas del hábitat principal del tiburón ballena</w:t>
      </w:r>
    </w:p>
    <w:p w14:paraId="46E0F23B" w14:textId="77777777" w:rsidR="00475E0B" w:rsidRPr="00CA23D1" w:rsidRDefault="00475E0B" w:rsidP="00987543">
      <w:pPr>
        <w:autoSpaceDE w:val="0"/>
        <w:autoSpaceDN w:val="0"/>
        <w:adjustRightInd w:val="0"/>
        <w:spacing w:after="0" w:line="240" w:lineRule="auto"/>
        <w:ind w:right="86"/>
        <w:jc w:val="both"/>
        <w:rPr>
          <w:rFonts w:cs="Arial"/>
          <w:lang w:val="es-ES"/>
        </w:rPr>
      </w:pPr>
    </w:p>
    <w:p w14:paraId="47C84ABD" w14:textId="6ED8A127" w:rsidR="008F5B2F" w:rsidRPr="00CA23D1" w:rsidRDefault="00C436BC" w:rsidP="00987543">
      <w:pPr>
        <w:pStyle w:val="ListParagraph"/>
        <w:autoSpaceDE w:val="0"/>
        <w:autoSpaceDN w:val="0"/>
        <w:adjustRightInd w:val="0"/>
        <w:spacing w:after="0" w:line="240" w:lineRule="auto"/>
        <w:ind w:left="567" w:right="86"/>
        <w:contextualSpacing w:val="0"/>
        <w:jc w:val="both"/>
        <w:rPr>
          <w:rFonts w:cs="Arial"/>
          <w:lang w:val="es-ES"/>
        </w:rPr>
      </w:pPr>
      <w:r w:rsidRPr="00CA23D1">
        <w:rPr>
          <w:rFonts w:cs="Arial"/>
          <w:lang w:val="es-ES"/>
        </w:rPr>
        <w:t>Debido a la urgente necesidad de adoptar medidas de conservación, se alienta a los Estados del área de distribución a que desarrollen mecanismos para reducir el riesgo de colisión de las embarcaciones con los tiburones ballena. Estos Estados deberían investigar cuál es el mejor enfoque en sus zonas del hábitat principal del tiburón ballena, en consulta con los investigadores y la industria marítima. Los Estados del área de distribución deberían basar las medidas de mitigación en los mejores datos científicos disponibles para garantizar unos resultados de conservación positivos.</w:t>
      </w:r>
    </w:p>
    <w:p w14:paraId="7593BA16" w14:textId="77777777" w:rsidR="00C436BC" w:rsidRPr="00CA23D1" w:rsidRDefault="00C436BC" w:rsidP="00987543">
      <w:pPr>
        <w:autoSpaceDE w:val="0"/>
        <w:autoSpaceDN w:val="0"/>
        <w:adjustRightInd w:val="0"/>
        <w:spacing w:after="0" w:line="240" w:lineRule="auto"/>
        <w:ind w:right="86"/>
        <w:jc w:val="both"/>
        <w:rPr>
          <w:rFonts w:cs="Arial"/>
          <w:lang w:val="es-ES"/>
        </w:rPr>
      </w:pPr>
    </w:p>
    <w:p w14:paraId="07CBA74E" w14:textId="41B3AA9C" w:rsidR="008F5B2F" w:rsidRPr="00CA23D1" w:rsidRDefault="008F5B2F" w:rsidP="00987543">
      <w:pPr>
        <w:pStyle w:val="ListParagraph"/>
        <w:numPr>
          <w:ilvl w:val="0"/>
          <w:numId w:val="24"/>
        </w:numPr>
        <w:autoSpaceDE w:val="0"/>
        <w:autoSpaceDN w:val="0"/>
        <w:adjustRightInd w:val="0"/>
        <w:spacing w:after="0" w:line="240" w:lineRule="auto"/>
        <w:ind w:left="567" w:right="86" w:hanging="567"/>
        <w:contextualSpacing w:val="0"/>
        <w:jc w:val="both"/>
        <w:rPr>
          <w:rFonts w:cs="Arial"/>
          <w:b/>
          <w:bCs/>
          <w:lang w:val="es-ES"/>
        </w:rPr>
      </w:pPr>
      <w:r w:rsidRPr="00CA23D1">
        <w:rPr>
          <w:rFonts w:cs="Arial"/>
          <w:b/>
          <w:bCs/>
          <w:lang w:val="es-ES"/>
        </w:rPr>
        <w:t>Designar las zonas principales del tiburón ballena como áreas que se deben evitar (ATBA) según la OMI</w:t>
      </w:r>
    </w:p>
    <w:p w14:paraId="60CB1610" w14:textId="77777777" w:rsidR="00F965E2" w:rsidRPr="00CA23D1" w:rsidRDefault="00F965E2" w:rsidP="00987543">
      <w:pPr>
        <w:autoSpaceDE w:val="0"/>
        <w:autoSpaceDN w:val="0"/>
        <w:adjustRightInd w:val="0"/>
        <w:spacing w:after="0" w:line="240" w:lineRule="auto"/>
        <w:ind w:right="86"/>
        <w:jc w:val="both"/>
        <w:rPr>
          <w:rFonts w:cs="Arial"/>
          <w:lang w:val="es-ES"/>
        </w:rPr>
      </w:pPr>
    </w:p>
    <w:p w14:paraId="6D95EE01" w14:textId="0817938C" w:rsidR="008F5B2F" w:rsidRPr="00CA23D1" w:rsidRDefault="008F5B2F" w:rsidP="00987543">
      <w:pPr>
        <w:autoSpaceDE w:val="0"/>
        <w:autoSpaceDN w:val="0"/>
        <w:adjustRightInd w:val="0"/>
        <w:spacing w:after="0" w:line="240" w:lineRule="auto"/>
        <w:ind w:left="567" w:right="86"/>
        <w:jc w:val="both"/>
        <w:rPr>
          <w:rFonts w:cs="Arial"/>
          <w:lang w:val="es-ES"/>
        </w:rPr>
      </w:pPr>
      <w:r w:rsidRPr="00CA23D1">
        <w:rPr>
          <w:rFonts w:cs="Arial"/>
          <w:lang w:val="es-ES"/>
        </w:rPr>
        <w:t>Dado el tamaño relativamente pequeño de las zonas del hábitat principal (mediano ~116 km²), y el impacto limitado en el tiempo de navegación de los pequeños cambios en las rutas marítimas, este enfoque sería el más rentable y tendría un alto impacto en la conservación. Además, las ATBA beneficiarían a otras especies de interés que también se encuentran en peligro de colisión con las embarcaciones, como las tortugas y los mamíferos marinos. Las ATBA del tiburón ballena deberían incorporarse a designaciones más amplias de Áreas Marinas Protegidas (AMP), en apoyo del actual esfuerzo mundial por proteger el 30 % de los océanos para 2030.</w:t>
      </w:r>
    </w:p>
    <w:p w14:paraId="5673E738" w14:textId="77777777" w:rsidR="00887354" w:rsidRPr="00CA23D1" w:rsidRDefault="00887354" w:rsidP="00987543">
      <w:pPr>
        <w:autoSpaceDE w:val="0"/>
        <w:autoSpaceDN w:val="0"/>
        <w:adjustRightInd w:val="0"/>
        <w:spacing w:after="0" w:line="240" w:lineRule="auto"/>
        <w:ind w:right="86"/>
        <w:jc w:val="both"/>
        <w:rPr>
          <w:rFonts w:cs="Arial"/>
          <w:lang w:val="es-ES"/>
        </w:rPr>
      </w:pPr>
    </w:p>
    <w:p w14:paraId="2EED0495" w14:textId="0EC6C23E" w:rsidR="008F5B2F" w:rsidRPr="00CA23D1" w:rsidRDefault="008F5B2F" w:rsidP="00987543">
      <w:pPr>
        <w:pStyle w:val="ListParagraph"/>
        <w:numPr>
          <w:ilvl w:val="0"/>
          <w:numId w:val="24"/>
        </w:numPr>
        <w:autoSpaceDE w:val="0"/>
        <w:autoSpaceDN w:val="0"/>
        <w:adjustRightInd w:val="0"/>
        <w:spacing w:after="0" w:line="240" w:lineRule="auto"/>
        <w:ind w:left="567" w:right="86" w:hanging="567"/>
        <w:contextualSpacing w:val="0"/>
        <w:jc w:val="both"/>
        <w:rPr>
          <w:rFonts w:cs="Arial"/>
          <w:b/>
          <w:bCs/>
          <w:lang w:val="es-ES"/>
        </w:rPr>
      </w:pPr>
      <w:r w:rsidRPr="00CA23D1">
        <w:rPr>
          <w:rFonts w:cs="Arial"/>
          <w:b/>
          <w:bCs/>
          <w:lang w:val="es-ES"/>
        </w:rPr>
        <w:t>Considerar los Dispositivos de Separación del Tráfico (DST) cuando las ATBA no sean una opción</w:t>
      </w:r>
    </w:p>
    <w:p w14:paraId="00A82E84" w14:textId="77777777" w:rsidR="006B416B" w:rsidRPr="00CA23D1" w:rsidRDefault="006B416B" w:rsidP="00987543">
      <w:pPr>
        <w:autoSpaceDE w:val="0"/>
        <w:autoSpaceDN w:val="0"/>
        <w:adjustRightInd w:val="0"/>
        <w:spacing w:after="0" w:line="240" w:lineRule="auto"/>
        <w:ind w:right="86"/>
        <w:jc w:val="both"/>
        <w:rPr>
          <w:rFonts w:cs="Arial"/>
          <w:lang w:val="es-ES"/>
        </w:rPr>
      </w:pPr>
    </w:p>
    <w:p w14:paraId="1465D978" w14:textId="29C8C794" w:rsidR="008F5B2F" w:rsidRPr="00CA23D1" w:rsidRDefault="008F5B2F" w:rsidP="00987543">
      <w:pPr>
        <w:autoSpaceDE w:val="0"/>
        <w:autoSpaceDN w:val="0"/>
        <w:adjustRightInd w:val="0"/>
        <w:spacing w:after="0" w:line="240" w:lineRule="auto"/>
        <w:ind w:left="567" w:right="86"/>
        <w:jc w:val="both"/>
        <w:rPr>
          <w:rFonts w:cs="Arial"/>
          <w:lang w:val="es-ES"/>
        </w:rPr>
      </w:pPr>
      <w:r w:rsidRPr="00CA23D1">
        <w:rPr>
          <w:rFonts w:cs="Arial"/>
          <w:lang w:val="es-ES"/>
        </w:rPr>
        <w:t xml:space="preserve">El estrechamiento de las rutas marítimas reducirá el tamaño de las áreas con alto riesgo de colisión con las embarcaciones. Esta puede ser una </w:t>
      </w:r>
      <w:proofErr w:type="gramStart"/>
      <w:r w:rsidRPr="00CA23D1">
        <w:rPr>
          <w:rFonts w:cs="Arial"/>
          <w:lang w:val="es-ES"/>
        </w:rPr>
        <w:t>opción alternativa</w:t>
      </w:r>
      <w:proofErr w:type="gramEnd"/>
      <w:r w:rsidRPr="00CA23D1">
        <w:rPr>
          <w:rFonts w:cs="Arial"/>
          <w:lang w:val="es-ES"/>
        </w:rPr>
        <w:t xml:space="preserve"> a las constelaciones</w:t>
      </w:r>
      <w:r w:rsidR="00F62D7A" w:rsidRPr="00CA23D1">
        <w:rPr>
          <w:rStyle w:val="FootnoteReference"/>
          <w:rFonts w:cs="Arial"/>
          <w:lang w:val="es-ES"/>
        </w:rPr>
        <w:footnoteReference w:id="8"/>
      </w:r>
      <w:r w:rsidRPr="00CA23D1">
        <w:rPr>
          <w:rFonts w:cs="Arial"/>
          <w:lang w:val="es-ES"/>
        </w:rPr>
        <w:t xml:space="preserve"> con un área relativamente grande, como el golfo de México, en dónde las ATBA pueden no ser viables.</w:t>
      </w:r>
    </w:p>
    <w:p w14:paraId="35FFB7DB" w14:textId="77777777" w:rsidR="006B416B" w:rsidRPr="00CA23D1" w:rsidRDefault="006B416B" w:rsidP="00987543">
      <w:pPr>
        <w:pStyle w:val="ListParagraph"/>
        <w:autoSpaceDE w:val="0"/>
        <w:autoSpaceDN w:val="0"/>
        <w:adjustRightInd w:val="0"/>
        <w:spacing w:after="0" w:line="240" w:lineRule="auto"/>
        <w:ind w:left="567" w:right="86"/>
        <w:contextualSpacing w:val="0"/>
        <w:jc w:val="both"/>
        <w:rPr>
          <w:rFonts w:cs="Arial"/>
          <w:lang w:val="es-ES"/>
        </w:rPr>
      </w:pPr>
    </w:p>
    <w:p w14:paraId="22548007" w14:textId="1D688746" w:rsidR="008F5B2F" w:rsidRPr="00CA23D1" w:rsidRDefault="008F5B2F" w:rsidP="00987543">
      <w:pPr>
        <w:pStyle w:val="ListParagraph"/>
        <w:numPr>
          <w:ilvl w:val="0"/>
          <w:numId w:val="24"/>
        </w:numPr>
        <w:autoSpaceDE w:val="0"/>
        <w:autoSpaceDN w:val="0"/>
        <w:adjustRightInd w:val="0"/>
        <w:spacing w:after="0" w:line="240" w:lineRule="auto"/>
        <w:ind w:left="567" w:right="86" w:hanging="567"/>
        <w:contextualSpacing w:val="0"/>
        <w:jc w:val="both"/>
        <w:rPr>
          <w:rFonts w:cs="Arial"/>
          <w:b/>
          <w:bCs/>
          <w:lang w:val="es-ES"/>
        </w:rPr>
      </w:pPr>
      <w:r w:rsidRPr="00CA23D1">
        <w:rPr>
          <w:rFonts w:cs="Arial"/>
          <w:b/>
          <w:bCs/>
          <w:lang w:val="es-ES"/>
        </w:rPr>
        <w:t>Reducir la velocidad en las zonas principales del tiburón ballena</w:t>
      </w:r>
    </w:p>
    <w:p w14:paraId="18F29C1B" w14:textId="77777777" w:rsidR="006B416B" w:rsidRPr="00CA23D1" w:rsidRDefault="006B416B" w:rsidP="00987543">
      <w:pPr>
        <w:autoSpaceDE w:val="0"/>
        <w:autoSpaceDN w:val="0"/>
        <w:adjustRightInd w:val="0"/>
        <w:spacing w:after="0" w:line="240" w:lineRule="auto"/>
        <w:ind w:right="86"/>
        <w:jc w:val="both"/>
        <w:rPr>
          <w:rFonts w:cs="Arial"/>
          <w:lang w:val="es-ES"/>
        </w:rPr>
      </w:pPr>
    </w:p>
    <w:p w14:paraId="35F8E496" w14:textId="25BAA166" w:rsidR="008F5B2F" w:rsidRPr="00CA23D1" w:rsidRDefault="00426D27" w:rsidP="00987543">
      <w:pPr>
        <w:autoSpaceDE w:val="0"/>
        <w:autoSpaceDN w:val="0"/>
        <w:adjustRightInd w:val="0"/>
        <w:spacing w:after="0" w:line="240" w:lineRule="auto"/>
        <w:ind w:left="567" w:right="86"/>
        <w:jc w:val="both"/>
        <w:rPr>
          <w:rFonts w:cs="Arial"/>
          <w:lang w:val="es-ES"/>
        </w:rPr>
      </w:pPr>
      <w:r w:rsidRPr="00CA23D1">
        <w:rPr>
          <w:rFonts w:cs="Arial"/>
          <w:lang w:val="es-ES"/>
        </w:rPr>
        <w:t>Un límite de velocidad de 10 nudos o menos puede reducir de forma potencial la mortalidad derivada de las colisiones de embarcaciones con los tiburones ballena. Este mecanismo también supone un cambio menor para la navegación de las embarcaciones que un cambio en el rumbo de las rutas y, por lo tanto, es más probable que se acepte por las partes interesadas del transporte marítimo. Las zonas de velocidad reducida pueden aplicarse a todos los barcos, incluidos los pequeños. Habida cuenta del pequeño espacio ocupado por estas zonas, la designación de las ATBA también reportaría beneficios similares.</w:t>
      </w:r>
    </w:p>
    <w:p w14:paraId="63C147C6" w14:textId="7AB3DECD" w:rsidR="00A649EE" w:rsidRPr="00CA23D1" w:rsidRDefault="00A649EE" w:rsidP="00987543">
      <w:pPr>
        <w:autoSpaceDE w:val="0"/>
        <w:autoSpaceDN w:val="0"/>
        <w:adjustRightInd w:val="0"/>
        <w:spacing w:after="0" w:line="240" w:lineRule="auto"/>
        <w:ind w:right="86"/>
        <w:jc w:val="both"/>
        <w:rPr>
          <w:rFonts w:cs="Arial"/>
          <w:lang w:val="es-ES"/>
        </w:rPr>
      </w:pPr>
    </w:p>
    <w:p w14:paraId="6E6321DF" w14:textId="1484E203" w:rsidR="008F5B2F" w:rsidRPr="00CA23D1" w:rsidRDefault="008F5B2F" w:rsidP="00987543">
      <w:pPr>
        <w:pStyle w:val="ListParagraph"/>
        <w:numPr>
          <w:ilvl w:val="0"/>
          <w:numId w:val="24"/>
        </w:numPr>
        <w:autoSpaceDE w:val="0"/>
        <w:autoSpaceDN w:val="0"/>
        <w:adjustRightInd w:val="0"/>
        <w:spacing w:after="0" w:line="240" w:lineRule="auto"/>
        <w:ind w:left="567" w:right="86" w:hanging="567"/>
        <w:contextualSpacing w:val="0"/>
        <w:jc w:val="both"/>
        <w:rPr>
          <w:rFonts w:cs="Arial"/>
          <w:b/>
          <w:bCs/>
          <w:lang w:val="es-ES"/>
        </w:rPr>
      </w:pPr>
      <w:r w:rsidRPr="00CA23D1">
        <w:rPr>
          <w:rFonts w:cs="Arial"/>
          <w:b/>
          <w:bCs/>
          <w:lang w:val="es-ES"/>
        </w:rPr>
        <w:t>Crear redes de alerta con zonas de</w:t>
      </w:r>
      <w:r w:rsidR="006B416B" w:rsidRPr="00CA23D1">
        <w:rPr>
          <w:rFonts w:cs="Arial"/>
          <w:b/>
          <w:bCs/>
          <w:lang w:val="es-ES"/>
        </w:rPr>
        <w:t xml:space="preserve"> evitación temporal</w:t>
      </w:r>
    </w:p>
    <w:p w14:paraId="36A8D8C4" w14:textId="77777777" w:rsidR="006B416B" w:rsidRPr="00CA23D1" w:rsidRDefault="006B416B" w:rsidP="00987543">
      <w:pPr>
        <w:pStyle w:val="ListParagraph"/>
        <w:autoSpaceDE w:val="0"/>
        <w:autoSpaceDN w:val="0"/>
        <w:adjustRightInd w:val="0"/>
        <w:spacing w:after="0" w:line="240" w:lineRule="auto"/>
        <w:ind w:left="567" w:right="86"/>
        <w:contextualSpacing w:val="0"/>
        <w:jc w:val="both"/>
        <w:rPr>
          <w:rFonts w:cs="Arial"/>
          <w:lang w:val="es-ES"/>
        </w:rPr>
      </w:pPr>
    </w:p>
    <w:p w14:paraId="67A9F5DE" w14:textId="204BD261" w:rsidR="008F5B2F" w:rsidRPr="00CA23D1" w:rsidRDefault="008F5B2F" w:rsidP="00987543">
      <w:pPr>
        <w:autoSpaceDE w:val="0"/>
        <w:autoSpaceDN w:val="0"/>
        <w:adjustRightInd w:val="0"/>
        <w:spacing w:after="0" w:line="240" w:lineRule="auto"/>
        <w:ind w:left="567" w:right="86"/>
        <w:jc w:val="both"/>
        <w:rPr>
          <w:rFonts w:cs="Arial"/>
          <w:lang w:val="es-ES"/>
        </w:rPr>
      </w:pPr>
      <w:r w:rsidRPr="00CA23D1">
        <w:rPr>
          <w:rFonts w:cs="Arial"/>
          <w:lang w:val="es-ES"/>
        </w:rPr>
        <w:t>Con el apoyo del público general como el de los científicos, los avistamientos de los tiburones ballena podrían ser comunicados entre una gran variedad de usuarios de embarcaciones para crear zonas temporales de exclusión. Del mismo modo, el seguimiento por satélite de los tiburones ballena en las constelaciones podría ayudar a crear zonas de evitación casi en tiempo real. Esto también ayudaría al seguimiento general del tiburón ballena en mayores escalas espaciales, proporcionando datos inestimables sobre la estacionalidad, la abundancia y el aprovechamiento del lugar.</w:t>
      </w:r>
    </w:p>
    <w:p w14:paraId="434C513E" w14:textId="77777777" w:rsidR="007F04D9" w:rsidRPr="00CA23D1" w:rsidRDefault="007F04D9" w:rsidP="00987543">
      <w:pPr>
        <w:autoSpaceDE w:val="0"/>
        <w:autoSpaceDN w:val="0"/>
        <w:adjustRightInd w:val="0"/>
        <w:spacing w:after="0" w:line="240" w:lineRule="auto"/>
        <w:ind w:right="86"/>
        <w:jc w:val="both"/>
        <w:rPr>
          <w:rFonts w:cs="Arial"/>
          <w:lang w:val="es-ES"/>
        </w:rPr>
      </w:pPr>
    </w:p>
    <w:p w14:paraId="0055A5AB" w14:textId="44AAA795" w:rsidR="008F5B2F" w:rsidRPr="00CA23D1" w:rsidRDefault="008F5B2F" w:rsidP="00987543">
      <w:pPr>
        <w:pStyle w:val="ListParagraph"/>
        <w:numPr>
          <w:ilvl w:val="0"/>
          <w:numId w:val="24"/>
        </w:numPr>
        <w:autoSpaceDE w:val="0"/>
        <w:autoSpaceDN w:val="0"/>
        <w:adjustRightInd w:val="0"/>
        <w:spacing w:after="0" w:line="240" w:lineRule="auto"/>
        <w:ind w:left="567" w:right="86" w:hanging="567"/>
        <w:contextualSpacing w:val="0"/>
        <w:jc w:val="both"/>
        <w:rPr>
          <w:rFonts w:cs="Arial"/>
          <w:b/>
          <w:bCs/>
          <w:lang w:val="es-ES"/>
        </w:rPr>
      </w:pPr>
      <w:r w:rsidRPr="00CA23D1">
        <w:rPr>
          <w:rFonts w:cs="Arial"/>
          <w:b/>
          <w:bCs/>
          <w:lang w:val="es-ES"/>
        </w:rPr>
        <w:t>Crear una base de datos centralizada para documentar las colisiones de las embarcaciones con los tiburones ballena</w:t>
      </w:r>
    </w:p>
    <w:p w14:paraId="580EEACD" w14:textId="77777777" w:rsidR="007F04D9" w:rsidRPr="00CA23D1" w:rsidRDefault="007F04D9" w:rsidP="00987543">
      <w:pPr>
        <w:pStyle w:val="ListParagraph"/>
        <w:autoSpaceDE w:val="0"/>
        <w:autoSpaceDN w:val="0"/>
        <w:adjustRightInd w:val="0"/>
        <w:spacing w:after="0" w:line="240" w:lineRule="auto"/>
        <w:ind w:left="567" w:right="86"/>
        <w:contextualSpacing w:val="0"/>
        <w:jc w:val="both"/>
        <w:rPr>
          <w:rFonts w:cs="Arial"/>
          <w:lang w:val="es-ES"/>
        </w:rPr>
      </w:pPr>
    </w:p>
    <w:p w14:paraId="4AD6B155" w14:textId="2E9F5BBF" w:rsidR="007F04D9" w:rsidRPr="00CA23D1" w:rsidRDefault="00B77F45" w:rsidP="00987543">
      <w:pPr>
        <w:autoSpaceDE w:val="0"/>
        <w:autoSpaceDN w:val="0"/>
        <w:adjustRightInd w:val="0"/>
        <w:spacing w:after="0" w:line="240" w:lineRule="auto"/>
        <w:ind w:left="567" w:right="86"/>
        <w:jc w:val="both"/>
        <w:rPr>
          <w:rFonts w:cs="Arial"/>
          <w:lang w:val="es-ES"/>
        </w:rPr>
      </w:pPr>
      <w:r w:rsidRPr="00CA23D1">
        <w:rPr>
          <w:rFonts w:cs="Arial"/>
          <w:lang w:val="es-ES"/>
        </w:rPr>
        <w:t>Con el creciente número de grandes embarcaciones, comprender el nivel del impacto será fundamental para las estrategias de mitigación. Una base de datos centralizada, que podría servirse de la base de datos mundial existente, Sharkbook.ai, beneficiaría al seguimiento a largo plazo de esta amenaza. La coordinación con la base de datos sobre colisiones de barcos de la CBI puede ser de utilidad para una gestión holística en el futuro</w:t>
      </w:r>
    </w:p>
    <w:p w14:paraId="11EA5C09" w14:textId="77777777" w:rsidR="007F04D9" w:rsidRPr="00CA23D1" w:rsidRDefault="007F04D9" w:rsidP="00987543">
      <w:pPr>
        <w:autoSpaceDE w:val="0"/>
        <w:autoSpaceDN w:val="0"/>
        <w:adjustRightInd w:val="0"/>
        <w:spacing w:after="0" w:line="240" w:lineRule="auto"/>
        <w:ind w:right="86"/>
        <w:jc w:val="both"/>
        <w:rPr>
          <w:rFonts w:cs="Arial"/>
          <w:b/>
          <w:bCs/>
          <w:lang w:val="es-ES"/>
        </w:rPr>
      </w:pPr>
    </w:p>
    <w:p w14:paraId="60D551BE" w14:textId="50DCB1A7" w:rsidR="008F5B2F" w:rsidRPr="00CA23D1" w:rsidRDefault="008F5B2F" w:rsidP="00987543">
      <w:pPr>
        <w:pStyle w:val="ListParagraph"/>
        <w:numPr>
          <w:ilvl w:val="0"/>
          <w:numId w:val="24"/>
        </w:numPr>
        <w:autoSpaceDE w:val="0"/>
        <w:autoSpaceDN w:val="0"/>
        <w:adjustRightInd w:val="0"/>
        <w:spacing w:after="0" w:line="240" w:lineRule="auto"/>
        <w:ind w:left="567" w:right="86" w:hanging="567"/>
        <w:contextualSpacing w:val="0"/>
        <w:jc w:val="both"/>
        <w:rPr>
          <w:rFonts w:cs="Arial"/>
          <w:b/>
          <w:bCs/>
          <w:lang w:val="es-ES"/>
        </w:rPr>
      </w:pPr>
      <w:r w:rsidRPr="00CA23D1">
        <w:rPr>
          <w:rFonts w:cs="Arial"/>
          <w:b/>
          <w:bCs/>
          <w:lang w:val="es-ES"/>
        </w:rPr>
        <w:t>Incrementar la concienciación sobre este asunto entre el sector naval y el público</w:t>
      </w:r>
    </w:p>
    <w:p w14:paraId="15134380" w14:textId="77777777" w:rsidR="008009B0" w:rsidRPr="00CA23D1" w:rsidRDefault="008009B0" w:rsidP="00987543">
      <w:pPr>
        <w:pStyle w:val="ListParagraph"/>
        <w:autoSpaceDE w:val="0"/>
        <w:autoSpaceDN w:val="0"/>
        <w:adjustRightInd w:val="0"/>
        <w:spacing w:after="0" w:line="240" w:lineRule="auto"/>
        <w:ind w:left="567" w:right="86"/>
        <w:contextualSpacing w:val="0"/>
        <w:jc w:val="both"/>
        <w:rPr>
          <w:rFonts w:cs="Arial"/>
          <w:lang w:val="es-ES"/>
        </w:rPr>
      </w:pPr>
    </w:p>
    <w:p w14:paraId="7B3C1F43" w14:textId="5C0C07F8" w:rsidR="008009B0" w:rsidRPr="00CA23D1" w:rsidRDefault="008F5B2F" w:rsidP="00987543">
      <w:pPr>
        <w:autoSpaceDE w:val="0"/>
        <w:autoSpaceDN w:val="0"/>
        <w:adjustRightInd w:val="0"/>
        <w:spacing w:after="0" w:line="240" w:lineRule="auto"/>
        <w:ind w:left="567" w:right="86"/>
        <w:jc w:val="both"/>
        <w:rPr>
          <w:rFonts w:cs="Arial"/>
          <w:lang w:val="es-ES"/>
        </w:rPr>
      </w:pPr>
      <w:r w:rsidRPr="00CA23D1">
        <w:rPr>
          <w:rFonts w:cs="Arial"/>
          <w:lang w:val="es-ES"/>
        </w:rPr>
        <w:t>El éxito en la mitigación de las colisiones de las embarcaciones con los tiburones ballena requerirá la colaboración de las partes interesadas del sector, del gobierno y del sector de la conservación. Dado que esta amenaza es, en gran medida, desconocida más allá de la comunidad de investigadores del tiburón ballena, el incremento de la concienciación será un primer paso importante, en particular, promoviendo conversaciones directas con el sector naval.</w:t>
      </w:r>
    </w:p>
    <w:p w14:paraId="23DA21D5" w14:textId="77777777" w:rsidR="008009B0" w:rsidRPr="00CA23D1" w:rsidRDefault="008009B0" w:rsidP="00987543">
      <w:pPr>
        <w:autoSpaceDE w:val="0"/>
        <w:autoSpaceDN w:val="0"/>
        <w:adjustRightInd w:val="0"/>
        <w:spacing w:after="0" w:line="240" w:lineRule="auto"/>
        <w:ind w:right="86"/>
        <w:jc w:val="both"/>
        <w:rPr>
          <w:rFonts w:cs="Arial"/>
          <w:lang w:val="es-ES"/>
        </w:rPr>
      </w:pPr>
    </w:p>
    <w:p w14:paraId="55F99ECD" w14:textId="489EDA2A" w:rsidR="008F5B2F" w:rsidRPr="00CA23D1" w:rsidRDefault="008F5B2F" w:rsidP="00987543">
      <w:pPr>
        <w:pStyle w:val="ListParagraph"/>
        <w:numPr>
          <w:ilvl w:val="0"/>
          <w:numId w:val="24"/>
        </w:numPr>
        <w:autoSpaceDE w:val="0"/>
        <w:autoSpaceDN w:val="0"/>
        <w:adjustRightInd w:val="0"/>
        <w:spacing w:after="0" w:line="240" w:lineRule="auto"/>
        <w:ind w:left="567" w:right="86" w:hanging="567"/>
        <w:contextualSpacing w:val="0"/>
        <w:jc w:val="both"/>
        <w:rPr>
          <w:rFonts w:cs="Arial"/>
          <w:b/>
          <w:bCs/>
          <w:lang w:val="es-ES"/>
        </w:rPr>
      </w:pPr>
      <w:r w:rsidRPr="00CA23D1">
        <w:rPr>
          <w:rFonts w:cs="Arial"/>
          <w:b/>
          <w:bCs/>
          <w:lang w:val="es-ES"/>
        </w:rPr>
        <w:t>Emplear la gestión adaptativa y supervisar y evaluar las estrategias de mitigación</w:t>
      </w:r>
    </w:p>
    <w:p w14:paraId="18E25F2F" w14:textId="77777777" w:rsidR="006B416B" w:rsidRPr="00CA23D1" w:rsidRDefault="006B416B" w:rsidP="00987543">
      <w:pPr>
        <w:autoSpaceDE w:val="0"/>
        <w:autoSpaceDN w:val="0"/>
        <w:adjustRightInd w:val="0"/>
        <w:spacing w:after="0" w:line="240" w:lineRule="auto"/>
        <w:ind w:right="86"/>
        <w:jc w:val="both"/>
        <w:rPr>
          <w:rFonts w:cs="Arial"/>
          <w:lang w:val="es-ES"/>
        </w:rPr>
      </w:pPr>
    </w:p>
    <w:p w14:paraId="683D566A" w14:textId="7EF43473" w:rsidR="008F5B2F" w:rsidRPr="00CA23D1" w:rsidRDefault="008F5B2F" w:rsidP="00987543">
      <w:pPr>
        <w:autoSpaceDE w:val="0"/>
        <w:autoSpaceDN w:val="0"/>
        <w:adjustRightInd w:val="0"/>
        <w:spacing w:after="0" w:line="240" w:lineRule="auto"/>
        <w:ind w:left="567" w:right="86"/>
        <w:jc w:val="both"/>
        <w:rPr>
          <w:lang w:val="es-ES"/>
        </w:rPr>
        <w:sectPr w:rsidR="008F5B2F" w:rsidRPr="00CA23D1" w:rsidSect="00A618B3">
          <w:headerReference w:type="even" r:id="rId34"/>
          <w:headerReference w:type="default" r:id="rId35"/>
          <w:headerReference w:type="first" r:id="rId36"/>
          <w:pgSz w:w="11906" w:h="16838" w:code="9"/>
          <w:pgMar w:top="1440" w:right="1440" w:bottom="1440" w:left="1440" w:header="720" w:footer="720" w:gutter="0"/>
          <w:cols w:space="720"/>
          <w:titlePg/>
          <w:docGrid w:linePitch="360"/>
        </w:sectPr>
      </w:pPr>
      <w:r w:rsidRPr="00CA23D1">
        <w:rPr>
          <w:rFonts w:cs="Arial"/>
          <w:lang w:val="es-ES"/>
        </w:rPr>
        <w:t>Cualquier medida de mitigación destinada a reducir las colisiones de las embarcaciones con los tiburones ballena deberá ser objeto de seguimiento y evaluación. Esto comprenderá el cumplimiento de la normativa (voluntaria o no) establecida por los Estados del área de distribución, como la adhesión a los esquemas de separación del tráfico o a las ATBA, así como el intercambio de información y de los informes de los observadores. Puesto que el tráfico marítimo está aumentando y las especies se están desplazando en respuesta al cambio climático, se requiere un planteamiento de gestión adaptativo. Esto significa evaluar las estrategias de mitigación acordadas y revisarlas y actualizarlas con el paso del tiempo.</w:t>
      </w:r>
    </w:p>
    <w:p w14:paraId="002956A5" w14:textId="396DAB42" w:rsidR="003D5D52" w:rsidRPr="00CA23D1" w:rsidRDefault="003D5D52" w:rsidP="003D5D52">
      <w:pPr>
        <w:pStyle w:val="Secondnumbering"/>
        <w:numPr>
          <w:ilvl w:val="0"/>
          <w:numId w:val="0"/>
        </w:numPr>
        <w:ind w:right="90"/>
        <w:jc w:val="right"/>
        <w:rPr>
          <w:lang w:val="es-ES"/>
        </w:rPr>
      </w:pPr>
      <w:r w:rsidRPr="00CA23D1">
        <w:rPr>
          <w:rFonts w:cs="Arial"/>
          <w:b/>
          <w:caps/>
          <w:lang w:val="es-ES"/>
        </w:rPr>
        <w:lastRenderedPageBreak/>
        <w:t>Anexo 3</w:t>
      </w:r>
    </w:p>
    <w:p w14:paraId="4CED9BE8" w14:textId="77777777" w:rsidR="003D5D52" w:rsidRDefault="003D5D52" w:rsidP="003D5D52">
      <w:pPr>
        <w:pStyle w:val="Secondnumbering"/>
        <w:numPr>
          <w:ilvl w:val="0"/>
          <w:numId w:val="0"/>
        </w:numPr>
        <w:ind w:right="90"/>
        <w:rPr>
          <w:lang w:val="es-ES"/>
        </w:rPr>
      </w:pPr>
    </w:p>
    <w:p w14:paraId="099940B0" w14:textId="77777777" w:rsidR="00527F3D" w:rsidRPr="00CA23D1" w:rsidRDefault="00527F3D" w:rsidP="003D5D52">
      <w:pPr>
        <w:pStyle w:val="Secondnumbering"/>
        <w:numPr>
          <w:ilvl w:val="0"/>
          <w:numId w:val="0"/>
        </w:numPr>
        <w:ind w:right="90"/>
        <w:rPr>
          <w:lang w:val="es-ES"/>
        </w:rPr>
      </w:pPr>
    </w:p>
    <w:p w14:paraId="7DBB6B06" w14:textId="7E9C0716" w:rsidR="003D5D52" w:rsidRPr="00CA23D1" w:rsidRDefault="003D5D52" w:rsidP="003D5D52">
      <w:pPr>
        <w:spacing w:after="0" w:line="240" w:lineRule="auto"/>
        <w:ind w:right="90"/>
        <w:jc w:val="center"/>
        <w:rPr>
          <w:rFonts w:cs="Arial"/>
          <w:lang w:val="es-ES"/>
        </w:rPr>
      </w:pPr>
      <w:r w:rsidRPr="00CA23D1">
        <w:rPr>
          <w:rFonts w:cs="Arial"/>
          <w:lang w:val="es-ES"/>
        </w:rPr>
        <w:t>PROYECTO DE DECISIÓN</w:t>
      </w:r>
    </w:p>
    <w:p w14:paraId="04E391E9" w14:textId="77777777" w:rsidR="003D5D52" w:rsidRPr="00CA23D1" w:rsidRDefault="003D5D52" w:rsidP="003D5D52">
      <w:pPr>
        <w:widowControl w:val="0"/>
        <w:autoSpaceDE w:val="0"/>
        <w:autoSpaceDN w:val="0"/>
        <w:adjustRightInd w:val="0"/>
        <w:spacing w:after="0" w:line="240" w:lineRule="auto"/>
        <w:ind w:right="90"/>
        <w:jc w:val="both"/>
        <w:rPr>
          <w:rFonts w:eastAsia="Times New Roman" w:cs="Arial"/>
          <w:lang w:val="es-ES"/>
        </w:rPr>
      </w:pPr>
    </w:p>
    <w:p w14:paraId="133206B0" w14:textId="25AC4DC5" w:rsidR="003D5D52" w:rsidRPr="00CA23D1" w:rsidRDefault="003D5D52" w:rsidP="003D5D52">
      <w:pPr>
        <w:ind w:right="90"/>
        <w:jc w:val="center"/>
        <w:rPr>
          <w:b/>
          <w:bCs/>
          <w:lang w:val="es-ES"/>
        </w:rPr>
      </w:pPr>
      <w:r w:rsidRPr="00CA23D1">
        <w:rPr>
          <w:b/>
          <w:bCs/>
          <w:lang w:val="es-ES"/>
        </w:rPr>
        <w:t>REDUCIR EL RIESGO DE COLISIÓN DE LAS EMBARCACIONES CON LA MEGAFAUNA MARINA</w:t>
      </w:r>
    </w:p>
    <w:p w14:paraId="191DBA7A" w14:textId="77777777" w:rsidR="003B3523" w:rsidRPr="00CA23D1" w:rsidRDefault="003B3523" w:rsidP="00C3638B">
      <w:pPr>
        <w:spacing w:after="0" w:line="240" w:lineRule="auto"/>
        <w:ind w:right="90"/>
        <w:jc w:val="both"/>
        <w:rPr>
          <w:b/>
          <w:bCs/>
          <w:lang w:val="es-ES"/>
        </w:rPr>
      </w:pPr>
    </w:p>
    <w:p w14:paraId="5E921969" w14:textId="77777777" w:rsidR="002D15AA" w:rsidRPr="00CA23D1" w:rsidRDefault="002D15AA" w:rsidP="00C3638B">
      <w:pPr>
        <w:spacing w:after="0" w:line="240" w:lineRule="auto"/>
        <w:ind w:right="90"/>
        <w:jc w:val="both"/>
        <w:rPr>
          <w:rFonts w:cs="Arial"/>
          <w:b/>
          <w:i/>
          <w:lang w:val="es-ES"/>
        </w:rPr>
      </w:pPr>
    </w:p>
    <w:p w14:paraId="06B3027D" w14:textId="55B627CF" w:rsidR="00DD07FD" w:rsidRPr="00CA23D1" w:rsidRDefault="00DD07FD" w:rsidP="00C3638B">
      <w:pPr>
        <w:spacing w:after="0" w:line="240" w:lineRule="auto"/>
        <w:ind w:right="90"/>
        <w:jc w:val="both"/>
        <w:rPr>
          <w:rFonts w:cs="Arial"/>
          <w:b/>
          <w:i/>
          <w:lang w:val="es-ES"/>
        </w:rPr>
      </w:pPr>
      <w:r w:rsidRPr="00CA23D1">
        <w:rPr>
          <w:rFonts w:cs="Arial"/>
          <w:b/>
          <w:i/>
          <w:lang w:val="es-ES"/>
        </w:rPr>
        <w:t>Dirigido a las Partes que son Estados del área de distribución</w:t>
      </w:r>
      <w:r w:rsidR="002160FC" w:rsidRPr="00CA23D1">
        <w:rPr>
          <w:rStyle w:val="FootnoteReference"/>
          <w:rFonts w:cs="Arial"/>
          <w:b/>
          <w:i/>
          <w:lang w:val="es-ES"/>
        </w:rPr>
        <w:footnoteReference w:id="9"/>
      </w:r>
      <w:r w:rsidR="008B6507" w:rsidRPr="00CA23D1">
        <w:rPr>
          <w:rFonts w:cs="Arial"/>
          <w:b/>
          <w:i/>
          <w:lang w:val="es-ES"/>
        </w:rPr>
        <w:t xml:space="preserve"> de las especies de megafauna marina incluidas en la CMS que son objeto de colisiones con embarcaciones</w:t>
      </w:r>
    </w:p>
    <w:p w14:paraId="1C7323C1" w14:textId="77777777" w:rsidR="00DD07FD" w:rsidRPr="00CA23D1" w:rsidRDefault="00DD07FD" w:rsidP="00C3638B">
      <w:pPr>
        <w:spacing w:after="0" w:line="240" w:lineRule="auto"/>
        <w:ind w:right="90"/>
        <w:jc w:val="both"/>
        <w:rPr>
          <w:rFonts w:cs="Arial"/>
          <w:lang w:val="es-ES"/>
        </w:rPr>
      </w:pPr>
    </w:p>
    <w:p w14:paraId="082F7700" w14:textId="578A3530" w:rsidR="00DD07FD" w:rsidRPr="00CA23D1" w:rsidRDefault="00DD07FD" w:rsidP="00636698">
      <w:pPr>
        <w:spacing w:after="0" w:line="240" w:lineRule="auto"/>
        <w:ind w:left="851" w:right="90" w:hanging="851"/>
        <w:jc w:val="both"/>
        <w:rPr>
          <w:rFonts w:cs="Arial"/>
          <w:iCs/>
          <w:lang w:val="es-ES"/>
        </w:rPr>
      </w:pPr>
      <w:r w:rsidRPr="00CA23D1">
        <w:rPr>
          <w:rFonts w:cs="Arial"/>
          <w:lang w:val="es-ES"/>
        </w:rPr>
        <w:t>14.AA</w:t>
      </w:r>
      <w:r w:rsidRPr="00CA23D1">
        <w:rPr>
          <w:rFonts w:cs="Arial"/>
          <w:lang w:val="es-ES"/>
        </w:rPr>
        <w:tab/>
      </w:r>
      <w:r w:rsidRPr="00CA23D1">
        <w:rPr>
          <w:rFonts w:cs="Arial"/>
          <w:iCs/>
          <w:lang w:val="es-ES"/>
        </w:rPr>
        <w:t>Se pide a las Partes que son Estado del área de distribución que:</w:t>
      </w:r>
    </w:p>
    <w:p w14:paraId="1FF4E899" w14:textId="4CBDF26C" w:rsidR="00DD07FD" w:rsidRPr="00CA23D1" w:rsidRDefault="00DD07FD" w:rsidP="00636698">
      <w:pPr>
        <w:spacing w:after="0" w:line="240" w:lineRule="auto"/>
        <w:ind w:left="720" w:right="90" w:hanging="720"/>
        <w:jc w:val="both"/>
        <w:rPr>
          <w:rFonts w:cs="Arial"/>
          <w:iCs/>
          <w:lang w:val="es-ES"/>
        </w:rPr>
      </w:pPr>
    </w:p>
    <w:p w14:paraId="143A997B" w14:textId="5C414071" w:rsidR="005F29FC" w:rsidRPr="00CA23D1" w:rsidRDefault="005F29FC" w:rsidP="005F29FC">
      <w:pPr>
        <w:widowControl w:val="0"/>
        <w:numPr>
          <w:ilvl w:val="0"/>
          <w:numId w:val="12"/>
        </w:numPr>
        <w:autoSpaceDE w:val="0"/>
        <w:autoSpaceDN w:val="0"/>
        <w:adjustRightInd w:val="0"/>
        <w:spacing w:after="0" w:line="240" w:lineRule="auto"/>
        <w:ind w:left="1418" w:right="90" w:hanging="567"/>
        <w:jc w:val="both"/>
        <w:rPr>
          <w:rFonts w:cs="Arial"/>
          <w:iCs/>
          <w:lang w:val="es-ES"/>
        </w:rPr>
      </w:pPr>
      <w:r w:rsidRPr="00CA23D1">
        <w:rPr>
          <w:rFonts w:cs="Arial"/>
          <w:iCs/>
          <w:lang w:val="es-ES"/>
        </w:rPr>
        <w:t>Establezcan un contacto con las partes interesadas del tráfico comercial, recreativo, o de otro tipo, para fomentar la notificación sistemática de todos los incidentes de colisión con embarcaciones que afecten a las ballenas, a los delfines o a las marsopas a la base de datos sobre colisiones de barcos de la Comisión Ballenera Internacional;</w:t>
      </w:r>
    </w:p>
    <w:p w14:paraId="69A40F95" w14:textId="77777777" w:rsidR="005F29FC" w:rsidRPr="00CA23D1" w:rsidRDefault="005F29FC" w:rsidP="005F29FC">
      <w:pPr>
        <w:widowControl w:val="0"/>
        <w:autoSpaceDE w:val="0"/>
        <w:autoSpaceDN w:val="0"/>
        <w:adjustRightInd w:val="0"/>
        <w:spacing w:after="0" w:line="240" w:lineRule="auto"/>
        <w:ind w:left="1418" w:right="90"/>
        <w:jc w:val="both"/>
        <w:rPr>
          <w:rFonts w:cs="Arial"/>
          <w:iCs/>
          <w:lang w:val="es-ES"/>
        </w:rPr>
      </w:pPr>
    </w:p>
    <w:p w14:paraId="5B57DA2B" w14:textId="0D9D5F31" w:rsidR="00DA2874" w:rsidRPr="00CA23D1" w:rsidRDefault="00DA2874" w:rsidP="00636698">
      <w:pPr>
        <w:widowControl w:val="0"/>
        <w:numPr>
          <w:ilvl w:val="0"/>
          <w:numId w:val="12"/>
        </w:numPr>
        <w:autoSpaceDE w:val="0"/>
        <w:autoSpaceDN w:val="0"/>
        <w:adjustRightInd w:val="0"/>
        <w:spacing w:after="0" w:line="240" w:lineRule="auto"/>
        <w:ind w:left="1418" w:right="90" w:hanging="567"/>
        <w:jc w:val="both"/>
        <w:rPr>
          <w:rFonts w:cs="Arial"/>
          <w:iCs/>
          <w:lang w:val="es-ES"/>
        </w:rPr>
      </w:pPr>
      <w:r w:rsidRPr="00CA23D1">
        <w:rPr>
          <w:rFonts w:cs="Arial"/>
          <w:iCs/>
          <w:lang w:val="es-ES"/>
        </w:rPr>
        <w:t>Revisen y apliquen, según proceda, las conclusiones [y recomendaciones formuladas] en el informe de la CMS</w:t>
      </w:r>
      <w:r w:rsidR="000203FE" w:rsidRPr="00CA23D1">
        <w:rPr>
          <w:rFonts w:cs="Arial"/>
          <w:i/>
          <w:lang w:val="es-ES"/>
        </w:rPr>
        <w:t xml:space="preserve"> Limitar el impacto global de las embarcaciones sobre los tiburones ballena: comprender una amenaza creciente para el pez más grande del mundo;</w:t>
      </w:r>
    </w:p>
    <w:p w14:paraId="5D6733E3" w14:textId="77777777" w:rsidR="000203FE" w:rsidRPr="00CA23D1" w:rsidRDefault="000203FE" w:rsidP="00636698">
      <w:pPr>
        <w:widowControl w:val="0"/>
        <w:autoSpaceDE w:val="0"/>
        <w:autoSpaceDN w:val="0"/>
        <w:adjustRightInd w:val="0"/>
        <w:spacing w:after="0" w:line="240" w:lineRule="auto"/>
        <w:ind w:left="1003" w:right="90"/>
        <w:jc w:val="both"/>
        <w:rPr>
          <w:rFonts w:cs="Arial"/>
          <w:iCs/>
          <w:lang w:val="es-ES"/>
        </w:rPr>
      </w:pPr>
    </w:p>
    <w:p w14:paraId="553B7B90" w14:textId="264427C9" w:rsidR="00186565" w:rsidRPr="00CA23D1" w:rsidRDefault="00E135C1" w:rsidP="0095446F">
      <w:pPr>
        <w:widowControl w:val="0"/>
        <w:numPr>
          <w:ilvl w:val="0"/>
          <w:numId w:val="12"/>
        </w:numPr>
        <w:autoSpaceDE w:val="0"/>
        <w:autoSpaceDN w:val="0"/>
        <w:adjustRightInd w:val="0"/>
        <w:spacing w:after="0" w:line="240" w:lineRule="auto"/>
        <w:ind w:left="1418" w:right="90" w:hanging="567"/>
        <w:jc w:val="both"/>
        <w:rPr>
          <w:rFonts w:cs="Arial"/>
          <w:iCs/>
          <w:lang w:val="es-ES"/>
        </w:rPr>
      </w:pPr>
      <w:r w:rsidRPr="00CA23D1">
        <w:rPr>
          <w:rFonts w:cs="Arial"/>
          <w:iCs/>
          <w:lang w:val="es-ES"/>
        </w:rPr>
        <w:t xml:space="preserve">Colaboren con otros Estados del área de distribución en la aplicación de las </w:t>
      </w:r>
      <w:r w:rsidR="00E80D0A" w:rsidRPr="00CA23D1">
        <w:rPr>
          <w:rFonts w:cs="Arial"/>
          <w:i/>
          <w:lang w:val="es-ES"/>
        </w:rPr>
        <w:t>Directrices</w:t>
      </w:r>
      <w:r w:rsidR="00E13647" w:rsidRPr="00CA23D1">
        <w:rPr>
          <w:rFonts w:cs="Arial"/>
          <w:iCs/>
          <w:lang w:val="es-ES"/>
        </w:rPr>
        <w:t xml:space="preserve"> </w:t>
      </w:r>
      <w:r w:rsidR="00E13647" w:rsidRPr="00CA23D1">
        <w:rPr>
          <w:i/>
          <w:iCs/>
          <w:lang w:val="es-ES"/>
        </w:rPr>
        <w:t>sobre la reducción del riesgo de colisión de embarcaciones con los tiburones ballena (</w:t>
      </w:r>
      <w:proofErr w:type="spellStart"/>
      <w:r w:rsidR="00E13647" w:rsidRPr="00CA23D1">
        <w:rPr>
          <w:i/>
          <w:iCs/>
          <w:lang w:val="es-ES"/>
        </w:rPr>
        <w:t>Rhincodon</w:t>
      </w:r>
      <w:proofErr w:type="spellEnd"/>
      <w:r w:rsidR="00E13647" w:rsidRPr="00CA23D1">
        <w:rPr>
          <w:i/>
          <w:iCs/>
          <w:lang w:val="es-ES"/>
        </w:rPr>
        <w:t xml:space="preserve"> </w:t>
      </w:r>
      <w:proofErr w:type="spellStart"/>
      <w:r w:rsidR="00E13647" w:rsidRPr="00CA23D1">
        <w:rPr>
          <w:i/>
          <w:iCs/>
          <w:lang w:val="es-ES"/>
        </w:rPr>
        <w:t>typus</w:t>
      </w:r>
      <w:proofErr w:type="spellEnd"/>
      <w:r w:rsidR="00E13647" w:rsidRPr="00CA23D1">
        <w:rPr>
          <w:i/>
          <w:lang w:val="es-ES"/>
        </w:rPr>
        <w:t>)</w:t>
      </w:r>
      <w:r w:rsidR="00781555" w:rsidRPr="00CA23D1">
        <w:rPr>
          <w:rFonts w:cs="Arial"/>
          <w:lang w:val="es-ES"/>
        </w:rPr>
        <w:t xml:space="preserve">, adjuntas a la Resolución </w:t>
      </w:r>
      <w:proofErr w:type="gramStart"/>
      <w:r w:rsidR="00781555" w:rsidRPr="00CA23D1">
        <w:rPr>
          <w:rFonts w:cs="Arial"/>
          <w:lang w:val="es-ES"/>
        </w:rPr>
        <w:t>14.[</w:t>
      </w:r>
      <w:proofErr w:type="gramEnd"/>
      <w:r w:rsidR="00781555" w:rsidRPr="00CA23D1">
        <w:rPr>
          <w:rFonts w:cs="Arial"/>
          <w:lang w:val="es-ES"/>
        </w:rPr>
        <w:t xml:space="preserve"> ] </w:t>
      </w:r>
      <w:r w:rsidR="007C7C7E" w:rsidRPr="00CA23D1">
        <w:rPr>
          <w:rFonts w:cs="Arial"/>
          <w:i/>
          <w:lang w:val="es-ES"/>
        </w:rPr>
        <w:t>Reducir el riesgo de colisión de las embarcaciones con la megafauna marina</w:t>
      </w:r>
      <w:r w:rsidR="00C8689E" w:rsidRPr="00CA23D1">
        <w:rPr>
          <w:rFonts w:cs="Arial"/>
          <w:lang w:val="es-ES"/>
        </w:rPr>
        <w:t>;</w:t>
      </w:r>
    </w:p>
    <w:p w14:paraId="1A69FC22" w14:textId="6248ACB6" w:rsidR="00BE515B" w:rsidRPr="00CA23D1" w:rsidRDefault="00BE515B" w:rsidP="00C8689E">
      <w:pPr>
        <w:pStyle w:val="ListParagraph"/>
        <w:spacing w:after="0" w:line="240" w:lineRule="auto"/>
        <w:ind w:left="1723"/>
        <w:contextualSpacing w:val="0"/>
        <w:rPr>
          <w:rFonts w:cs="Arial"/>
          <w:iCs/>
          <w:lang w:val="es-ES"/>
        </w:rPr>
      </w:pPr>
    </w:p>
    <w:p w14:paraId="53EC9C11" w14:textId="5DFA2FCA" w:rsidR="00DD07FD" w:rsidRPr="00CA23D1" w:rsidRDefault="00DD07FD" w:rsidP="00636698">
      <w:pPr>
        <w:widowControl w:val="0"/>
        <w:numPr>
          <w:ilvl w:val="0"/>
          <w:numId w:val="12"/>
        </w:numPr>
        <w:autoSpaceDE w:val="0"/>
        <w:autoSpaceDN w:val="0"/>
        <w:adjustRightInd w:val="0"/>
        <w:spacing w:after="0" w:line="240" w:lineRule="auto"/>
        <w:ind w:left="1418" w:right="90" w:hanging="567"/>
        <w:jc w:val="both"/>
        <w:rPr>
          <w:rFonts w:cs="Arial"/>
          <w:iCs/>
          <w:lang w:val="es-ES"/>
        </w:rPr>
      </w:pPr>
      <w:r w:rsidRPr="00CA23D1">
        <w:rPr>
          <w:rFonts w:cs="Arial"/>
          <w:iCs/>
          <w:lang w:val="es-ES"/>
        </w:rPr>
        <w:t>Informen a la Conferencia de las Partes en su 15.</w:t>
      </w:r>
      <w:r w:rsidRPr="00CA23D1">
        <w:rPr>
          <w:rFonts w:cs="Arial"/>
          <w:iCs/>
          <w:vertAlign w:val="superscript"/>
          <w:lang w:val="es-ES"/>
        </w:rPr>
        <w:t>ª</w:t>
      </w:r>
      <w:r w:rsidRPr="00CA23D1">
        <w:rPr>
          <w:rFonts w:cs="Arial"/>
          <w:iCs/>
          <w:lang w:val="es-ES"/>
        </w:rPr>
        <w:t xml:space="preserve"> reunión sobre los progresos en la aplicación de la decisión a través de sus Informes Nacionales.</w:t>
      </w:r>
    </w:p>
    <w:p w14:paraId="75DFAAAA" w14:textId="77777777" w:rsidR="00DD07FD" w:rsidRPr="00CA23D1" w:rsidRDefault="00DD07FD" w:rsidP="00636698">
      <w:pPr>
        <w:spacing w:after="0" w:line="240" w:lineRule="auto"/>
        <w:ind w:right="90"/>
        <w:jc w:val="both"/>
        <w:rPr>
          <w:rFonts w:cs="Arial"/>
          <w:b/>
          <w:i/>
          <w:lang w:val="es-ES"/>
        </w:rPr>
      </w:pPr>
    </w:p>
    <w:p w14:paraId="016F646F" w14:textId="0BFA2E7B" w:rsidR="00DD07FD" w:rsidRPr="00CA23D1" w:rsidRDefault="00DD07FD" w:rsidP="00C3638B">
      <w:pPr>
        <w:spacing w:after="0" w:line="240" w:lineRule="auto"/>
        <w:ind w:right="90"/>
        <w:jc w:val="both"/>
        <w:rPr>
          <w:rFonts w:cs="Arial"/>
          <w:lang w:val="es-ES"/>
        </w:rPr>
      </w:pPr>
      <w:r w:rsidRPr="00CA23D1">
        <w:rPr>
          <w:rFonts w:cs="Arial"/>
          <w:b/>
          <w:i/>
          <w:lang w:val="es-ES"/>
        </w:rPr>
        <w:t>Dirigido al Consejo Científico</w:t>
      </w:r>
    </w:p>
    <w:p w14:paraId="296C97F8" w14:textId="77777777" w:rsidR="00DD07FD" w:rsidRPr="00CA23D1" w:rsidRDefault="00DD07FD" w:rsidP="00C3638B">
      <w:pPr>
        <w:spacing w:after="0" w:line="240" w:lineRule="auto"/>
        <w:ind w:right="90"/>
        <w:jc w:val="both"/>
        <w:rPr>
          <w:rFonts w:cs="Arial"/>
          <w:lang w:val="es-ES"/>
        </w:rPr>
      </w:pPr>
    </w:p>
    <w:p w14:paraId="460ECDED" w14:textId="3EE46846" w:rsidR="00DD07FD" w:rsidRPr="00CA23D1" w:rsidRDefault="00DD07FD" w:rsidP="00C3638B">
      <w:pPr>
        <w:spacing w:after="0" w:line="240" w:lineRule="auto"/>
        <w:ind w:left="851" w:right="90" w:hanging="851"/>
        <w:jc w:val="both"/>
        <w:rPr>
          <w:rFonts w:cs="Arial"/>
          <w:lang w:val="es-ES"/>
        </w:rPr>
      </w:pPr>
      <w:r w:rsidRPr="00CA23D1">
        <w:rPr>
          <w:rFonts w:cs="Arial"/>
          <w:lang w:val="es-ES"/>
        </w:rPr>
        <w:t>14.BB</w:t>
      </w:r>
      <w:r w:rsidRPr="00CA23D1">
        <w:rPr>
          <w:rFonts w:cs="Arial"/>
          <w:lang w:val="es-ES"/>
        </w:rPr>
        <w:tab/>
      </w:r>
      <w:r w:rsidR="00A035CD">
        <w:rPr>
          <w:rFonts w:cs="Arial"/>
          <w:lang w:val="es-ES"/>
        </w:rPr>
        <w:t xml:space="preserve">Se solicita al </w:t>
      </w:r>
      <w:r w:rsidRPr="00CA23D1">
        <w:rPr>
          <w:rFonts w:cs="Arial"/>
          <w:lang w:val="es-ES"/>
        </w:rPr>
        <w:t>Consejo Científico:</w:t>
      </w:r>
    </w:p>
    <w:p w14:paraId="40FED15B" w14:textId="77777777" w:rsidR="00DD07FD" w:rsidRPr="00CA23D1" w:rsidRDefault="00DD07FD" w:rsidP="00C3638B">
      <w:pPr>
        <w:spacing w:after="0" w:line="240" w:lineRule="auto"/>
        <w:ind w:left="720" w:right="90" w:hanging="720"/>
        <w:jc w:val="both"/>
        <w:rPr>
          <w:rFonts w:cs="Arial"/>
          <w:lang w:val="es-ES"/>
        </w:rPr>
      </w:pPr>
    </w:p>
    <w:p w14:paraId="258EAA92" w14:textId="1C9FE09F" w:rsidR="0046177A" w:rsidRPr="00CA23D1" w:rsidRDefault="0046177A" w:rsidP="002B762C">
      <w:pPr>
        <w:widowControl w:val="0"/>
        <w:numPr>
          <w:ilvl w:val="0"/>
          <w:numId w:val="15"/>
        </w:numPr>
        <w:autoSpaceDE w:val="0"/>
        <w:autoSpaceDN w:val="0"/>
        <w:adjustRightInd w:val="0"/>
        <w:spacing w:after="0" w:line="240" w:lineRule="auto"/>
        <w:ind w:left="1418" w:right="90" w:hanging="567"/>
        <w:jc w:val="both"/>
        <w:rPr>
          <w:rFonts w:cs="Arial"/>
          <w:lang w:val="es-ES"/>
        </w:rPr>
      </w:pPr>
      <w:r w:rsidRPr="00CA23D1">
        <w:rPr>
          <w:rFonts w:cs="Arial"/>
          <w:lang w:val="es-ES"/>
        </w:rPr>
        <w:t xml:space="preserve">Revisar los informes presentados por las Partes a través de sus Informes Nacionales sobre la aplicación de la Decisión </w:t>
      </w:r>
      <w:proofErr w:type="gramStart"/>
      <w:r w:rsidRPr="00CA23D1">
        <w:rPr>
          <w:rFonts w:cs="Arial"/>
          <w:lang w:val="es-ES"/>
        </w:rPr>
        <w:t>14.AA</w:t>
      </w:r>
      <w:proofErr w:type="gramEnd"/>
      <w:r w:rsidRPr="00CA23D1">
        <w:rPr>
          <w:rFonts w:cs="Arial"/>
          <w:lang w:val="es-ES"/>
        </w:rPr>
        <w:t xml:space="preserve"> (a) - (c) y hacer recomendaciones a las Partes;</w:t>
      </w:r>
    </w:p>
    <w:p w14:paraId="7874970F" w14:textId="77777777" w:rsidR="0046177A" w:rsidRPr="00CA23D1" w:rsidRDefault="0046177A" w:rsidP="0046177A">
      <w:pPr>
        <w:widowControl w:val="0"/>
        <w:autoSpaceDE w:val="0"/>
        <w:autoSpaceDN w:val="0"/>
        <w:adjustRightInd w:val="0"/>
        <w:spacing w:after="0" w:line="240" w:lineRule="auto"/>
        <w:ind w:left="1418" w:right="90"/>
        <w:jc w:val="both"/>
        <w:rPr>
          <w:rFonts w:cs="Arial"/>
          <w:lang w:val="es-ES"/>
        </w:rPr>
      </w:pPr>
    </w:p>
    <w:p w14:paraId="2A865E09" w14:textId="24A5E1D6" w:rsidR="00233C99" w:rsidRPr="00CA23D1" w:rsidRDefault="00D01E1F" w:rsidP="002B762C">
      <w:pPr>
        <w:widowControl w:val="0"/>
        <w:numPr>
          <w:ilvl w:val="0"/>
          <w:numId w:val="15"/>
        </w:numPr>
        <w:autoSpaceDE w:val="0"/>
        <w:autoSpaceDN w:val="0"/>
        <w:adjustRightInd w:val="0"/>
        <w:spacing w:after="0" w:line="240" w:lineRule="auto"/>
        <w:ind w:left="1418" w:right="90" w:hanging="567"/>
        <w:jc w:val="both"/>
        <w:rPr>
          <w:rFonts w:cs="Arial"/>
          <w:lang w:val="es-ES"/>
        </w:rPr>
      </w:pPr>
      <w:r w:rsidRPr="00CA23D1">
        <w:rPr>
          <w:rFonts w:cs="Arial"/>
          <w:lang w:val="es-ES"/>
        </w:rPr>
        <w:t>Identificar las áreas en las que los cetáceos incluidos en la CMS tienen un alto riesgo de colisión con embarcaciones, incluyendo el trazado de las rutas marítimas en relación con las Áreas Importantes para los Mamíferos Marinos (IMMA); desarrollar un informe sobre las medidas de cambio de rumbo apropiadas, incluyendo la evitación de áreas y/o el establecimiento de restricciones a la velocidad de las embarcaciones en los hábitats clave para los cetáceos, y hacer recomendaciones a las Partes;</w:t>
      </w:r>
    </w:p>
    <w:p w14:paraId="6F95DF56" w14:textId="77777777" w:rsidR="00233C99" w:rsidRPr="00CA23D1" w:rsidRDefault="00233C99" w:rsidP="00233C99">
      <w:pPr>
        <w:widowControl w:val="0"/>
        <w:autoSpaceDE w:val="0"/>
        <w:autoSpaceDN w:val="0"/>
        <w:adjustRightInd w:val="0"/>
        <w:spacing w:after="0" w:line="240" w:lineRule="auto"/>
        <w:ind w:left="1418" w:right="90"/>
        <w:jc w:val="both"/>
        <w:rPr>
          <w:rFonts w:cs="Arial"/>
          <w:lang w:val="es-ES"/>
        </w:rPr>
      </w:pPr>
    </w:p>
    <w:p w14:paraId="147868EB" w14:textId="1FBA7ECF" w:rsidR="00257A8F" w:rsidRPr="00CA23D1" w:rsidRDefault="00DF2F9A" w:rsidP="002B762C">
      <w:pPr>
        <w:widowControl w:val="0"/>
        <w:numPr>
          <w:ilvl w:val="0"/>
          <w:numId w:val="15"/>
        </w:numPr>
        <w:autoSpaceDE w:val="0"/>
        <w:autoSpaceDN w:val="0"/>
        <w:adjustRightInd w:val="0"/>
        <w:spacing w:after="0" w:line="240" w:lineRule="auto"/>
        <w:ind w:left="1418" w:right="90" w:hanging="567"/>
        <w:jc w:val="both"/>
        <w:rPr>
          <w:rFonts w:cs="Arial"/>
          <w:lang w:val="es-ES"/>
        </w:rPr>
      </w:pPr>
      <w:r w:rsidRPr="00CA23D1">
        <w:rPr>
          <w:rFonts w:cs="Arial"/>
          <w:lang w:val="es-ES"/>
        </w:rPr>
        <w:t>Sujeto a la disponibilidad de recursos externos, evaluar el riesgo de colisión para otros taxones de la megafauna marina incluidos en la CMS que puedan sufrir colisiones con las embarcaciones, e identificar las áreas en las que sean más necesarias las medidas de conservación, considerando también la información existente sobre las Áreas Importantes para Tiburones y Rayas (ISRA) identificadas;</w:t>
      </w:r>
    </w:p>
    <w:p w14:paraId="782E1E64" w14:textId="77777777" w:rsidR="00DD07FD" w:rsidRPr="00CA23D1" w:rsidRDefault="00DD07FD" w:rsidP="002B762C">
      <w:pPr>
        <w:spacing w:after="0" w:line="240" w:lineRule="auto"/>
        <w:ind w:right="90"/>
        <w:jc w:val="both"/>
        <w:rPr>
          <w:rFonts w:cs="Arial"/>
          <w:lang w:val="es-ES"/>
        </w:rPr>
      </w:pPr>
    </w:p>
    <w:p w14:paraId="1C50CC21" w14:textId="3DDFA0A6" w:rsidR="00DD07FD" w:rsidRPr="00CA23D1" w:rsidRDefault="00DD07FD" w:rsidP="00C3638B">
      <w:pPr>
        <w:widowControl w:val="0"/>
        <w:numPr>
          <w:ilvl w:val="0"/>
          <w:numId w:val="15"/>
        </w:numPr>
        <w:autoSpaceDE w:val="0"/>
        <w:autoSpaceDN w:val="0"/>
        <w:adjustRightInd w:val="0"/>
        <w:spacing w:after="0" w:line="240" w:lineRule="auto"/>
        <w:ind w:left="1418" w:right="90" w:hanging="567"/>
        <w:jc w:val="both"/>
        <w:rPr>
          <w:rFonts w:cs="Arial"/>
          <w:lang w:val="es-ES"/>
        </w:rPr>
      </w:pPr>
      <w:r w:rsidRPr="00CA23D1">
        <w:rPr>
          <w:rFonts w:cs="Arial"/>
          <w:lang w:val="es-ES"/>
        </w:rPr>
        <w:t>Informar a la Conferencia de las Partes en su 15.</w:t>
      </w:r>
      <w:r w:rsidRPr="00CA23D1">
        <w:rPr>
          <w:rFonts w:cs="Arial"/>
          <w:vertAlign w:val="superscript"/>
          <w:lang w:val="es-ES"/>
        </w:rPr>
        <w:t>a</w:t>
      </w:r>
      <w:r w:rsidRPr="00CA23D1">
        <w:rPr>
          <w:rFonts w:cs="Arial"/>
          <w:lang w:val="es-ES"/>
        </w:rPr>
        <w:t xml:space="preserve"> reunión sobre los progresos realizados en aplicación de la presente decisión.</w:t>
      </w:r>
    </w:p>
    <w:p w14:paraId="7AD0AFA8" w14:textId="77777777" w:rsidR="00C26007" w:rsidRPr="00CA23D1" w:rsidRDefault="00C26007" w:rsidP="00C3638B">
      <w:pPr>
        <w:spacing w:after="0" w:line="240" w:lineRule="auto"/>
        <w:ind w:right="90"/>
        <w:jc w:val="both"/>
        <w:rPr>
          <w:rFonts w:cs="Arial"/>
          <w:b/>
          <w:i/>
          <w:lang w:val="es-ES"/>
        </w:rPr>
      </w:pPr>
    </w:p>
    <w:p w14:paraId="50B23BA1" w14:textId="7ABD4352" w:rsidR="00DD07FD" w:rsidRPr="00CA23D1" w:rsidRDefault="00DD07FD" w:rsidP="00C3638B">
      <w:pPr>
        <w:spacing w:after="0" w:line="240" w:lineRule="auto"/>
        <w:ind w:right="90"/>
        <w:jc w:val="both"/>
        <w:rPr>
          <w:rFonts w:cs="Arial"/>
          <w:b/>
          <w:i/>
          <w:lang w:val="es-ES"/>
        </w:rPr>
      </w:pPr>
      <w:r w:rsidRPr="00CA23D1">
        <w:rPr>
          <w:rFonts w:cs="Arial"/>
          <w:b/>
          <w:i/>
          <w:lang w:val="es-ES"/>
        </w:rPr>
        <w:t>Dirigido a la Secretaría</w:t>
      </w:r>
    </w:p>
    <w:p w14:paraId="60A66C66" w14:textId="77777777" w:rsidR="00DD07FD" w:rsidRPr="00CA23D1" w:rsidRDefault="00DD07FD" w:rsidP="00C3638B">
      <w:pPr>
        <w:spacing w:after="0" w:line="240" w:lineRule="auto"/>
        <w:ind w:right="90"/>
        <w:jc w:val="both"/>
        <w:rPr>
          <w:rFonts w:cs="Arial"/>
          <w:lang w:val="es-ES"/>
        </w:rPr>
      </w:pPr>
    </w:p>
    <w:p w14:paraId="3C2C013B" w14:textId="38FB57A3" w:rsidR="006E1A0F" w:rsidRPr="00CA23D1" w:rsidRDefault="00DD07FD" w:rsidP="00866B48">
      <w:pPr>
        <w:spacing w:after="0" w:line="240" w:lineRule="auto"/>
        <w:ind w:left="851" w:right="90" w:hanging="851"/>
        <w:jc w:val="both"/>
        <w:rPr>
          <w:rFonts w:cs="Arial"/>
          <w:lang w:val="es-ES"/>
        </w:rPr>
      </w:pPr>
      <w:r w:rsidRPr="00CA23D1">
        <w:rPr>
          <w:rFonts w:cs="Arial"/>
          <w:lang w:val="es-ES"/>
        </w:rPr>
        <w:t>14.CC</w:t>
      </w:r>
      <w:r w:rsidRPr="00CA23D1">
        <w:rPr>
          <w:rFonts w:cs="Arial"/>
          <w:lang w:val="es-ES"/>
        </w:rPr>
        <w:tab/>
        <w:t>La Secretaría, sujeta a la disponibilidad de recursos externos, deberá:</w:t>
      </w:r>
    </w:p>
    <w:p w14:paraId="473987CA" w14:textId="77777777" w:rsidR="006E1A0F" w:rsidRPr="00CA23D1" w:rsidRDefault="006E1A0F" w:rsidP="00866B48">
      <w:pPr>
        <w:spacing w:after="0" w:line="240" w:lineRule="auto"/>
        <w:ind w:left="851" w:right="90" w:hanging="851"/>
        <w:jc w:val="both"/>
        <w:rPr>
          <w:rFonts w:cs="Arial"/>
          <w:lang w:val="es-ES"/>
        </w:rPr>
      </w:pPr>
    </w:p>
    <w:p w14:paraId="6794A3B4" w14:textId="52FAAF08" w:rsidR="007A5A8F" w:rsidRPr="00CA23D1" w:rsidRDefault="006E1A0F" w:rsidP="009215E7">
      <w:pPr>
        <w:pStyle w:val="ListParagraph"/>
        <w:numPr>
          <w:ilvl w:val="0"/>
          <w:numId w:val="28"/>
        </w:numPr>
        <w:spacing w:after="0" w:line="240" w:lineRule="auto"/>
        <w:ind w:left="1418" w:right="91" w:hanging="567"/>
        <w:jc w:val="both"/>
        <w:rPr>
          <w:rFonts w:cs="Arial"/>
          <w:lang w:val="es-ES"/>
        </w:rPr>
      </w:pPr>
      <w:r w:rsidRPr="00CA23D1">
        <w:rPr>
          <w:rFonts w:cs="Arial"/>
          <w:lang w:val="es-ES"/>
        </w:rPr>
        <w:t>Asistir al Consejo Científico en la aplicación de la Decisión 14.BB (a) - (c);</w:t>
      </w:r>
    </w:p>
    <w:p w14:paraId="2AA352E8" w14:textId="77777777" w:rsidR="006E1A0F" w:rsidRPr="00CA23D1" w:rsidRDefault="006E1A0F" w:rsidP="00FB7FA4">
      <w:pPr>
        <w:spacing w:after="0" w:line="240" w:lineRule="auto"/>
        <w:ind w:left="1342" w:right="90" w:hanging="851"/>
        <w:jc w:val="both"/>
        <w:rPr>
          <w:rFonts w:cs="Arial"/>
          <w:lang w:val="es-ES"/>
        </w:rPr>
      </w:pPr>
    </w:p>
    <w:p w14:paraId="27E05119" w14:textId="78D113CC" w:rsidR="00EA44F9" w:rsidRPr="00CA23D1" w:rsidRDefault="006E1A0F" w:rsidP="009215E7">
      <w:pPr>
        <w:pStyle w:val="ListParagraph"/>
        <w:numPr>
          <w:ilvl w:val="0"/>
          <w:numId w:val="28"/>
        </w:numPr>
        <w:spacing w:after="0" w:line="240" w:lineRule="auto"/>
        <w:ind w:left="1418" w:right="91" w:hanging="567"/>
        <w:jc w:val="both"/>
        <w:rPr>
          <w:rFonts w:cs="Arial"/>
          <w:lang w:val="es-ES"/>
        </w:rPr>
      </w:pPr>
      <w:r w:rsidRPr="00CA23D1">
        <w:rPr>
          <w:rFonts w:cs="Arial"/>
          <w:lang w:val="es-ES"/>
        </w:rPr>
        <w:t>Colaborar con la Organización Marítima Internacional (OMI) en la reducción de las colisiones de embarcaciones con las especies marinas de la CMS;</w:t>
      </w:r>
    </w:p>
    <w:p w14:paraId="671750D8" w14:textId="77777777" w:rsidR="00206CF2" w:rsidRPr="00CA23D1" w:rsidRDefault="00206CF2" w:rsidP="001D778C">
      <w:pPr>
        <w:pStyle w:val="ListParagraph"/>
        <w:rPr>
          <w:rFonts w:cs="Arial"/>
          <w:lang w:val="es-ES"/>
        </w:rPr>
      </w:pPr>
    </w:p>
    <w:p w14:paraId="78FEEEAD" w14:textId="4A4D7D70" w:rsidR="00206CF2" w:rsidRPr="00CA23D1" w:rsidRDefault="00D17B90" w:rsidP="009215E7">
      <w:pPr>
        <w:pStyle w:val="ListParagraph"/>
        <w:numPr>
          <w:ilvl w:val="0"/>
          <w:numId w:val="28"/>
        </w:numPr>
        <w:spacing w:after="0" w:line="240" w:lineRule="auto"/>
        <w:ind w:left="1418" w:right="91" w:hanging="567"/>
        <w:jc w:val="both"/>
        <w:rPr>
          <w:rFonts w:cs="Arial"/>
          <w:lang w:val="es-ES"/>
        </w:rPr>
      </w:pPr>
      <w:r w:rsidRPr="00CA23D1">
        <w:rPr>
          <w:rFonts w:cs="Arial"/>
          <w:lang w:val="es-ES"/>
        </w:rPr>
        <w:t>Poner en conocimiento de la OMI los siguientes informes:</w:t>
      </w:r>
    </w:p>
    <w:p w14:paraId="63940519" w14:textId="77777777" w:rsidR="00EA44F9" w:rsidRPr="00CA23D1" w:rsidRDefault="00EA44F9" w:rsidP="00FB7FA4">
      <w:pPr>
        <w:pStyle w:val="ListParagraph"/>
        <w:ind w:left="1211"/>
        <w:rPr>
          <w:rFonts w:cs="Arial"/>
          <w:lang w:val="es-ES"/>
        </w:rPr>
      </w:pPr>
    </w:p>
    <w:p w14:paraId="4D693BA1" w14:textId="49A67CD3" w:rsidR="00B6481C" w:rsidRPr="00CA23D1" w:rsidRDefault="00CE7022" w:rsidP="00FB7FA4">
      <w:pPr>
        <w:pStyle w:val="ListParagraph"/>
        <w:numPr>
          <w:ilvl w:val="1"/>
          <w:numId w:val="28"/>
        </w:numPr>
        <w:spacing w:after="0" w:line="240" w:lineRule="auto"/>
        <w:ind w:left="1909" w:right="90" w:hanging="425"/>
        <w:jc w:val="both"/>
        <w:rPr>
          <w:rStyle w:val="CommentReference"/>
          <w:rFonts w:cs="Arial"/>
          <w:sz w:val="22"/>
          <w:szCs w:val="22"/>
          <w:lang w:val="es-ES"/>
        </w:rPr>
      </w:pPr>
      <w:r w:rsidRPr="00CA23D1">
        <w:rPr>
          <w:rFonts w:cs="Arial"/>
          <w:lang w:val="es-ES"/>
        </w:rPr>
        <w:t>El informe que elaborará el Consejo Científico sobre las zonas de alto riesgo de colisión de las embarcaciones con los cetáceos y las recomendaciones sobre las medidas de mitigación adecuadas;</w:t>
      </w:r>
    </w:p>
    <w:p w14:paraId="72106BB1" w14:textId="77777777" w:rsidR="00D32178" w:rsidRPr="00CA23D1" w:rsidRDefault="00D32178" w:rsidP="00FB7FA4">
      <w:pPr>
        <w:pStyle w:val="ListParagraph"/>
        <w:spacing w:after="0" w:line="240" w:lineRule="auto"/>
        <w:ind w:left="1909" w:right="90"/>
        <w:jc w:val="both"/>
        <w:rPr>
          <w:rFonts w:cs="Arial"/>
          <w:lang w:val="es-ES"/>
        </w:rPr>
      </w:pPr>
    </w:p>
    <w:p w14:paraId="330B0475" w14:textId="4548134A" w:rsidR="006E1A0F" w:rsidRPr="00CA23D1" w:rsidRDefault="00000000" w:rsidP="00FB7FA4">
      <w:pPr>
        <w:pStyle w:val="ListParagraph"/>
        <w:numPr>
          <w:ilvl w:val="1"/>
          <w:numId w:val="28"/>
        </w:numPr>
        <w:spacing w:after="0" w:line="240" w:lineRule="auto"/>
        <w:ind w:left="1909" w:right="90" w:hanging="425"/>
        <w:jc w:val="both"/>
        <w:rPr>
          <w:rFonts w:cs="Arial"/>
          <w:lang w:val="es-ES"/>
        </w:rPr>
      </w:pPr>
      <w:hyperlink r:id="rId37" w:history="1">
        <w:r w:rsidR="00D32178" w:rsidRPr="00CA23D1">
          <w:rPr>
            <w:rStyle w:val="Hyperlink"/>
            <w:i/>
            <w:lang w:val="es-ES"/>
          </w:rPr>
          <w:t>Limitar el impacto global de las embarcaciones sobre los tiburones ballena: comprender una amenaza creciente para el pez más grande del mundo</w:t>
        </w:r>
      </w:hyperlink>
      <w:r w:rsidR="000E52B8" w:rsidRPr="00CA23D1">
        <w:rPr>
          <w:rFonts w:cs="Arial"/>
          <w:i/>
          <w:lang w:val="es-ES"/>
        </w:rPr>
        <w:t xml:space="preserve"> </w:t>
      </w:r>
      <w:r w:rsidR="00D43BB4" w:rsidRPr="00CA23D1">
        <w:rPr>
          <w:rFonts w:cs="Arial"/>
          <w:lang w:val="es-ES"/>
        </w:rPr>
        <w:t>y</w:t>
      </w:r>
      <w:r w:rsidR="000E52B8" w:rsidRPr="00CA23D1">
        <w:rPr>
          <w:rFonts w:cs="Arial"/>
          <w:i/>
          <w:lang w:val="es-ES"/>
        </w:rPr>
        <w:t xml:space="preserve"> Directrices sobre la reducción del riesgo de colisión de las embarcaciones con los tiburones ballena </w:t>
      </w:r>
      <w:r w:rsidR="00D43BB4" w:rsidRPr="00CA23D1">
        <w:rPr>
          <w:rFonts w:cs="Arial"/>
          <w:lang w:val="es-ES"/>
        </w:rPr>
        <w:t xml:space="preserve">los cuales están incluidas en la Resolución </w:t>
      </w:r>
      <w:proofErr w:type="gramStart"/>
      <w:r w:rsidR="00D43BB4" w:rsidRPr="00CA23D1">
        <w:rPr>
          <w:rFonts w:cs="Arial"/>
          <w:lang w:val="es-ES"/>
        </w:rPr>
        <w:t>14.[</w:t>
      </w:r>
      <w:proofErr w:type="gramEnd"/>
      <w:r w:rsidR="00D43BB4" w:rsidRPr="00CA23D1">
        <w:rPr>
          <w:rFonts w:cs="Arial"/>
          <w:lang w:val="es-ES"/>
        </w:rPr>
        <w:t xml:space="preserve"> ]</w:t>
      </w:r>
      <w:r w:rsidR="005C5792" w:rsidRPr="00CA23D1">
        <w:rPr>
          <w:rFonts w:cs="Arial"/>
          <w:i/>
          <w:lang w:val="es-ES"/>
        </w:rPr>
        <w:t xml:space="preserve"> Reducir el riesgo de colisión de las embarcaciones con la megafauna marina.</w:t>
      </w:r>
    </w:p>
    <w:p w14:paraId="41D21AFD" w14:textId="77777777" w:rsidR="006E1A0F" w:rsidRPr="00CA23D1" w:rsidRDefault="006E1A0F" w:rsidP="00866B48">
      <w:pPr>
        <w:spacing w:after="0" w:line="240" w:lineRule="auto"/>
        <w:ind w:left="851" w:right="90" w:hanging="851"/>
        <w:jc w:val="both"/>
        <w:rPr>
          <w:rFonts w:cs="Arial"/>
          <w:lang w:val="es-ES"/>
        </w:rPr>
      </w:pPr>
    </w:p>
    <w:p w14:paraId="76A23313" w14:textId="77777777" w:rsidR="006E1A0F" w:rsidRPr="00CA23D1" w:rsidRDefault="006E1A0F" w:rsidP="00866B48">
      <w:pPr>
        <w:spacing w:after="0" w:line="240" w:lineRule="auto"/>
        <w:ind w:left="851" w:right="90" w:hanging="851"/>
        <w:jc w:val="both"/>
        <w:rPr>
          <w:rFonts w:cs="Arial"/>
          <w:lang w:val="es-ES"/>
        </w:rPr>
      </w:pPr>
    </w:p>
    <w:sectPr w:rsidR="006E1A0F" w:rsidRPr="00CA23D1" w:rsidSect="00A618B3">
      <w:headerReference w:type="even" r:id="rId38"/>
      <w:headerReference w:type="default" r:id="rId39"/>
      <w:headerReference w:type="first" r:id="rId40"/>
      <w:pgSz w:w="11906" w:h="16838" w:code="9"/>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C41FE2" w14:textId="77777777" w:rsidR="005C76F4" w:rsidRDefault="005C76F4" w:rsidP="002E0DE9">
      <w:pPr>
        <w:spacing w:after="0" w:line="240" w:lineRule="auto"/>
      </w:pPr>
      <w:r>
        <w:separator/>
      </w:r>
    </w:p>
  </w:endnote>
  <w:endnote w:type="continuationSeparator" w:id="0">
    <w:p w14:paraId="210B3113" w14:textId="77777777" w:rsidR="005C76F4" w:rsidRDefault="005C76F4" w:rsidP="002E0DE9">
      <w:pPr>
        <w:spacing w:after="0" w:line="240" w:lineRule="auto"/>
      </w:pPr>
      <w:r>
        <w:continuationSeparator/>
      </w:r>
    </w:p>
  </w:endnote>
  <w:endnote w:type="continuationNotice" w:id="1">
    <w:p w14:paraId="06B87F4A" w14:textId="77777777" w:rsidR="005C76F4" w:rsidRDefault="005C76F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DBB468" w14:textId="77777777" w:rsidR="002E0DE9" w:rsidRPr="002E0DE9" w:rsidRDefault="002E0DE9">
    <w:pPr>
      <w:pStyle w:val="Footer"/>
      <w:jc w:val="center"/>
      <w:rPr>
        <w:sz w:val="18"/>
        <w:szCs w:val="18"/>
      </w:rPr>
    </w:pPr>
    <w:r w:rsidRPr="002E0DE9">
      <w:rPr>
        <w:sz w:val="18"/>
        <w:szCs w:val="18"/>
      </w:rPr>
      <w:fldChar w:fldCharType="begin"/>
    </w:r>
    <w:r w:rsidRPr="002E0DE9">
      <w:rPr>
        <w:sz w:val="18"/>
        <w:szCs w:val="18"/>
      </w:rPr>
      <w:instrText xml:space="preserve"> PAGE   \* MERGEFORMAT </w:instrText>
    </w:r>
    <w:r w:rsidRPr="002E0DE9">
      <w:rPr>
        <w:sz w:val="18"/>
        <w:szCs w:val="18"/>
      </w:rPr>
      <w:fldChar w:fldCharType="separate"/>
    </w:r>
    <w:r w:rsidRPr="002E0DE9">
      <w:rPr>
        <w:noProof/>
        <w:sz w:val="18"/>
        <w:szCs w:val="18"/>
      </w:rPr>
      <w:t>2</w:t>
    </w:r>
    <w:r w:rsidRPr="002E0DE9">
      <w:rPr>
        <w:noProof/>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278538296"/>
      <w:docPartObj>
        <w:docPartGallery w:val="Page Numbers (Bottom of Page)"/>
        <w:docPartUnique/>
      </w:docPartObj>
    </w:sdtPr>
    <w:sdtEndPr>
      <w:rPr>
        <w:noProof/>
      </w:rPr>
    </w:sdtEndPr>
    <w:sdtContent>
      <w:p w14:paraId="19209BB4" w14:textId="4532265D" w:rsidR="008E3FB8" w:rsidRPr="008E3FB8" w:rsidRDefault="008E3FB8">
        <w:pPr>
          <w:pStyle w:val="Footer"/>
          <w:jc w:val="center"/>
          <w:rPr>
            <w:sz w:val="18"/>
            <w:szCs w:val="18"/>
          </w:rPr>
        </w:pPr>
        <w:r w:rsidRPr="008E3FB8">
          <w:rPr>
            <w:sz w:val="18"/>
            <w:szCs w:val="18"/>
          </w:rPr>
          <w:fldChar w:fldCharType="begin"/>
        </w:r>
        <w:r w:rsidRPr="008E3FB8">
          <w:rPr>
            <w:sz w:val="18"/>
            <w:szCs w:val="18"/>
          </w:rPr>
          <w:instrText xml:space="preserve"> PAGE   \* MERGEFORMAT </w:instrText>
        </w:r>
        <w:r w:rsidRPr="008E3FB8">
          <w:rPr>
            <w:sz w:val="18"/>
            <w:szCs w:val="18"/>
          </w:rPr>
          <w:fldChar w:fldCharType="separate"/>
        </w:r>
        <w:r w:rsidRPr="008E3FB8">
          <w:rPr>
            <w:noProof/>
            <w:sz w:val="18"/>
            <w:szCs w:val="18"/>
          </w:rPr>
          <w:t>2</w:t>
        </w:r>
        <w:r w:rsidRPr="008E3FB8">
          <w:rPr>
            <w:noProof/>
            <w:sz w:val="18"/>
            <w:szCs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79583291"/>
      <w:docPartObj>
        <w:docPartGallery w:val="Page Numbers (Bottom of Page)"/>
        <w:docPartUnique/>
      </w:docPartObj>
    </w:sdtPr>
    <w:sdtEndPr>
      <w:rPr>
        <w:noProof/>
        <w:sz w:val="18"/>
        <w:szCs w:val="18"/>
      </w:rPr>
    </w:sdtEndPr>
    <w:sdtContent>
      <w:p w14:paraId="6D4C9D5A" w14:textId="218147B6" w:rsidR="00A7264B" w:rsidRPr="00A7264B" w:rsidRDefault="00000000">
        <w:pPr>
          <w:pStyle w:val="Footer"/>
          <w:jc w:val="center"/>
          <w:rPr>
            <w:sz w:val="18"/>
            <w:szCs w:val="18"/>
          </w:rPr>
        </w:pPr>
      </w:p>
    </w:sdtContent>
  </w:sdt>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47102773"/>
      <w:docPartObj>
        <w:docPartGallery w:val="Page Numbers (Bottom of Page)"/>
        <w:docPartUnique/>
      </w:docPartObj>
    </w:sdtPr>
    <w:sdtEndPr>
      <w:rPr>
        <w:noProof/>
        <w:sz w:val="18"/>
        <w:szCs w:val="18"/>
      </w:rPr>
    </w:sdtEndPr>
    <w:sdtContent>
      <w:p w14:paraId="33AC05A2" w14:textId="66F05C8E" w:rsidR="00A618B3" w:rsidRPr="00A618B3" w:rsidRDefault="00A618B3">
        <w:pPr>
          <w:pStyle w:val="Footer"/>
          <w:jc w:val="center"/>
          <w:rPr>
            <w:sz w:val="18"/>
            <w:szCs w:val="18"/>
          </w:rPr>
        </w:pPr>
        <w:r w:rsidRPr="00A618B3">
          <w:rPr>
            <w:sz w:val="18"/>
            <w:szCs w:val="18"/>
          </w:rPr>
          <w:fldChar w:fldCharType="begin"/>
        </w:r>
        <w:r w:rsidRPr="00A618B3">
          <w:rPr>
            <w:sz w:val="18"/>
            <w:szCs w:val="18"/>
          </w:rPr>
          <w:instrText xml:space="preserve"> PAGE   \* MERGEFORMAT </w:instrText>
        </w:r>
        <w:r w:rsidRPr="00A618B3">
          <w:rPr>
            <w:sz w:val="18"/>
            <w:szCs w:val="18"/>
          </w:rPr>
          <w:fldChar w:fldCharType="separate"/>
        </w:r>
        <w:r w:rsidRPr="00A618B3">
          <w:rPr>
            <w:noProof/>
            <w:sz w:val="18"/>
            <w:szCs w:val="18"/>
          </w:rPr>
          <w:t>2</w:t>
        </w:r>
        <w:r w:rsidRPr="00A618B3">
          <w:rPr>
            <w:noProof/>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40B541" w14:textId="77777777" w:rsidR="005C76F4" w:rsidRDefault="005C76F4" w:rsidP="002E0DE9">
      <w:pPr>
        <w:spacing w:after="0" w:line="240" w:lineRule="auto"/>
      </w:pPr>
      <w:r>
        <w:separator/>
      </w:r>
    </w:p>
  </w:footnote>
  <w:footnote w:type="continuationSeparator" w:id="0">
    <w:p w14:paraId="0D463629" w14:textId="77777777" w:rsidR="005C76F4" w:rsidRDefault="005C76F4" w:rsidP="002E0DE9">
      <w:pPr>
        <w:spacing w:after="0" w:line="240" w:lineRule="auto"/>
      </w:pPr>
      <w:r>
        <w:continuationSeparator/>
      </w:r>
    </w:p>
  </w:footnote>
  <w:footnote w:type="continuationNotice" w:id="1">
    <w:p w14:paraId="4C5A85A5" w14:textId="77777777" w:rsidR="005C76F4" w:rsidRDefault="005C76F4">
      <w:pPr>
        <w:spacing w:after="0" w:line="240" w:lineRule="auto"/>
      </w:pPr>
    </w:p>
  </w:footnote>
  <w:footnote w:id="2">
    <w:p w14:paraId="070EDFE3" w14:textId="77777777" w:rsidR="00C077B9" w:rsidRPr="00A618B3" w:rsidRDefault="00C077B9" w:rsidP="00C077B9">
      <w:pPr>
        <w:pStyle w:val="FootnoteText"/>
        <w:jc w:val="both"/>
        <w:rPr>
          <w:sz w:val="16"/>
          <w:szCs w:val="16"/>
          <w:lang w:val="es-ES"/>
        </w:rPr>
      </w:pPr>
      <w:r w:rsidRPr="00A618B3">
        <w:rPr>
          <w:rStyle w:val="FootnoteReference"/>
          <w:sz w:val="16"/>
          <w:szCs w:val="16"/>
        </w:rPr>
        <w:footnoteRef/>
      </w:r>
      <w:r w:rsidRPr="00A618B3">
        <w:rPr>
          <w:sz w:val="16"/>
          <w:szCs w:val="16"/>
          <w:lang w:val="es-ES"/>
        </w:rPr>
        <w:t xml:space="preserve"> La Oficina Nacional de Administración Oceánica y Atmosférica (NOAA) </w:t>
      </w:r>
      <w:hyperlink r:id="rId1" w:history="1">
        <w:r w:rsidRPr="00A618B3">
          <w:rPr>
            <w:rStyle w:val="Hyperlink"/>
            <w:sz w:val="16"/>
            <w:szCs w:val="16"/>
            <w:lang w:val="es-ES"/>
          </w:rPr>
          <w:t>define la colisión entre embarcaciones</w:t>
        </w:r>
      </w:hyperlink>
      <w:r w:rsidRPr="00A618B3">
        <w:rPr>
          <w:sz w:val="16"/>
          <w:szCs w:val="16"/>
          <w:lang w:val="es-ES"/>
        </w:rPr>
        <w:t xml:space="preserve"> como «una colisión entre cualquier tipo de embarcación y un animal marino en el océano». Todos los tamaños y tipos de embarcaciones, desde las grandes embarcaciones hasta las motos acuáticas, tienen el potencial de colisionar con casi cualquier especie marina. Las colisiones que provocan la muerte o lesiones del animal pueden pasar inadvertidas para el operador de la embarcación o no ser notificadas a los investigadores que llevan un registro de tales incidentes. Los tipos de embarcaciones documentadas en las colisiones con embarcaciones comprenden grandes barcos, como cargueros, barcos de avistamientos de ballenas, transbordadores y buques militares, y todo tipo de barcos privados utilizados con fines comerciales y recreativos. La mayoría de las colisiones notificadas implican a grandes ballenas, a focas o leones marinos». </w:t>
      </w:r>
    </w:p>
  </w:footnote>
  <w:footnote w:id="3">
    <w:p w14:paraId="339BE271" w14:textId="25D31F44" w:rsidR="004E030C" w:rsidRPr="00A618B3" w:rsidRDefault="004E030C">
      <w:pPr>
        <w:pStyle w:val="FootnoteText"/>
        <w:rPr>
          <w:sz w:val="16"/>
          <w:szCs w:val="16"/>
          <w:lang w:val="es-ES"/>
        </w:rPr>
      </w:pPr>
      <w:r w:rsidRPr="00A618B3">
        <w:rPr>
          <w:rStyle w:val="FootnoteReference"/>
          <w:sz w:val="16"/>
          <w:szCs w:val="16"/>
        </w:rPr>
        <w:footnoteRef/>
      </w:r>
      <w:r w:rsidRPr="00A618B3">
        <w:rPr>
          <w:sz w:val="16"/>
          <w:szCs w:val="16"/>
        </w:rPr>
        <w:t xml:space="preserve"> Schoeman, Renee &amp; Patterson-</w:t>
      </w:r>
      <w:proofErr w:type="spellStart"/>
      <w:r w:rsidRPr="00A618B3">
        <w:rPr>
          <w:sz w:val="16"/>
          <w:szCs w:val="16"/>
        </w:rPr>
        <w:t>Abrolat</w:t>
      </w:r>
      <w:proofErr w:type="spellEnd"/>
      <w:r w:rsidRPr="00A618B3">
        <w:rPr>
          <w:sz w:val="16"/>
          <w:szCs w:val="16"/>
        </w:rPr>
        <w:t xml:space="preserve">, Claire &amp; </w:t>
      </w:r>
      <w:proofErr w:type="spellStart"/>
      <w:r w:rsidRPr="00A618B3">
        <w:rPr>
          <w:sz w:val="16"/>
          <w:szCs w:val="16"/>
        </w:rPr>
        <w:t>Plön</w:t>
      </w:r>
      <w:proofErr w:type="spellEnd"/>
      <w:r w:rsidRPr="00A618B3">
        <w:rPr>
          <w:sz w:val="16"/>
          <w:szCs w:val="16"/>
        </w:rPr>
        <w:t xml:space="preserve">, Stephanie. </w:t>
      </w:r>
      <w:r w:rsidRPr="00A618B3">
        <w:rPr>
          <w:sz w:val="16"/>
          <w:szCs w:val="16"/>
          <w:lang w:val="es-ES"/>
        </w:rPr>
        <w:t>(2020). Revisión mundial de las colisiones de buques con animales marinos. Fronteras de las Ciencias Marinas. 7. 292. 10.3389/fmars.2020.00292.</w:t>
      </w:r>
    </w:p>
  </w:footnote>
  <w:footnote w:id="4">
    <w:p w14:paraId="78842777" w14:textId="73ADA4CD" w:rsidR="00C70440" w:rsidRPr="00A31DB7" w:rsidRDefault="00C70440" w:rsidP="00A618B3">
      <w:pPr>
        <w:pStyle w:val="FootnoteText"/>
        <w:jc w:val="both"/>
        <w:rPr>
          <w:lang w:val="es-ES"/>
        </w:rPr>
      </w:pPr>
      <w:r>
        <w:rPr>
          <w:rStyle w:val="FootnoteReference"/>
        </w:rPr>
        <w:footnoteRef/>
      </w:r>
      <w:r w:rsidRPr="00A31DB7">
        <w:rPr>
          <w:lang w:val="es-ES"/>
        </w:rPr>
        <w:t xml:space="preserve"> </w:t>
      </w:r>
      <w:r w:rsidRPr="00A31DB7">
        <w:rPr>
          <w:sz w:val="16"/>
          <w:szCs w:val="16"/>
          <w:lang w:val="es-ES"/>
        </w:rPr>
        <w:t xml:space="preserve">En la biología de las poblaciones y en la demografía, la duración de la generación es la media entre dos generaciones consecutivas en los linajes de una población. Se cree que </w:t>
      </w:r>
      <w:proofErr w:type="gramStart"/>
      <w:r w:rsidRPr="00A31DB7">
        <w:rPr>
          <w:sz w:val="16"/>
          <w:szCs w:val="16"/>
          <w:lang w:val="es-ES"/>
        </w:rPr>
        <w:t>las duración</w:t>
      </w:r>
      <w:proofErr w:type="gramEnd"/>
      <w:r w:rsidRPr="00A31DB7">
        <w:rPr>
          <w:sz w:val="16"/>
          <w:szCs w:val="16"/>
          <w:lang w:val="es-ES"/>
        </w:rPr>
        <w:t xml:space="preserve"> de la generación de los tiburones ballena es de al menos 15-37 años (véase Sequeira A, </w:t>
      </w:r>
      <w:proofErr w:type="spellStart"/>
      <w:r w:rsidRPr="00A31DB7">
        <w:rPr>
          <w:sz w:val="16"/>
          <w:szCs w:val="16"/>
          <w:lang w:val="es-ES"/>
        </w:rPr>
        <w:t>Mellin</w:t>
      </w:r>
      <w:proofErr w:type="spellEnd"/>
      <w:r w:rsidRPr="00A31DB7">
        <w:rPr>
          <w:sz w:val="16"/>
          <w:szCs w:val="16"/>
          <w:lang w:val="es-ES"/>
        </w:rPr>
        <w:t xml:space="preserve"> C, </w:t>
      </w:r>
      <w:proofErr w:type="spellStart"/>
      <w:r w:rsidRPr="00A31DB7">
        <w:rPr>
          <w:sz w:val="16"/>
          <w:szCs w:val="16"/>
          <w:lang w:val="es-ES"/>
        </w:rPr>
        <w:t>Meekan</w:t>
      </w:r>
      <w:proofErr w:type="spellEnd"/>
      <w:r w:rsidRPr="00A31DB7">
        <w:rPr>
          <w:sz w:val="16"/>
          <w:szCs w:val="16"/>
          <w:lang w:val="es-ES"/>
        </w:rPr>
        <w:t xml:space="preserve"> MG, Sims DW, Bradshaw CJA. 2013 Conectividad global inferida de las poblaciones de tiburón ballena </w:t>
      </w:r>
      <w:proofErr w:type="spellStart"/>
      <w:r w:rsidRPr="00A31DB7">
        <w:rPr>
          <w:sz w:val="16"/>
          <w:szCs w:val="16"/>
          <w:lang w:val="es-ES"/>
        </w:rPr>
        <w:t>Rhincodon</w:t>
      </w:r>
      <w:proofErr w:type="spellEnd"/>
      <w:r w:rsidRPr="00A31DB7">
        <w:rPr>
          <w:sz w:val="16"/>
          <w:szCs w:val="16"/>
          <w:lang w:val="es-ES"/>
        </w:rPr>
        <w:t xml:space="preserve"> </w:t>
      </w:r>
      <w:proofErr w:type="spellStart"/>
      <w:r w:rsidRPr="00A31DB7">
        <w:rPr>
          <w:sz w:val="16"/>
          <w:szCs w:val="16"/>
          <w:lang w:val="es-ES"/>
        </w:rPr>
        <w:t>typus</w:t>
      </w:r>
      <w:proofErr w:type="spellEnd"/>
      <w:r w:rsidRPr="00A31DB7">
        <w:rPr>
          <w:sz w:val="16"/>
          <w:szCs w:val="16"/>
          <w:lang w:val="es-ES"/>
        </w:rPr>
        <w:t xml:space="preserve"> J. Fish Biol. 82, 367–389. (doi:10.1111/jfb.12017)</w:t>
      </w:r>
    </w:p>
  </w:footnote>
  <w:footnote w:id="5">
    <w:p w14:paraId="4CD4A26B" w14:textId="3849E82C" w:rsidR="00557274" w:rsidRPr="00A31DB7" w:rsidRDefault="00557274" w:rsidP="00557274">
      <w:pPr>
        <w:pStyle w:val="FootnoteText"/>
        <w:rPr>
          <w:lang w:val="es-ES"/>
        </w:rPr>
      </w:pPr>
      <w:r w:rsidRPr="00C07991">
        <w:rPr>
          <w:rStyle w:val="FootnoteReference"/>
          <w:sz w:val="16"/>
          <w:szCs w:val="16"/>
        </w:rPr>
        <w:footnoteRef/>
      </w:r>
      <w:r w:rsidRPr="00A31DB7">
        <w:rPr>
          <w:sz w:val="16"/>
          <w:szCs w:val="16"/>
          <w:lang w:val="es-ES"/>
        </w:rPr>
        <w:t xml:space="preserve"> </w:t>
      </w:r>
      <w:proofErr w:type="spellStart"/>
      <w:r w:rsidRPr="00A31DB7">
        <w:rPr>
          <w:sz w:val="16"/>
          <w:szCs w:val="16"/>
          <w:lang w:val="es-ES"/>
        </w:rPr>
        <w:t>Womersley</w:t>
      </w:r>
      <w:proofErr w:type="spellEnd"/>
      <w:r w:rsidRPr="00A31DB7">
        <w:rPr>
          <w:sz w:val="16"/>
          <w:szCs w:val="16"/>
          <w:lang w:val="es-ES"/>
        </w:rPr>
        <w:t xml:space="preserve">, F. C. et al. (2022). Puntos críticos de riesgo de colisión global del tráfico marítimo y el pez más grande del mundo, el tiburón ballena. PNAS </w:t>
      </w:r>
      <w:hyperlink r:id="rId2" w:history="1">
        <w:r w:rsidRPr="00A31DB7">
          <w:rPr>
            <w:rStyle w:val="Hyperlink"/>
            <w:sz w:val="16"/>
            <w:szCs w:val="16"/>
            <w:lang w:val="es-ES"/>
          </w:rPr>
          <w:t>https://doi.org/10.1073/pnas.2117440119</w:t>
        </w:r>
      </w:hyperlink>
      <w:r w:rsidRPr="00A31DB7">
        <w:rPr>
          <w:sz w:val="16"/>
          <w:szCs w:val="16"/>
          <w:lang w:val="es-ES"/>
        </w:rPr>
        <w:t>.</w:t>
      </w:r>
    </w:p>
  </w:footnote>
  <w:footnote w:id="6">
    <w:p w14:paraId="70F2741E" w14:textId="1BD2A774" w:rsidR="00AA57B5" w:rsidRPr="00A31DB7" w:rsidRDefault="00AA57B5" w:rsidP="00676AE7">
      <w:pPr>
        <w:pStyle w:val="FootnoteText"/>
        <w:jc w:val="both"/>
        <w:rPr>
          <w:sz w:val="16"/>
          <w:szCs w:val="16"/>
          <w:lang w:val="es-ES"/>
        </w:rPr>
      </w:pPr>
      <w:r w:rsidRPr="00AF40C0">
        <w:rPr>
          <w:rStyle w:val="FootnoteReference"/>
          <w:sz w:val="16"/>
          <w:szCs w:val="16"/>
        </w:rPr>
        <w:footnoteRef/>
      </w:r>
      <w:r w:rsidRPr="00A31DB7">
        <w:rPr>
          <w:sz w:val="16"/>
          <w:szCs w:val="16"/>
          <w:lang w:val="es-ES"/>
        </w:rPr>
        <w:t xml:space="preserve"> En el contexto de este documento, las zonas del hábitat principal del tiburón ballena se definen como aquellas áreas en la que los expertos localizan las mayores densidades de tiburones ballena. Suelen ser pequeñas, con una superficie media de 116 km² (Tabla 1). Por ejemplo, la zona principal del tiburón ballena en el sur de Mozambique era de 144 km², y en Santa Elena era de 98 km². Las zonas principales más pequeñas se encontraban en dos lugares de aprovisionamiento en Gorontalo (&lt;0,1 km²) y </w:t>
      </w:r>
      <w:proofErr w:type="spellStart"/>
      <w:r w:rsidRPr="00A31DB7">
        <w:rPr>
          <w:sz w:val="16"/>
          <w:szCs w:val="16"/>
          <w:lang w:val="es-ES"/>
        </w:rPr>
        <w:t>Oslob</w:t>
      </w:r>
      <w:proofErr w:type="spellEnd"/>
      <w:r w:rsidRPr="00A31DB7">
        <w:rPr>
          <w:sz w:val="16"/>
          <w:szCs w:val="16"/>
          <w:lang w:val="es-ES"/>
        </w:rPr>
        <w:t xml:space="preserve"> (0,1 km²), y frente a la isla Darwin en las Galápagos (1,1 km²). Con diferencia, la zona principal más extensa se encuentra en el norte del golfo de México (~91 000 km²; Tabla 1), aunque es posible que nuevas investigaciones del aprovechamiento del hábitat por el tiburón ballena en este lugar puedan identificar zonas del hábitat principal más pequeñas en esta gran área.</w:t>
      </w:r>
    </w:p>
  </w:footnote>
  <w:footnote w:id="7">
    <w:p w14:paraId="4012AC4B" w14:textId="73FB992F" w:rsidR="00057FEF" w:rsidRPr="00A31DB7" w:rsidRDefault="00057FEF" w:rsidP="00F74FEB">
      <w:pPr>
        <w:pStyle w:val="FootnoteText"/>
        <w:jc w:val="both"/>
        <w:rPr>
          <w:sz w:val="16"/>
          <w:szCs w:val="16"/>
          <w:lang w:val="es-ES"/>
        </w:rPr>
      </w:pPr>
      <w:r w:rsidRPr="00EB4398">
        <w:rPr>
          <w:rStyle w:val="FootnoteReference"/>
          <w:sz w:val="16"/>
          <w:szCs w:val="16"/>
        </w:rPr>
        <w:footnoteRef/>
      </w:r>
      <w:r w:rsidRPr="00EB4398">
        <w:rPr>
          <w:sz w:val="16"/>
          <w:szCs w:val="16"/>
        </w:rPr>
        <w:t xml:space="preserve"> Araujo G, </w:t>
      </w:r>
      <w:proofErr w:type="spellStart"/>
      <w:r w:rsidRPr="00EB4398">
        <w:rPr>
          <w:sz w:val="16"/>
          <w:szCs w:val="16"/>
        </w:rPr>
        <w:t>Rohner</w:t>
      </w:r>
      <w:proofErr w:type="spellEnd"/>
      <w:r w:rsidRPr="00EB4398">
        <w:rPr>
          <w:sz w:val="16"/>
          <w:szCs w:val="16"/>
        </w:rPr>
        <w:t xml:space="preserve"> CA &amp; Womersley FC (2023). </w:t>
      </w:r>
      <w:r w:rsidRPr="00A31DB7">
        <w:rPr>
          <w:sz w:val="16"/>
          <w:szCs w:val="16"/>
          <w:lang w:val="es-ES"/>
        </w:rPr>
        <w:t>Limitar el impacto global de las embarcaciones sobre los tiburones ballena: comprender una amenaza creciente al pez más grande del mundo, preparado para la Convención sobre la Conservación de las Especies Migratorias de Animales Silvestres (CMS), 74 pp.</w:t>
      </w:r>
    </w:p>
  </w:footnote>
  <w:footnote w:id="8">
    <w:p w14:paraId="17AB9FE6" w14:textId="5C091F51" w:rsidR="00F62D7A" w:rsidRPr="00A31DB7" w:rsidRDefault="00F62D7A" w:rsidP="006200F1">
      <w:pPr>
        <w:pStyle w:val="FootnoteText"/>
        <w:jc w:val="both"/>
        <w:rPr>
          <w:sz w:val="18"/>
          <w:szCs w:val="18"/>
          <w:lang w:val="es-ES"/>
        </w:rPr>
      </w:pPr>
      <w:r w:rsidRPr="00EB4398">
        <w:rPr>
          <w:rStyle w:val="FootnoteReference"/>
          <w:sz w:val="16"/>
          <w:szCs w:val="16"/>
        </w:rPr>
        <w:footnoteRef/>
      </w:r>
      <w:r w:rsidRPr="00A31DB7">
        <w:rPr>
          <w:sz w:val="16"/>
          <w:szCs w:val="16"/>
          <w:lang w:val="es-ES"/>
        </w:rPr>
        <w:t xml:space="preserve"> Las constelaciones de tiburones ballena se refieren a lugares específicos o puntos conflictivos en los trópicos y subtrópicos en los que, previsiblemente, se reúne un gran número de tiburones ballena, lo que los hace fácilmente accesibles para los investigadores. Estas constelaciones se encuentran repartidas por varios lugares. Se caracterizan por tres aspectos fundamentales que son cruciales para mitigar las colisiones con las embarcaciones: la previsibilidad de su aparición, la amplia utilización de las aguas superficiales por los tiburones ballena y la separación de poblaciones dentro de la especie.</w:t>
      </w:r>
    </w:p>
  </w:footnote>
  <w:footnote w:id="9">
    <w:p w14:paraId="317A172D" w14:textId="558B93C8" w:rsidR="002160FC" w:rsidRPr="00A31DB7" w:rsidRDefault="002160FC" w:rsidP="0032288A">
      <w:pPr>
        <w:pStyle w:val="FootnoteText"/>
        <w:jc w:val="both"/>
        <w:rPr>
          <w:sz w:val="16"/>
          <w:szCs w:val="16"/>
          <w:lang w:val="es-ES"/>
        </w:rPr>
      </w:pPr>
      <w:r w:rsidRPr="00891ACB">
        <w:rPr>
          <w:rStyle w:val="FootnoteReference"/>
          <w:sz w:val="16"/>
          <w:szCs w:val="16"/>
        </w:rPr>
        <w:footnoteRef/>
      </w:r>
      <w:r w:rsidRPr="00A31DB7">
        <w:rPr>
          <w:sz w:val="16"/>
          <w:szCs w:val="16"/>
          <w:lang w:val="es-ES"/>
        </w:rPr>
        <w:t xml:space="preserve"> CMS Artículo I, párrafo 1 (h) «Estado del área de distribución» en relación con una determinada especie migratoria significa cualquier Estado (…) que ejerza su jurisdicción sobre una parte cualquiera del área de distribución de dicha especie migratoria, o un Estado bajo cuyo pabellón naveguen buques cuya actividad consista en sacar de su ambiente natural, fuera de los límites de jurisdicción nacional, ejemplares de la especie migratoria en cuestión;</w:t>
      </w:r>
    </w:p>
    <w:p w14:paraId="2F0C1BE0" w14:textId="77777777" w:rsidR="002160FC" w:rsidRPr="00A31DB7" w:rsidRDefault="002160FC" w:rsidP="0032288A">
      <w:pPr>
        <w:pStyle w:val="FootnoteText"/>
        <w:jc w:val="both"/>
        <w:rPr>
          <w:sz w:val="18"/>
          <w:szCs w:val="18"/>
          <w:lang w:val="es-ES"/>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9A98CB" w14:textId="77777777" w:rsidR="002E0DE9" w:rsidRPr="002E0DE9" w:rsidRDefault="002E0DE9" w:rsidP="002E0DE9">
    <w:pPr>
      <w:pStyle w:val="Header"/>
      <w:pBdr>
        <w:bottom w:val="single" w:sz="4" w:space="1" w:color="auto"/>
      </w:pBdr>
      <w:rPr>
        <w:i/>
        <w:sz w:val="18"/>
        <w:szCs w:val="18"/>
      </w:rPr>
    </w:pPr>
    <w:r w:rsidRPr="002E0DE9">
      <w:rPr>
        <w:rFonts w:eastAsia="Times New Roman" w:cs="Arial"/>
        <w:i/>
        <w:sz w:val="18"/>
        <w:szCs w:val="18"/>
      </w:rPr>
      <w:t>UNEP/CMS/COP13/Doc.</w:t>
    </w:r>
    <w:r w:rsidRPr="002E0DE9">
      <w:rPr>
        <w:rFonts w:eastAsia="Times New Roman" w:cs="Arial"/>
        <w:i/>
        <w:sz w:val="18"/>
        <w:szCs w:val="18"/>
        <w:shd w:val="clear" w:color="auto" w:fill="FFFF00"/>
      </w:rPr>
      <w:t>XX</w: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88ABDB" w14:textId="78DE1B35" w:rsidR="00CF28BD" w:rsidRPr="00E82184" w:rsidRDefault="00CF28BD" w:rsidP="00371DE1">
    <w:pPr>
      <w:pStyle w:val="Header"/>
      <w:pBdr>
        <w:bottom w:val="single" w:sz="4" w:space="1" w:color="auto"/>
      </w:pBdr>
      <w:rPr>
        <w:rFonts w:cs="Arial"/>
        <w:i/>
        <w:sz w:val="18"/>
        <w:szCs w:val="18"/>
        <w:lang w:val="en-US"/>
      </w:rPr>
    </w:pPr>
    <w:r w:rsidRPr="00E82184">
      <w:rPr>
        <w:rFonts w:cs="Arial"/>
        <w:i/>
        <w:sz w:val="18"/>
        <w:szCs w:val="18"/>
        <w:lang w:val="en-US"/>
      </w:rPr>
      <w:t>UNEP/CMS/COP14/Doc</w:t>
    </w:r>
    <w:r w:rsidR="002F221A" w:rsidRPr="00E82184">
      <w:rPr>
        <w:rFonts w:cs="Arial"/>
        <w:i/>
        <w:sz w:val="18"/>
        <w:szCs w:val="18"/>
        <w:lang w:val="en-US"/>
      </w:rPr>
      <w:t>27.2.3/</w:t>
    </w:r>
    <w:r w:rsidR="00E82184" w:rsidRPr="00E82184">
      <w:rPr>
        <w:rFonts w:cs="Arial"/>
        <w:i/>
        <w:sz w:val="18"/>
        <w:szCs w:val="18"/>
        <w:lang w:val="en-US"/>
      </w:rPr>
      <w:t>Rev.1/</w:t>
    </w:r>
    <w:r w:rsidR="002F221A" w:rsidRPr="00E82184">
      <w:rPr>
        <w:rFonts w:cs="Arial"/>
        <w:i/>
        <w:sz w:val="18"/>
        <w:szCs w:val="18"/>
        <w:lang w:val="en-US"/>
      </w:rPr>
      <w:t>Anexo 2</w: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CE7172" w14:textId="211D59BF" w:rsidR="006B432F" w:rsidRPr="00661875" w:rsidRDefault="006B432F" w:rsidP="00527F3D">
    <w:pPr>
      <w:pStyle w:val="Header"/>
      <w:pBdr>
        <w:bottom w:val="single" w:sz="4" w:space="1" w:color="auto"/>
      </w:pBdr>
      <w:jc w:val="right"/>
      <w:rPr>
        <w:rFonts w:cs="Arial"/>
        <w:i/>
        <w:sz w:val="18"/>
        <w:szCs w:val="18"/>
        <w:lang w:val="de-DE"/>
      </w:rPr>
    </w:pPr>
    <w:r w:rsidRPr="00661875">
      <w:rPr>
        <w:rFonts w:cs="Arial"/>
        <w:i/>
        <w:sz w:val="18"/>
        <w:szCs w:val="18"/>
        <w:lang w:val="de-DE"/>
      </w:rPr>
      <w:t>UNEP/CMS/COP14/Doc.27.2.3/Anexo 2</w:t>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C8ACFE" w14:textId="292D429C" w:rsidR="009D37A2" w:rsidRPr="00E82184" w:rsidRDefault="009D37A2" w:rsidP="00CF28BD">
    <w:pPr>
      <w:pStyle w:val="Header"/>
      <w:pBdr>
        <w:bottom w:val="single" w:sz="4" w:space="1" w:color="auto"/>
      </w:pBdr>
      <w:jc w:val="right"/>
      <w:rPr>
        <w:rFonts w:cs="Arial"/>
        <w:i/>
        <w:sz w:val="18"/>
        <w:szCs w:val="18"/>
        <w:lang w:val="en-US"/>
      </w:rPr>
    </w:pPr>
    <w:r w:rsidRPr="00E82184">
      <w:rPr>
        <w:rFonts w:cs="Arial"/>
        <w:i/>
        <w:sz w:val="18"/>
        <w:szCs w:val="18"/>
        <w:lang w:val="en-US"/>
      </w:rPr>
      <w:t>UNEP/CMS/COP14/Doc.27.2.3/</w:t>
    </w:r>
    <w:r w:rsidR="00E82184" w:rsidRPr="00E82184">
      <w:rPr>
        <w:rFonts w:cs="Arial"/>
        <w:i/>
        <w:sz w:val="18"/>
        <w:szCs w:val="18"/>
        <w:lang w:val="en-US"/>
      </w:rPr>
      <w:t>Rev.1/</w:t>
    </w:r>
    <w:r w:rsidRPr="00E82184">
      <w:rPr>
        <w:rFonts w:cs="Arial"/>
        <w:i/>
        <w:sz w:val="18"/>
        <w:szCs w:val="18"/>
        <w:lang w:val="en-US"/>
      </w:rPr>
      <w:t>Anexo 2</w:t>
    </w: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8E69FC" w14:textId="0699CD86" w:rsidR="00371DE1" w:rsidRPr="00E82184" w:rsidRDefault="00371DE1" w:rsidP="00371DE1">
    <w:pPr>
      <w:pStyle w:val="Header"/>
      <w:pBdr>
        <w:bottom w:val="single" w:sz="4" w:space="1" w:color="auto"/>
      </w:pBdr>
      <w:rPr>
        <w:rFonts w:cs="Arial"/>
        <w:i/>
        <w:sz w:val="18"/>
        <w:szCs w:val="18"/>
        <w:lang w:val="en-US"/>
      </w:rPr>
    </w:pPr>
    <w:r w:rsidRPr="00E82184">
      <w:rPr>
        <w:rFonts w:cs="Arial"/>
        <w:i/>
        <w:sz w:val="18"/>
        <w:szCs w:val="18"/>
        <w:lang w:val="en-US"/>
      </w:rPr>
      <w:t>UNEP/CMS/COP13/Doc.</w:t>
    </w:r>
    <w:r w:rsidR="00D21B73" w:rsidRPr="00E82184">
      <w:rPr>
        <w:rFonts w:cs="Arial"/>
        <w:i/>
        <w:sz w:val="18"/>
        <w:szCs w:val="18"/>
        <w:lang w:val="en-US"/>
      </w:rPr>
      <w:t>27.2.3</w:t>
    </w:r>
    <w:r w:rsidRPr="00E82184">
      <w:rPr>
        <w:rFonts w:cs="Arial"/>
        <w:i/>
        <w:sz w:val="18"/>
        <w:szCs w:val="18"/>
        <w:lang w:val="en-US"/>
      </w:rPr>
      <w:t>/</w:t>
    </w:r>
    <w:r w:rsidR="00E82184" w:rsidRPr="00E82184">
      <w:rPr>
        <w:rFonts w:cs="Arial"/>
        <w:i/>
        <w:sz w:val="18"/>
        <w:szCs w:val="18"/>
        <w:lang w:val="en-US"/>
      </w:rPr>
      <w:t>Rev.1/</w:t>
    </w:r>
    <w:r w:rsidRPr="00E82184">
      <w:rPr>
        <w:rFonts w:cs="Arial"/>
        <w:i/>
        <w:sz w:val="18"/>
        <w:szCs w:val="18"/>
        <w:lang w:val="en-US"/>
      </w:rPr>
      <w:t>Anexo 3</w:t>
    </w:r>
  </w:p>
  <w:p w14:paraId="66849521" w14:textId="77777777" w:rsidR="00371DE1" w:rsidRPr="00371DE1" w:rsidRDefault="00371DE1" w:rsidP="00371DE1">
    <w:pPr>
      <w:pStyle w:val="Heade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F79405" w14:textId="1CF293D0" w:rsidR="0078093E" w:rsidRPr="00661875" w:rsidRDefault="0078093E" w:rsidP="00DF2FED">
    <w:pPr>
      <w:pStyle w:val="Header"/>
      <w:pBdr>
        <w:bottom w:val="single" w:sz="4" w:space="1" w:color="auto"/>
      </w:pBdr>
      <w:rPr>
        <w:rFonts w:cs="Arial"/>
        <w:i/>
        <w:sz w:val="18"/>
        <w:szCs w:val="18"/>
        <w:lang w:val="de-DE"/>
      </w:rPr>
    </w:pPr>
    <w:r w:rsidRPr="00661875">
      <w:rPr>
        <w:rFonts w:cs="Arial"/>
        <w:i/>
        <w:sz w:val="18"/>
        <w:szCs w:val="18"/>
        <w:lang w:val="de-DE"/>
      </w:rPr>
      <w:t>UNEP/CMS/COP14/Doc.27.2.3/Anexo 3</w:t>
    </w: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4F6DA5" w14:textId="0D2D5AEA" w:rsidR="00371DE1" w:rsidRPr="00E82184" w:rsidRDefault="00371DE1" w:rsidP="0025102E">
    <w:pPr>
      <w:pStyle w:val="Header"/>
      <w:pBdr>
        <w:bottom w:val="single" w:sz="4" w:space="1" w:color="auto"/>
      </w:pBdr>
      <w:jc w:val="right"/>
      <w:rPr>
        <w:rFonts w:cs="Arial"/>
        <w:i/>
        <w:sz w:val="18"/>
        <w:szCs w:val="18"/>
        <w:lang w:val="en-US"/>
      </w:rPr>
    </w:pPr>
    <w:r w:rsidRPr="00E82184">
      <w:rPr>
        <w:rFonts w:cs="Arial"/>
        <w:i/>
        <w:sz w:val="18"/>
        <w:szCs w:val="18"/>
        <w:lang w:val="en-US"/>
      </w:rPr>
      <w:t>UNEP/CMS/COP14/Doc.27.2.3/</w:t>
    </w:r>
    <w:r w:rsidR="00E82184" w:rsidRPr="00E82184">
      <w:rPr>
        <w:rFonts w:cs="Arial"/>
        <w:i/>
        <w:sz w:val="18"/>
        <w:szCs w:val="18"/>
        <w:lang w:val="en-US"/>
      </w:rPr>
      <w:t>Rev.1/</w:t>
    </w:r>
    <w:r w:rsidRPr="00E82184">
      <w:rPr>
        <w:rFonts w:cs="Arial"/>
        <w:i/>
        <w:sz w:val="18"/>
        <w:szCs w:val="18"/>
        <w:lang w:val="en-US"/>
      </w:rPr>
      <w:t>Anexo 3</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1419D3" w14:textId="64A449BF" w:rsidR="002E0DE9" w:rsidRPr="002E0DE9" w:rsidRDefault="002E0DE9" w:rsidP="002E0DE9">
    <w:pPr>
      <w:pStyle w:val="Header"/>
      <w:pBdr>
        <w:bottom w:val="single" w:sz="4" w:space="1" w:color="auto"/>
      </w:pBdr>
      <w:rPr>
        <w:i/>
        <w:sz w:val="18"/>
        <w:szCs w:val="18"/>
      </w:rPr>
    </w:pPr>
    <w:r w:rsidRPr="002E0DE9">
      <w:rPr>
        <w:rFonts w:eastAsia="Times New Roman" w:cs="Arial"/>
        <w:i/>
        <w:sz w:val="18"/>
        <w:szCs w:val="18"/>
      </w:rPr>
      <w:t>UNEP/CMS/COP14/Doc.</w:t>
    </w:r>
    <w:r w:rsidRPr="002E0DE9">
      <w:rPr>
        <w:rFonts w:eastAsia="Times New Roman" w:cs="Arial"/>
        <w:i/>
        <w:sz w:val="18"/>
        <w:szCs w:val="18"/>
        <w:shd w:val="clear" w:color="auto" w:fill="FFFF00"/>
      </w:rPr>
      <w:t>XX</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5A92F9" w14:textId="77777777" w:rsidR="00FC0234" w:rsidRPr="00002A97" w:rsidRDefault="00FC0234" w:rsidP="00FC0234">
    <w:pPr>
      <w:widowControl w:val="0"/>
      <w:tabs>
        <w:tab w:val="center" w:pos="4153"/>
        <w:tab w:val="right" w:pos="8306"/>
      </w:tabs>
      <w:suppressAutoHyphens/>
      <w:autoSpaceDE w:val="0"/>
      <w:autoSpaceDN w:val="0"/>
      <w:spacing w:after="0" w:line="240" w:lineRule="auto"/>
      <w:jc w:val="right"/>
      <w:textAlignment w:val="baseline"/>
      <w:rPr>
        <w:rFonts w:eastAsia="Times New Roman" w:cs="Times New Roman"/>
        <w:sz w:val="18"/>
        <w:szCs w:val="20"/>
        <w:lang w:val="es-ES" w:eastAsia="es-ES"/>
      </w:rPr>
    </w:pPr>
    <w:r>
      <w:rPr>
        <w:rFonts w:eastAsia="Times New Roman" w:cs="Times New Roman"/>
        <w:noProof/>
        <w:sz w:val="18"/>
        <w:szCs w:val="20"/>
        <w:lang w:val="es-ES" w:eastAsia="es-ES"/>
      </w:rPr>
      <w:drawing>
        <wp:anchor distT="0" distB="0" distL="114300" distR="114300" simplePos="0" relativeHeight="251661312" behindDoc="1" locked="0" layoutInCell="1" allowOverlap="1" wp14:anchorId="76C54BBF" wp14:editId="213676D9">
          <wp:simplePos x="0" y="0"/>
          <wp:positionH relativeFrom="column">
            <wp:posOffset>-69538</wp:posOffset>
          </wp:positionH>
          <wp:positionV relativeFrom="paragraph">
            <wp:posOffset>-196646</wp:posOffset>
          </wp:positionV>
          <wp:extent cx="731520" cy="731520"/>
          <wp:effectExtent l="0" t="0" r="0" b="0"/>
          <wp:wrapTight wrapText="bothSides">
            <wp:wrapPolygon edited="0">
              <wp:start x="0" y="0"/>
              <wp:lineTo x="0" y="20813"/>
              <wp:lineTo x="20813" y="20813"/>
              <wp:lineTo x="20813"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31520" cy="731520"/>
                  </a:xfrm>
                  <a:prstGeom prst="rect">
                    <a:avLst/>
                  </a:prstGeom>
                  <a:noFill/>
                </pic:spPr>
              </pic:pic>
            </a:graphicData>
          </a:graphic>
          <wp14:sizeRelH relativeFrom="margin">
            <wp14:pctWidth>0</wp14:pctWidth>
          </wp14:sizeRelH>
          <wp14:sizeRelV relativeFrom="margin">
            <wp14:pctHeight>0</wp14:pctHeight>
          </wp14:sizeRelV>
        </wp:anchor>
      </w:drawing>
    </w:r>
    <w:r w:rsidRPr="00002A97">
      <w:rPr>
        <w:rFonts w:eastAsia="Times New Roman" w:cs="Times New Roman"/>
        <w:noProof/>
        <w:sz w:val="18"/>
        <w:szCs w:val="20"/>
        <w:lang w:val="es-ES" w:eastAsia="es-ES"/>
      </w:rPr>
      <w:drawing>
        <wp:anchor distT="0" distB="0" distL="114300" distR="114300" simplePos="0" relativeHeight="251660288" behindDoc="0" locked="0" layoutInCell="1" allowOverlap="1" wp14:anchorId="03123067" wp14:editId="6BD7906B">
          <wp:simplePos x="0" y="0"/>
          <wp:positionH relativeFrom="column">
            <wp:posOffset>5609587</wp:posOffset>
          </wp:positionH>
          <wp:positionV relativeFrom="paragraph">
            <wp:posOffset>78108</wp:posOffset>
          </wp:positionV>
          <wp:extent cx="619121" cy="288922"/>
          <wp:effectExtent l="0" t="0" r="0" b="0"/>
          <wp:wrapTight wrapText="bothSides">
            <wp:wrapPolygon edited="0">
              <wp:start x="0" y="0"/>
              <wp:lineTo x="0" y="19939"/>
              <wp:lineTo x="20603" y="19939"/>
              <wp:lineTo x="20603" y="0"/>
              <wp:lineTo x="0" y="0"/>
            </wp:wrapPolygon>
          </wp:wrapTight>
          <wp:docPr id="10" name="Picture 5"/>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rcRect/>
                  <a:stretch>
                    <a:fillRect/>
                  </a:stretch>
                </pic:blipFill>
                <pic:spPr>
                  <a:xfrm>
                    <a:off x="0" y="0"/>
                    <a:ext cx="619121" cy="288922"/>
                  </a:xfrm>
                  <a:prstGeom prst="rect">
                    <a:avLst/>
                  </a:prstGeom>
                  <a:noFill/>
                  <a:ln>
                    <a:noFill/>
                    <a:prstDash/>
                  </a:ln>
                </pic:spPr>
              </pic:pic>
            </a:graphicData>
          </a:graphic>
        </wp:anchor>
      </w:drawing>
    </w:r>
    <w:r w:rsidRPr="00002A97">
      <w:rPr>
        <w:rFonts w:eastAsia="Times New Roman" w:cs="Times New Roman"/>
        <w:noProof/>
        <w:sz w:val="18"/>
        <w:szCs w:val="20"/>
      </w:rPr>
      <w:drawing>
        <wp:anchor distT="0" distB="0" distL="114300" distR="114300" simplePos="0" relativeHeight="251659264" behindDoc="0" locked="0" layoutInCell="1" allowOverlap="1" wp14:anchorId="47CC5122" wp14:editId="0451644A">
          <wp:simplePos x="0" y="0"/>
          <wp:positionH relativeFrom="column">
            <wp:posOffset>716276</wp:posOffset>
          </wp:positionH>
          <wp:positionV relativeFrom="paragraph">
            <wp:posOffset>-75566</wp:posOffset>
          </wp:positionV>
          <wp:extent cx="431167" cy="441326"/>
          <wp:effectExtent l="0" t="0" r="6983" b="0"/>
          <wp:wrapTight wrapText="bothSides">
            <wp:wrapPolygon edited="0">
              <wp:start x="0" y="0"/>
              <wp:lineTo x="0" y="20512"/>
              <wp:lineTo x="20995" y="20512"/>
              <wp:lineTo x="20995" y="0"/>
              <wp:lineTo x="0" y="0"/>
            </wp:wrapPolygon>
          </wp:wrapTight>
          <wp:docPr id="11"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srcRect l="2780" t="-1236" r="60236" b="48836"/>
                  <a:stretch>
                    <a:fillRect/>
                  </a:stretch>
                </pic:blipFill>
                <pic:spPr>
                  <a:xfrm>
                    <a:off x="0" y="0"/>
                    <a:ext cx="431167" cy="441326"/>
                  </a:xfrm>
                  <a:prstGeom prst="rect">
                    <a:avLst/>
                  </a:prstGeom>
                  <a:noFill/>
                  <a:ln>
                    <a:noFill/>
                    <a:prstDash/>
                  </a:ln>
                </pic:spPr>
              </pic:pic>
            </a:graphicData>
          </a:graphic>
        </wp:anchor>
      </w:drawing>
    </w:r>
  </w:p>
  <w:p w14:paraId="4139B17B" w14:textId="77777777" w:rsidR="00FC0234" w:rsidRDefault="00FC0234">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E1C36A" w14:textId="1357B3C3" w:rsidR="008C7A00" w:rsidRPr="00E82184" w:rsidRDefault="008C7A00" w:rsidP="00A618B3">
    <w:pPr>
      <w:pStyle w:val="Header"/>
      <w:pBdr>
        <w:bottom w:val="single" w:sz="4" w:space="1" w:color="auto"/>
      </w:pBdr>
      <w:rPr>
        <w:rFonts w:cs="Arial"/>
        <w:i/>
        <w:sz w:val="18"/>
        <w:szCs w:val="18"/>
        <w:lang w:val="en-US"/>
      </w:rPr>
    </w:pPr>
    <w:r w:rsidRPr="00E82184">
      <w:rPr>
        <w:rFonts w:cs="Arial"/>
        <w:i/>
        <w:sz w:val="18"/>
        <w:szCs w:val="18"/>
        <w:lang w:val="en-US"/>
      </w:rPr>
      <w:t>UNEP/CMS/COP14/Doc.27.2.3</w:t>
    </w:r>
    <w:r w:rsidR="00E82184" w:rsidRPr="00E82184">
      <w:rPr>
        <w:rFonts w:cs="Arial"/>
        <w:i/>
        <w:sz w:val="18"/>
        <w:szCs w:val="18"/>
        <w:lang w:val="en-US"/>
      </w:rPr>
      <w:t>/Rev.</w:t>
    </w:r>
    <w:r w:rsidR="00E82184">
      <w:rPr>
        <w:rFonts w:cs="Arial"/>
        <w:i/>
        <w:sz w:val="18"/>
        <w:szCs w:val="18"/>
        <w:lang w:val="en-US"/>
      </w:rPr>
      <w:t>1</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F989C6" w14:textId="0383C4FF" w:rsidR="00A836DB" w:rsidRPr="00E82184" w:rsidRDefault="00A836DB" w:rsidP="00A618B3">
    <w:pPr>
      <w:pStyle w:val="Header"/>
      <w:pBdr>
        <w:bottom w:val="single" w:sz="4" w:space="1" w:color="auto"/>
      </w:pBdr>
      <w:jc w:val="right"/>
      <w:rPr>
        <w:rFonts w:cs="Arial"/>
        <w:i/>
        <w:sz w:val="18"/>
        <w:szCs w:val="18"/>
        <w:lang w:val="en-US"/>
      </w:rPr>
    </w:pPr>
    <w:r w:rsidRPr="00E82184">
      <w:rPr>
        <w:rFonts w:cs="Arial"/>
        <w:i/>
        <w:sz w:val="18"/>
        <w:szCs w:val="18"/>
        <w:lang w:val="en-US"/>
      </w:rPr>
      <w:t>UNEP/CMS/COP14/Doc.27.2.3</w:t>
    </w:r>
    <w:r w:rsidR="00E82184" w:rsidRPr="00E82184">
      <w:rPr>
        <w:rFonts w:cs="Arial"/>
        <w:i/>
        <w:sz w:val="18"/>
        <w:szCs w:val="18"/>
        <w:lang w:val="en-US"/>
      </w:rPr>
      <w:t>/Rev.</w:t>
    </w:r>
    <w:r w:rsidR="00E82184">
      <w:rPr>
        <w:rFonts w:cs="Arial"/>
        <w:i/>
        <w:sz w:val="18"/>
        <w:szCs w:val="18"/>
        <w:lang w:val="en-US"/>
      </w:rPr>
      <w:t>1</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274A3F" w14:textId="5E70BD7C" w:rsidR="00A836DB" w:rsidRPr="00E82184" w:rsidRDefault="00A836DB" w:rsidP="00CD7166">
    <w:pPr>
      <w:pStyle w:val="Header"/>
      <w:pBdr>
        <w:bottom w:val="single" w:sz="4" w:space="1" w:color="auto"/>
      </w:pBdr>
      <w:rPr>
        <w:rFonts w:cs="Arial"/>
        <w:i/>
        <w:sz w:val="18"/>
        <w:szCs w:val="18"/>
        <w:lang w:val="en-US"/>
      </w:rPr>
    </w:pPr>
    <w:r w:rsidRPr="00E82184">
      <w:rPr>
        <w:rFonts w:cs="Arial"/>
        <w:i/>
        <w:sz w:val="18"/>
        <w:szCs w:val="18"/>
        <w:lang w:val="en-US"/>
      </w:rPr>
      <w:t>UNEP/CMS/COP14/Doc.27.2.3</w:t>
    </w:r>
    <w:r w:rsidR="00E82184" w:rsidRPr="00E82184">
      <w:rPr>
        <w:rFonts w:cs="Arial"/>
        <w:i/>
        <w:sz w:val="18"/>
        <w:szCs w:val="18"/>
        <w:lang w:val="en-US"/>
      </w:rPr>
      <w:t>/Rev.</w:t>
    </w:r>
    <w:r w:rsidR="00E82184">
      <w:rPr>
        <w:rFonts w:cs="Arial"/>
        <w:i/>
        <w:sz w:val="18"/>
        <w:szCs w:val="18"/>
        <w:lang w:val="en-US"/>
      </w:rPr>
      <w:t>1</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94B50A" w14:textId="47BD5205" w:rsidR="00A618B3" w:rsidRPr="00E82184" w:rsidRDefault="00A618B3" w:rsidP="00A618B3">
    <w:pPr>
      <w:pStyle w:val="Header"/>
      <w:pBdr>
        <w:bottom w:val="single" w:sz="4" w:space="1" w:color="auto"/>
      </w:pBdr>
      <w:rPr>
        <w:rFonts w:cs="Arial"/>
        <w:i/>
        <w:sz w:val="18"/>
        <w:szCs w:val="18"/>
        <w:lang w:val="en-US"/>
      </w:rPr>
    </w:pPr>
    <w:r w:rsidRPr="00E82184">
      <w:rPr>
        <w:rFonts w:cs="Arial"/>
        <w:i/>
        <w:sz w:val="18"/>
        <w:szCs w:val="18"/>
        <w:lang w:val="en-US"/>
      </w:rPr>
      <w:t>UNEP/CMS/COP14/Doc.27.2.3/</w:t>
    </w:r>
    <w:r w:rsidR="00E82184" w:rsidRPr="00E82184">
      <w:rPr>
        <w:rFonts w:cs="Arial"/>
        <w:i/>
        <w:sz w:val="18"/>
        <w:szCs w:val="18"/>
        <w:lang w:val="en-US"/>
      </w:rPr>
      <w:t>Rev.1/</w:t>
    </w:r>
    <w:r w:rsidRPr="00E82184">
      <w:rPr>
        <w:rFonts w:cs="Arial"/>
        <w:i/>
        <w:sz w:val="18"/>
        <w:szCs w:val="18"/>
        <w:lang w:val="en-US"/>
      </w:rPr>
      <w:t>Anexo 1</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C5CA2B" w14:textId="4A1FDE74" w:rsidR="008C7A00" w:rsidRPr="00E82184" w:rsidRDefault="008C7A00" w:rsidP="00A618B3">
    <w:pPr>
      <w:pStyle w:val="Header"/>
      <w:pBdr>
        <w:bottom w:val="single" w:sz="4" w:space="1" w:color="auto"/>
      </w:pBdr>
      <w:jc w:val="right"/>
      <w:rPr>
        <w:rFonts w:cs="Arial"/>
        <w:i/>
        <w:sz w:val="18"/>
        <w:szCs w:val="18"/>
        <w:lang w:val="en-US"/>
      </w:rPr>
    </w:pPr>
    <w:r w:rsidRPr="00E82184">
      <w:rPr>
        <w:rFonts w:cs="Arial"/>
        <w:i/>
        <w:sz w:val="18"/>
        <w:szCs w:val="18"/>
        <w:lang w:val="en-US"/>
      </w:rPr>
      <w:t>UNEP/CMS/COP14/Doc.27.2.3/</w:t>
    </w:r>
    <w:r w:rsidR="00E82184" w:rsidRPr="00E82184">
      <w:rPr>
        <w:rFonts w:cs="Arial"/>
        <w:i/>
        <w:sz w:val="18"/>
        <w:szCs w:val="18"/>
        <w:lang w:val="en-US"/>
      </w:rPr>
      <w:t>Rev.1/</w:t>
    </w:r>
    <w:r w:rsidRPr="00E82184">
      <w:rPr>
        <w:rFonts w:cs="Arial"/>
        <w:i/>
        <w:sz w:val="18"/>
        <w:szCs w:val="18"/>
        <w:lang w:val="en-US"/>
      </w:rPr>
      <w:t>Anexo 1</w: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626951" w14:textId="28CE049C" w:rsidR="009844BC" w:rsidRPr="00E82184" w:rsidRDefault="009844BC" w:rsidP="00A618B3">
    <w:pPr>
      <w:pStyle w:val="Header"/>
      <w:pBdr>
        <w:bottom w:val="single" w:sz="4" w:space="1" w:color="auto"/>
      </w:pBdr>
      <w:rPr>
        <w:rFonts w:cs="Arial"/>
        <w:i/>
        <w:sz w:val="18"/>
        <w:szCs w:val="18"/>
        <w:lang w:val="en-US"/>
      </w:rPr>
    </w:pPr>
    <w:r w:rsidRPr="00E82184">
      <w:rPr>
        <w:rFonts w:cs="Arial"/>
        <w:i/>
        <w:sz w:val="18"/>
        <w:szCs w:val="18"/>
        <w:lang w:val="en-US"/>
      </w:rPr>
      <w:t>UNEP/CMS/COP14/Doc.27.2.3/</w:t>
    </w:r>
    <w:r w:rsidR="00E82184" w:rsidRPr="00E82184">
      <w:rPr>
        <w:rFonts w:cs="Arial"/>
        <w:i/>
        <w:sz w:val="18"/>
        <w:szCs w:val="18"/>
        <w:lang w:val="en-US"/>
      </w:rPr>
      <w:t>Rev.1/</w:t>
    </w:r>
    <w:r w:rsidRPr="00E82184">
      <w:rPr>
        <w:rFonts w:cs="Arial"/>
        <w:i/>
        <w:sz w:val="18"/>
        <w:szCs w:val="18"/>
        <w:lang w:val="en-US"/>
      </w:rPr>
      <w:t>Anexo 1</w:t>
    </w:r>
  </w:p>
</w:hdr>
</file>

<file path=word/intelligence2.xml><?xml version="1.0" encoding="utf-8"?>
<int2:intelligence xmlns:int2="http://schemas.microsoft.com/office/intelligence/2020/intelligence" xmlns:oel="http://schemas.microsoft.com/office/2019/extlst">
  <int2:observations>
    <int2:bookmark int2:bookmarkName="_Int_IO7QN6a9" int2:invalidationBookmarkName="" int2:hashCode="Cay7fR2oqj2v9M" int2:id="0zI6t46d">
      <int2:state int2:value="Rejected" int2:type="AugLoop_Acronyms_AcronymsCritique"/>
    </int2:bookmark>
  </int2:observations>
  <int2:intelligenceSettings>
    <int2:extLst>
      <oel:ext uri="74B372B9-2EFF-4315-9A3F-32BA87CA82B1">
        <int2:goals int2:version="1" int2:formality="0"/>
      </oel:ext>
    </int2:extLst>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A1AE1FC6"/>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B7B2AF9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2EE8063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43CF50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D27ED3E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F8767EBC"/>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E48A2518"/>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6C4E00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A1E2FB8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1B38A2E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41E33BC"/>
    <w:multiLevelType w:val="hybridMultilevel"/>
    <w:tmpl w:val="E7E83B2A"/>
    <w:lvl w:ilvl="0" w:tplc="32A415FC">
      <w:start w:val="1"/>
      <w:numFmt w:val="bullet"/>
      <w:lvlText w:val=""/>
      <w:lvlJc w:val="left"/>
      <w:pPr>
        <w:ind w:left="720" w:hanging="360"/>
      </w:pPr>
      <w:rPr>
        <w:rFonts w:ascii="Symbol" w:hAnsi="Symbol" w:hint="default"/>
      </w:rPr>
    </w:lvl>
    <w:lvl w:ilvl="1" w:tplc="20000003">
      <w:start w:val="1"/>
      <w:numFmt w:val="bullet"/>
      <w:lvlText w:val="o"/>
      <w:lvlJc w:val="left"/>
      <w:pPr>
        <w:ind w:left="1440" w:hanging="360"/>
      </w:pPr>
      <w:rPr>
        <w:rFonts w:ascii="Courier New" w:hAnsi="Courier New" w:cs="Courier New" w:hint="default"/>
      </w:rPr>
    </w:lvl>
    <w:lvl w:ilvl="2" w:tplc="20000005">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1" w15:restartNumberingAfterBreak="0">
    <w:nsid w:val="04FE2841"/>
    <w:multiLevelType w:val="hybridMultilevel"/>
    <w:tmpl w:val="2CF29500"/>
    <w:lvl w:ilvl="0" w:tplc="20000017">
      <w:start w:val="1"/>
      <w:numFmt w:val="lowerLetter"/>
      <w:lvlText w:val="%1)"/>
      <w:lvlJc w:val="left"/>
      <w:pPr>
        <w:ind w:left="36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FFFFFFFF" w:tentative="1">
      <w:start w:val="1"/>
      <w:numFmt w:val="lowerLetter"/>
      <w:lvlText w:val="%2."/>
      <w:lvlJc w:val="left"/>
      <w:pPr>
        <w:ind w:left="2007" w:hanging="360"/>
      </w:pPr>
    </w:lvl>
    <w:lvl w:ilvl="2" w:tplc="FFFFFFFF" w:tentative="1">
      <w:start w:val="1"/>
      <w:numFmt w:val="lowerRoman"/>
      <w:lvlText w:val="%3."/>
      <w:lvlJc w:val="right"/>
      <w:pPr>
        <w:ind w:left="2727" w:hanging="180"/>
      </w:pPr>
    </w:lvl>
    <w:lvl w:ilvl="3" w:tplc="FFFFFFFF" w:tentative="1">
      <w:start w:val="1"/>
      <w:numFmt w:val="decimal"/>
      <w:lvlText w:val="%4."/>
      <w:lvlJc w:val="left"/>
      <w:pPr>
        <w:ind w:left="3447" w:hanging="360"/>
      </w:pPr>
    </w:lvl>
    <w:lvl w:ilvl="4" w:tplc="FFFFFFFF" w:tentative="1">
      <w:start w:val="1"/>
      <w:numFmt w:val="lowerLetter"/>
      <w:lvlText w:val="%5."/>
      <w:lvlJc w:val="left"/>
      <w:pPr>
        <w:ind w:left="4167" w:hanging="360"/>
      </w:pPr>
    </w:lvl>
    <w:lvl w:ilvl="5" w:tplc="FFFFFFFF" w:tentative="1">
      <w:start w:val="1"/>
      <w:numFmt w:val="lowerRoman"/>
      <w:lvlText w:val="%6."/>
      <w:lvlJc w:val="right"/>
      <w:pPr>
        <w:ind w:left="4887" w:hanging="18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12" w15:restartNumberingAfterBreak="0">
    <w:nsid w:val="08780F21"/>
    <w:multiLevelType w:val="hybridMultilevel"/>
    <w:tmpl w:val="0D20EA36"/>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3" w15:restartNumberingAfterBreak="0">
    <w:nsid w:val="0A9245BE"/>
    <w:multiLevelType w:val="hybridMultilevel"/>
    <w:tmpl w:val="591A9FE8"/>
    <w:lvl w:ilvl="0" w:tplc="1F463DA8">
      <w:start w:val="1"/>
      <w:numFmt w:val="upperLetter"/>
      <w:pStyle w:val="FourthnumberingA"/>
      <w:lvlText w:val="%1."/>
      <w:lvlJc w:val="right"/>
      <w:pPr>
        <w:ind w:left="2705" w:hanging="360"/>
      </w:pPr>
      <w:rPr>
        <w:rFonts w:hint="default"/>
      </w:rPr>
    </w:lvl>
    <w:lvl w:ilvl="1" w:tplc="04090019" w:tentative="1">
      <w:start w:val="1"/>
      <w:numFmt w:val="lowerLetter"/>
      <w:lvlText w:val="%2."/>
      <w:lvlJc w:val="left"/>
      <w:pPr>
        <w:ind w:left="3425" w:hanging="360"/>
      </w:pPr>
    </w:lvl>
    <w:lvl w:ilvl="2" w:tplc="0409001B" w:tentative="1">
      <w:start w:val="1"/>
      <w:numFmt w:val="lowerRoman"/>
      <w:lvlText w:val="%3."/>
      <w:lvlJc w:val="right"/>
      <w:pPr>
        <w:ind w:left="4145" w:hanging="180"/>
      </w:pPr>
    </w:lvl>
    <w:lvl w:ilvl="3" w:tplc="0409000F" w:tentative="1">
      <w:start w:val="1"/>
      <w:numFmt w:val="decimal"/>
      <w:lvlText w:val="%4."/>
      <w:lvlJc w:val="left"/>
      <w:pPr>
        <w:ind w:left="4865" w:hanging="360"/>
      </w:pPr>
    </w:lvl>
    <w:lvl w:ilvl="4" w:tplc="04090019" w:tentative="1">
      <w:start w:val="1"/>
      <w:numFmt w:val="lowerLetter"/>
      <w:lvlText w:val="%5."/>
      <w:lvlJc w:val="left"/>
      <w:pPr>
        <w:ind w:left="5585" w:hanging="360"/>
      </w:pPr>
    </w:lvl>
    <w:lvl w:ilvl="5" w:tplc="0409001B" w:tentative="1">
      <w:start w:val="1"/>
      <w:numFmt w:val="lowerRoman"/>
      <w:lvlText w:val="%6."/>
      <w:lvlJc w:val="right"/>
      <w:pPr>
        <w:ind w:left="6305" w:hanging="180"/>
      </w:pPr>
    </w:lvl>
    <w:lvl w:ilvl="6" w:tplc="0409000F" w:tentative="1">
      <w:start w:val="1"/>
      <w:numFmt w:val="decimal"/>
      <w:lvlText w:val="%7."/>
      <w:lvlJc w:val="left"/>
      <w:pPr>
        <w:ind w:left="7025" w:hanging="360"/>
      </w:pPr>
    </w:lvl>
    <w:lvl w:ilvl="7" w:tplc="04090019" w:tentative="1">
      <w:start w:val="1"/>
      <w:numFmt w:val="lowerLetter"/>
      <w:lvlText w:val="%8."/>
      <w:lvlJc w:val="left"/>
      <w:pPr>
        <w:ind w:left="7745" w:hanging="360"/>
      </w:pPr>
    </w:lvl>
    <w:lvl w:ilvl="8" w:tplc="0409001B" w:tentative="1">
      <w:start w:val="1"/>
      <w:numFmt w:val="lowerRoman"/>
      <w:lvlText w:val="%9."/>
      <w:lvlJc w:val="right"/>
      <w:pPr>
        <w:ind w:left="8465" w:hanging="180"/>
      </w:pPr>
    </w:lvl>
  </w:abstractNum>
  <w:abstractNum w:abstractNumId="14" w15:restartNumberingAfterBreak="0">
    <w:nsid w:val="11E07DCE"/>
    <w:multiLevelType w:val="hybridMultilevel"/>
    <w:tmpl w:val="21566B64"/>
    <w:lvl w:ilvl="0" w:tplc="FFFFFFFF">
      <w:start w:val="1"/>
      <w:numFmt w:val="bullet"/>
      <w:lvlText w:val=""/>
      <w:lvlJc w:val="left"/>
      <w:pPr>
        <w:ind w:left="720" w:hanging="360"/>
      </w:pPr>
      <w:rPr>
        <w:rFonts w:ascii="Symbol" w:hAnsi="Symbol" w:hint="default"/>
      </w:rPr>
    </w:lvl>
    <w:lvl w:ilvl="1" w:tplc="32A415FC">
      <w:start w:val="1"/>
      <w:numFmt w:val="bullet"/>
      <w:lvlText w:val=""/>
      <w:lvlJc w:val="left"/>
      <w:pPr>
        <w:ind w:left="1440" w:hanging="360"/>
      </w:pPr>
      <w:rPr>
        <w:rFonts w:ascii="Symbol" w:hAnsi="Symbol"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 w15:restartNumberingAfterBreak="0">
    <w:nsid w:val="1F041A0F"/>
    <w:multiLevelType w:val="hybridMultilevel"/>
    <w:tmpl w:val="A89E66C6"/>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6" w15:restartNumberingAfterBreak="0">
    <w:nsid w:val="23DF48E4"/>
    <w:multiLevelType w:val="hybridMultilevel"/>
    <w:tmpl w:val="86841666"/>
    <w:lvl w:ilvl="0" w:tplc="93A4A280">
      <w:start w:val="1"/>
      <w:numFmt w:val="lowerLetter"/>
      <w:pStyle w:val="Secondnumbering"/>
      <w:lvlText w:val="%1)."/>
      <w:lvlJc w:val="right"/>
      <w:pPr>
        <w:ind w:left="36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7" w15:restartNumberingAfterBreak="0">
    <w:nsid w:val="2426759F"/>
    <w:multiLevelType w:val="hybridMultilevel"/>
    <w:tmpl w:val="8D86BBFE"/>
    <w:lvl w:ilvl="0" w:tplc="08090017">
      <w:start w:val="1"/>
      <w:numFmt w:val="lowerLetter"/>
      <w:lvlText w:val="%1)"/>
      <w:lvlJc w:val="left"/>
      <w:pPr>
        <w:ind w:left="1003" w:hanging="360"/>
      </w:pPr>
    </w:lvl>
    <w:lvl w:ilvl="1" w:tplc="2000001B">
      <w:start w:val="1"/>
      <w:numFmt w:val="lowerRoman"/>
      <w:lvlText w:val="%2."/>
      <w:lvlJc w:val="right"/>
      <w:pPr>
        <w:ind w:left="1723" w:hanging="360"/>
      </w:pPr>
    </w:lvl>
    <w:lvl w:ilvl="2" w:tplc="0809001B">
      <w:start w:val="1"/>
      <w:numFmt w:val="lowerRoman"/>
      <w:lvlText w:val="%3."/>
      <w:lvlJc w:val="right"/>
      <w:pPr>
        <w:ind w:left="2443" w:hanging="180"/>
      </w:pPr>
    </w:lvl>
    <w:lvl w:ilvl="3" w:tplc="0809000F">
      <w:start w:val="1"/>
      <w:numFmt w:val="decimal"/>
      <w:lvlText w:val="%4."/>
      <w:lvlJc w:val="left"/>
      <w:pPr>
        <w:ind w:left="3163" w:hanging="360"/>
      </w:pPr>
    </w:lvl>
    <w:lvl w:ilvl="4" w:tplc="08090019">
      <w:start w:val="1"/>
      <w:numFmt w:val="lowerLetter"/>
      <w:lvlText w:val="%5."/>
      <w:lvlJc w:val="left"/>
      <w:pPr>
        <w:ind w:left="3883" w:hanging="360"/>
      </w:pPr>
    </w:lvl>
    <w:lvl w:ilvl="5" w:tplc="0809001B">
      <w:start w:val="1"/>
      <w:numFmt w:val="lowerRoman"/>
      <w:lvlText w:val="%6."/>
      <w:lvlJc w:val="right"/>
      <w:pPr>
        <w:ind w:left="4603" w:hanging="180"/>
      </w:pPr>
    </w:lvl>
    <w:lvl w:ilvl="6" w:tplc="0809000F">
      <w:start w:val="1"/>
      <w:numFmt w:val="decimal"/>
      <w:lvlText w:val="%7."/>
      <w:lvlJc w:val="left"/>
      <w:pPr>
        <w:ind w:left="5323" w:hanging="360"/>
      </w:pPr>
    </w:lvl>
    <w:lvl w:ilvl="7" w:tplc="08090019">
      <w:start w:val="1"/>
      <w:numFmt w:val="lowerLetter"/>
      <w:lvlText w:val="%8."/>
      <w:lvlJc w:val="left"/>
      <w:pPr>
        <w:ind w:left="6043" w:hanging="360"/>
      </w:pPr>
    </w:lvl>
    <w:lvl w:ilvl="8" w:tplc="0809001B">
      <w:start w:val="1"/>
      <w:numFmt w:val="lowerRoman"/>
      <w:lvlText w:val="%9."/>
      <w:lvlJc w:val="right"/>
      <w:pPr>
        <w:ind w:left="6763" w:hanging="180"/>
      </w:pPr>
    </w:lvl>
  </w:abstractNum>
  <w:abstractNum w:abstractNumId="18" w15:restartNumberingAfterBreak="0">
    <w:nsid w:val="32436F5D"/>
    <w:multiLevelType w:val="hybridMultilevel"/>
    <w:tmpl w:val="489AB818"/>
    <w:lvl w:ilvl="0" w:tplc="EB86335A">
      <w:start w:val="1"/>
      <w:numFmt w:val="decimal"/>
      <w:lvlText w:val="%1."/>
      <w:lvlJc w:val="left"/>
      <w:pPr>
        <w:ind w:left="720" w:hanging="360"/>
      </w:pPr>
      <w:rPr>
        <w:i w:val="0"/>
        <w:iCs w:val="0"/>
      </w:rPr>
    </w:lvl>
    <w:lvl w:ilvl="1" w:tplc="20000019">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9" w15:restartNumberingAfterBreak="0">
    <w:nsid w:val="37A0372A"/>
    <w:multiLevelType w:val="multilevel"/>
    <w:tmpl w:val="D9926594"/>
    <w:lvl w:ilvl="0">
      <w:start w:val="1"/>
      <w:numFmt w:val="decimal"/>
      <w:lvlText w:val="%1."/>
      <w:lvlJc w:val="left"/>
      <w:pPr>
        <w:ind w:left="360" w:hanging="360"/>
      </w:pPr>
      <w:rPr>
        <w:i w:val="0"/>
      </w:rPr>
    </w:lvl>
    <w:lvl w:ilvl="1">
      <w:start w:val="1"/>
      <w:numFmt w:val="decimal"/>
      <w:isLgl/>
      <w:lvlText w:val="%1.%2"/>
      <w:lvlJc w:val="left"/>
      <w:pPr>
        <w:ind w:left="360" w:hanging="360"/>
      </w:p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20" w15:restartNumberingAfterBreak="0">
    <w:nsid w:val="3E200771"/>
    <w:multiLevelType w:val="hybridMultilevel"/>
    <w:tmpl w:val="D97261F6"/>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1" w15:restartNumberingAfterBreak="0">
    <w:nsid w:val="4D5A363A"/>
    <w:multiLevelType w:val="hybridMultilevel"/>
    <w:tmpl w:val="6A967B1E"/>
    <w:lvl w:ilvl="0" w:tplc="FA0AE2C2">
      <w:start w:val="1"/>
      <w:numFmt w:val="bullet"/>
      <w:lvlText w:val=""/>
      <w:lvlJc w:val="left"/>
      <w:pPr>
        <w:ind w:left="360" w:hanging="360"/>
      </w:pPr>
      <w:rPr>
        <w:rFonts w:ascii="Symbol" w:hAnsi="Symbol"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22" w15:restartNumberingAfterBreak="0">
    <w:nsid w:val="51A62060"/>
    <w:multiLevelType w:val="hybridMultilevel"/>
    <w:tmpl w:val="E45C30C4"/>
    <w:lvl w:ilvl="0" w:tplc="5046ED82">
      <w:start w:val="1"/>
      <w:numFmt w:val="lowerRoman"/>
      <w:pStyle w:val="Thirdnumberingi"/>
      <w:lvlText w:val="%1)."/>
      <w:lvlJc w:val="right"/>
      <w:pPr>
        <w:ind w:left="2001" w:hanging="360"/>
      </w:pPr>
      <w:rPr>
        <w:rFonts w:hint="default"/>
      </w:rPr>
    </w:lvl>
    <w:lvl w:ilvl="1" w:tplc="04090019" w:tentative="1">
      <w:start w:val="1"/>
      <w:numFmt w:val="lowerLetter"/>
      <w:lvlText w:val="%2."/>
      <w:lvlJc w:val="left"/>
      <w:pPr>
        <w:ind w:left="2721" w:hanging="360"/>
      </w:pPr>
    </w:lvl>
    <w:lvl w:ilvl="2" w:tplc="0409001B" w:tentative="1">
      <w:start w:val="1"/>
      <w:numFmt w:val="lowerRoman"/>
      <w:lvlText w:val="%3."/>
      <w:lvlJc w:val="right"/>
      <w:pPr>
        <w:ind w:left="3441" w:hanging="180"/>
      </w:pPr>
    </w:lvl>
    <w:lvl w:ilvl="3" w:tplc="0409000F" w:tentative="1">
      <w:start w:val="1"/>
      <w:numFmt w:val="decimal"/>
      <w:lvlText w:val="%4."/>
      <w:lvlJc w:val="left"/>
      <w:pPr>
        <w:ind w:left="4161" w:hanging="360"/>
      </w:pPr>
    </w:lvl>
    <w:lvl w:ilvl="4" w:tplc="04090019" w:tentative="1">
      <w:start w:val="1"/>
      <w:numFmt w:val="lowerLetter"/>
      <w:lvlText w:val="%5."/>
      <w:lvlJc w:val="left"/>
      <w:pPr>
        <w:ind w:left="4881" w:hanging="360"/>
      </w:pPr>
    </w:lvl>
    <w:lvl w:ilvl="5" w:tplc="0409001B" w:tentative="1">
      <w:start w:val="1"/>
      <w:numFmt w:val="lowerRoman"/>
      <w:lvlText w:val="%6."/>
      <w:lvlJc w:val="right"/>
      <w:pPr>
        <w:ind w:left="5601" w:hanging="180"/>
      </w:pPr>
    </w:lvl>
    <w:lvl w:ilvl="6" w:tplc="0409000F" w:tentative="1">
      <w:start w:val="1"/>
      <w:numFmt w:val="decimal"/>
      <w:lvlText w:val="%7."/>
      <w:lvlJc w:val="left"/>
      <w:pPr>
        <w:ind w:left="6321" w:hanging="360"/>
      </w:pPr>
    </w:lvl>
    <w:lvl w:ilvl="7" w:tplc="04090019" w:tentative="1">
      <w:start w:val="1"/>
      <w:numFmt w:val="lowerLetter"/>
      <w:lvlText w:val="%8."/>
      <w:lvlJc w:val="left"/>
      <w:pPr>
        <w:ind w:left="7041" w:hanging="360"/>
      </w:pPr>
    </w:lvl>
    <w:lvl w:ilvl="8" w:tplc="0409001B" w:tentative="1">
      <w:start w:val="1"/>
      <w:numFmt w:val="lowerRoman"/>
      <w:lvlText w:val="%9."/>
      <w:lvlJc w:val="right"/>
      <w:pPr>
        <w:ind w:left="7761" w:hanging="180"/>
      </w:pPr>
    </w:lvl>
  </w:abstractNum>
  <w:abstractNum w:abstractNumId="23" w15:restartNumberingAfterBreak="0">
    <w:nsid w:val="54034DCE"/>
    <w:multiLevelType w:val="hybridMultilevel"/>
    <w:tmpl w:val="3A1EEC6E"/>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4" w15:restartNumberingAfterBreak="0">
    <w:nsid w:val="547C66B8"/>
    <w:multiLevelType w:val="hybridMultilevel"/>
    <w:tmpl w:val="3514A814"/>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5" w15:restartNumberingAfterBreak="0">
    <w:nsid w:val="58866656"/>
    <w:multiLevelType w:val="hybridMultilevel"/>
    <w:tmpl w:val="74ECE8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BB45848"/>
    <w:multiLevelType w:val="hybridMultilevel"/>
    <w:tmpl w:val="CD92FB62"/>
    <w:lvl w:ilvl="0" w:tplc="04090017">
      <w:start w:val="1"/>
      <w:numFmt w:val="lowerLetter"/>
      <w:lvlText w:val="%1)"/>
      <w:lvlJc w:val="left"/>
      <w:pPr>
        <w:ind w:left="1569" w:hanging="360"/>
      </w:pPr>
      <w:rPr>
        <w:rFonts w:hint="default"/>
      </w:rPr>
    </w:lvl>
    <w:lvl w:ilvl="1" w:tplc="04090019" w:tentative="1">
      <w:start w:val="1"/>
      <w:numFmt w:val="lowerLetter"/>
      <w:lvlText w:val="%2."/>
      <w:lvlJc w:val="left"/>
      <w:pPr>
        <w:ind w:left="2289" w:hanging="360"/>
      </w:pPr>
    </w:lvl>
    <w:lvl w:ilvl="2" w:tplc="0409001B" w:tentative="1">
      <w:start w:val="1"/>
      <w:numFmt w:val="lowerRoman"/>
      <w:lvlText w:val="%3."/>
      <w:lvlJc w:val="right"/>
      <w:pPr>
        <w:ind w:left="3009" w:hanging="180"/>
      </w:pPr>
    </w:lvl>
    <w:lvl w:ilvl="3" w:tplc="0409000F" w:tentative="1">
      <w:start w:val="1"/>
      <w:numFmt w:val="decimal"/>
      <w:lvlText w:val="%4."/>
      <w:lvlJc w:val="left"/>
      <w:pPr>
        <w:ind w:left="3729" w:hanging="360"/>
      </w:pPr>
    </w:lvl>
    <w:lvl w:ilvl="4" w:tplc="04090019" w:tentative="1">
      <w:start w:val="1"/>
      <w:numFmt w:val="lowerLetter"/>
      <w:lvlText w:val="%5."/>
      <w:lvlJc w:val="left"/>
      <w:pPr>
        <w:ind w:left="4449" w:hanging="360"/>
      </w:pPr>
    </w:lvl>
    <w:lvl w:ilvl="5" w:tplc="0409001B" w:tentative="1">
      <w:start w:val="1"/>
      <w:numFmt w:val="lowerRoman"/>
      <w:lvlText w:val="%6."/>
      <w:lvlJc w:val="right"/>
      <w:pPr>
        <w:ind w:left="5169" w:hanging="180"/>
      </w:pPr>
    </w:lvl>
    <w:lvl w:ilvl="6" w:tplc="0409000F" w:tentative="1">
      <w:start w:val="1"/>
      <w:numFmt w:val="decimal"/>
      <w:lvlText w:val="%7."/>
      <w:lvlJc w:val="left"/>
      <w:pPr>
        <w:ind w:left="5889" w:hanging="360"/>
      </w:pPr>
    </w:lvl>
    <w:lvl w:ilvl="7" w:tplc="04090019" w:tentative="1">
      <w:start w:val="1"/>
      <w:numFmt w:val="lowerLetter"/>
      <w:lvlText w:val="%8."/>
      <w:lvlJc w:val="left"/>
      <w:pPr>
        <w:ind w:left="6609" w:hanging="360"/>
      </w:pPr>
    </w:lvl>
    <w:lvl w:ilvl="8" w:tplc="0409001B" w:tentative="1">
      <w:start w:val="1"/>
      <w:numFmt w:val="lowerRoman"/>
      <w:lvlText w:val="%9."/>
      <w:lvlJc w:val="right"/>
      <w:pPr>
        <w:ind w:left="7329" w:hanging="180"/>
      </w:pPr>
    </w:lvl>
  </w:abstractNum>
  <w:abstractNum w:abstractNumId="27" w15:restartNumberingAfterBreak="0">
    <w:nsid w:val="60D22950"/>
    <w:multiLevelType w:val="hybridMultilevel"/>
    <w:tmpl w:val="3A7C1D98"/>
    <w:lvl w:ilvl="0" w:tplc="2384C758">
      <w:start w:val="1"/>
      <w:numFmt w:val="bullet"/>
      <w:lvlText w:val=""/>
      <w:lvlJc w:val="left"/>
      <w:pPr>
        <w:ind w:left="1287" w:hanging="360"/>
      </w:pPr>
      <w:rPr>
        <w:rFonts w:ascii="Symbol" w:hAnsi="Symbol" w:hint="default"/>
      </w:rPr>
    </w:lvl>
    <w:lvl w:ilvl="1" w:tplc="20000003" w:tentative="1">
      <w:start w:val="1"/>
      <w:numFmt w:val="bullet"/>
      <w:lvlText w:val="o"/>
      <w:lvlJc w:val="left"/>
      <w:pPr>
        <w:ind w:left="2007" w:hanging="360"/>
      </w:pPr>
      <w:rPr>
        <w:rFonts w:ascii="Courier New" w:hAnsi="Courier New" w:cs="Courier New" w:hint="default"/>
      </w:rPr>
    </w:lvl>
    <w:lvl w:ilvl="2" w:tplc="20000005" w:tentative="1">
      <w:start w:val="1"/>
      <w:numFmt w:val="bullet"/>
      <w:lvlText w:val=""/>
      <w:lvlJc w:val="left"/>
      <w:pPr>
        <w:ind w:left="2727" w:hanging="360"/>
      </w:pPr>
      <w:rPr>
        <w:rFonts w:ascii="Wingdings" w:hAnsi="Wingdings" w:hint="default"/>
      </w:rPr>
    </w:lvl>
    <w:lvl w:ilvl="3" w:tplc="20000001" w:tentative="1">
      <w:start w:val="1"/>
      <w:numFmt w:val="bullet"/>
      <w:lvlText w:val=""/>
      <w:lvlJc w:val="left"/>
      <w:pPr>
        <w:ind w:left="3447" w:hanging="360"/>
      </w:pPr>
      <w:rPr>
        <w:rFonts w:ascii="Symbol" w:hAnsi="Symbol" w:hint="default"/>
      </w:rPr>
    </w:lvl>
    <w:lvl w:ilvl="4" w:tplc="20000003" w:tentative="1">
      <w:start w:val="1"/>
      <w:numFmt w:val="bullet"/>
      <w:lvlText w:val="o"/>
      <w:lvlJc w:val="left"/>
      <w:pPr>
        <w:ind w:left="4167" w:hanging="360"/>
      </w:pPr>
      <w:rPr>
        <w:rFonts w:ascii="Courier New" w:hAnsi="Courier New" w:cs="Courier New" w:hint="default"/>
      </w:rPr>
    </w:lvl>
    <w:lvl w:ilvl="5" w:tplc="20000005" w:tentative="1">
      <w:start w:val="1"/>
      <w:numFmt w:val="bullet"/>
      <w:lvlText w:val=""/>
      <w:lvlJc w:val="left"/>
      <w:pPr>
        <w:ind w:left="4887" w:hanging="360"/>
      </w:pPr>
      <w:rPr>
        <w:rFonts w:ascii="Wingdings" w:hAnsi="Wingdings" w:hint="default"/>
      </w:rPr>
    </w:lvl>
    <w:lvl w:ilvl="6" w:tplc="20000001" w:tentative="1">
      <w:start w:val="1"/>
      <w:numFmt w:val="bullet"/>
      <w:lvlText w:val=""/>
      <w:lvlJc w:val="left"/>
      <w:pPr>
        <w:ind w:left="5607" w:hanging="360"/>
      </w:pPr>
      <w:rPr>
        <w:rFonts w:ascii="Symbol" w:hAnsi="Symbol" w:hint="default"/>
      </w:rPr>
    </w:lvl>
    <w:lvl w:ilvl="7" w:tplc="20000003" w:tentative="1">
      <w:start w:val="1"/>
      <w:numFmt w:val="bullet"/>
      <w:lvlText w:val="o"/>
      <w:lvlJc w:val="left"/>
      <w:pPr>
        <w:ind w:left="6327" w:hanging="360"/>
      </w:pPr>
      <w:rPr>
        <w:rFonts w:ascii="Courier New" w:hAnsi="Courier New" w:cs="Courier New" w:hint="default"/>
      </w:rPr>
    </w:lvl>
    <w:lvl w:ilvl="8" w:tplc="20000005" w:tentative="1">
      <w:start w:val="1"/>
      <w:numFmt w:val="bullet"/>
      <w:lvlText w:val=""/>
      <w:lvlJc w:val="left"/>
      <w:pPr>
        <w:ind w:left="7047" w:hanging="360"/>
      </w:pPr>
      <w:rPr>
        <w:rFonts w:ascii="Wingdings" w:hAnsi="Wingdings" w:hint="default"/>
      </w:rPr>
    </w:lvl>
  </w:abstractNum>
  <w:abstractNum w:abstractNumId="28" w15:restartNumberingAfterBreak="0">
    <w:nsid w:val="69A23F83"/>
    <w:multiLevelType w:val="hybridMultilevel"/>
    <w:tmpl w:val="999EC946"/>
    <w:lvl w:ilvl="0" w:tplc="FE0A6D8C">
      <w:start w:val="1"/>
      <w:numFmt w:val="decimal"/>
      <w:lvlText w:val="%1."/>
      <w:lvlJc w:val="left"/>
      <w:pPr>
        <w:ind w:left="360" w:hanging="360"/>
      </w:pPr>
      <w:rPr>
        <w:color w:val="auto"/>
      </w:r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29" w15:restartNumberingAfterBreak="0">
    <w:nsid w:val="6AAF7842"/>
    <w:multiLevelType w:val="hybridMultilevel"/>
    <w:tmpl w:val="C1323E34"/>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0" w15:restartNumberingAfterBreak="0">
    <w:nsid w:val="6CDC1507"/>
    <w:multiLevelType w:val="hybridMultilevel"/>
    <w:tmpl w:val="07325E5A"/>
    <w:lvl w:ilvl="0" w:tplc="FB404E30">
      <w:numFmt w:val="bullet"/>
      <w:lvlText w:val="-"/>
      <w:lvlJc w:val="left"/>
      <w:pPr>
        <w:ind w:left="360" w:hanging="360"/>
      </w:pPr>
      <w:rPr>
        <w:rFonts w:ascii="Arial" w:eastAsiaTheme="minorHAnsi" w:hAnsi="Arial" w:cs="Arial" w:hint="default"/>
      </w:rPr>
    </w:lvl>
    <w:lvl w:ilvl="1" w:tplc="10000003" w:tentative="1">
      <w:start w:val="1"/>
      <w:numFmt w:val="bullet"/>
      <w:lvlText w:val="o"/>
      <w:lvlJc w:val="left"/>
      <w:pPr>
        <w:ind w:left="1080" w:hanging="360"/>
      </w:pPr>
      <w:rPr>
        <w:rFonts w:ascii="Courier New" w:hAnsi="Courier New" w:cs="Courier New" w:hint="default"/>
      </w:rPr>
    </w:lvl>
    <w:lvl w:ilvl="2" w:tplc="10000005" w:tentative="1">
      <w:start w:val="1"/>
      <w:numFmt w:val="bullet"/>
      <w:lvlText w:val=""/>
      <w:lvlJc w:val="left"/>
      <w:pPr>
        <w:ind w:left="1800" w:hanging="360"/>
      </w:pPr>
      <w:rPr>
        <w:rFonts w:ascii="Wingdings" w:hAnsi="Wingdings" w:hint="default"/>
      </w:rPr>
    </w:lvl>
    <w:lvl w:ilvl="3" w:tplc="10000001" w:tentative="1">
      <w:start w:val="1"/>
      <w:numFmt w:val="bullet"/>
      <w:lvlText w:val=""/>
      <w:lvlJc w:val="left"/>
      <w:pPr>
        <w:ind w:left="2520" w:hanging="360"/>
      </w:pPr>
      <w:rPr>
        <w:rFonts w:ascii="Symbol" w:hAnsi="Symbol" w:hint="default"/>
      </w:rPr>
    </w:lvl>
    <w:lvl w:ilvl="4" w:tplc="10000003" w:tentative="1">
      <w:start w:val="1"/>
      <w:numFmt w:val="bullet"/>
      <w:lvlText w:val="o"/>
      <w:lvlJc w:val="left"/>
      <w:pPr>
        <w:ind w:left="3240" w:hanging="360"/>
      </w:pPr>
      <w:rPr>
        <w:rFonts w:ascii="Courier New" w:hAnsi="Courier New" w:cs="Courier New" w:hint="default"/>
      </w:rPr>
    </w:lvl>
    <w:lvl w:ilvl="5" w:tplc="10000005" w:tentative="1">
      <w:start w:val="1"/>
      <w:numFmt w:val="bullet"/>
      <w:lvlText w:val=""/>
      <w:lvlJc w:val="left"/>
      <w:pPr>
        <w:ind w:left="3960" w:hanging="360"/>
      </w:pPr>
      <w:rPr>
        <w:rFonts w:ascii="Wingdings" w:hAnsi="Wingdings" w:hint="default"/>
      </w:rPr>
    </w:lvl>
    <w:lvl w:ilvl="6" w:tplc="10000001" w:tentative="1">
      <w:start w:val="1"/>
      <w:numFmt w:val="bullet"/>
      <w:lvlText w:val=""/>
      <w:lvlJc w:val="left"/>
      <w:pPr>
        <w:ind w:left="4680" w:hanging="360"/>
      </w:pPr>
      <w:rPr>
        <w:rFonts w:ascii="Symbol" w:hAnsi="Symbol" w:hint="default"/>
      </w:rPr>
    </w:lvl>
    <w:lvl w:ilvl="7" w:tplc="10000003" w:tentative="1">
      <w:start w:val="1"/>
      <w:numFmt w:val="bullet"/>
      <w:lvlText w:val="o"/>
      <w:lvlJc w:val="left"/>
      <w:pPr>
        <w:ind w:left="5400" w:hanging="360"/>
      </w:pPr>
      <w:rPr>
        <w:rFonts w:ascii="Courier New" w:hAnsi="Courier New" w:cs="Courier New" w:hint="default"/>
      </w:rPr>
    </w:lvl>
    <w:lvl w:ilvl="8" w:tplc="10000005" w:tentative="1">
      <w:start w:val="1"/>
      <w:numFmt w:val="bullet"/>
      <w:lvlText w:val=""/>
      <w:lvlJc w:val="left"/>
      <w:pPr>
        <w:ind w:left="6120" w:hanging="360"/>
      </w:pPr>
      <w:rPr>
        <w:rFonts w:ascii="Wingdings" w:hAnsi="Wingdings" w:hint="default"/>
      </w:rPr>
    </w:lvl>
  </w:abstractNum>
  <w:abstractNum w:abstractNumId="31" w15:restartNumberingAfterBreak="0">
    <w:nsid w:val="6E7F50CF"/>
    <w:multiLevelType w:val="hybridMultilevel"/>
    <w:tmpl w:val="C0B80BFC"/>
    <w:lvl w:ilvl="0" w:tplc="20000017">
      <w:start w:val="1"/>
      <w:numFmt w:val="lowerLetter"/>
      <w:lvlText w:val="%1)"/>
      <w:lvlJc w:val="left"/>
      <w:pPr>
        <w:ind w:left="720" w:hanging="360"/>
      </w:pPr>
      <w:rPr>
        <w:rFonts w:hint="default"/>
      </w:rPr>
    </w:lvl>
    <w:lvl w:ilvl="1" w:tplc="0809001B">
      <w:start w:val="1"/>
      <w:numFmt w:val="lowerRoman"/>
      <w:lvlText w:val="%2."/>
      <w:lvlJc w:val="right"/>
      <w:pPr>
        <w:ind w:left="2623"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32" w15:restartNumberingAfterBreak="0">
    <w:nsid w:val="6FB30392"/>
    <w:multiLevelType w:val="hybridMultilevel"/>
    <w:tmpl w:val="DB1A317A"/>
    <w:lvl w:ilvl="0" w:tplc="90442228">
      <w:start w:val="1"/>
      <w:numFmt w:val="decimal"/>
      <w:pStyle w:val="Firstnumbering"/>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B36076D"/>
    <w:multiLevelType w:val="hybridMultilevel"/>
    <w:tmpl w:val="3AA2A316"/>
    <w:lvl w:ilvl="0" w:tplc="7C3A19F6">
      <w:start w:val="1"/>
      <w:numFmt w:val="lowerLetter"/>
      <w:lvlText w:val="%1)"/>
      <w:lvlJc w:val="left"/>
      <w:pPr>
        <w:ind w:left="2952" w:hanging="720"/>
      </w:pPr>
    </w:lvl>
    <w:lvl w:ilvl="1" w:tplc="08090019">
      <w:start w:val="1"/>
      <w:numFmt w:val="lowerLetter"/>
      <w:lvlText w:val="%2."/>
      <w:lvlJc w:val="left"/>
      <w:pPr>
        <w:ind w:left="3312" w:hanging="360"/>
      </w:pPr>
    </w:lvl>
    <w:lvl w:ilvl="2" w:tplc="0809001B">
      <w:start w:val="1"/>
      <w:numFmt w:val="lowerRoman"/>
      <w:lvlText w:val="%3."/>
      <w:lvlJc w:val="right"/>
      <w:pPr>
        <w:ind w:left="4032" w:hanging="180"/>
      </w:pPr>
    </w:lvl>
    <w:lvl w:ilvl="3" w:tplc="0809000F">
      <w:start w:val="1"/>
      <w:numFmt w:val="decimal"/>
      <w:lvlText w:val="%4."/>
      <w:lvlJc w:val="left"/>
      <w:pPr>
        <w:ind w:left="4752" w:hanging="360"/>
      </w:pPr>
    </w:lvl>
    <w:lvl w:ilvl="4" w:tplc="08090019">
      <w:start w:val="1"/>
      <w:numFmt w:val="lowerLetter"/>
      <w:lvlText w:val="%5."/>
      <w:lvlJc w:val="left"/>
      <w:pPr>
        <w:ind w:left="5472" w:hanging="360"/>
      </w:pPr>
    </w:lvl>
    <w:lvl w:ilvl="5" w:tplc="0809001B">
      <w:start w:val="1"/>
      <w:numFmt w:val="lowerRoman"/>
      <w:lvlText w:val="%6."/>
      <w:lvlJc w:val="right"/>
      <w:pPr>
        <w:ind w:left="6192" w:hanging="180"/>
      </w:pPr>
    </w:lvl>
    <w:lvl w:ilvl="6" w:tplc="0809000F">
      <w:start w:val="1"/>
      <w:numFmt w:val="decimal"/>
      <w:lvlText w:val="%7."/>
      <w:lvlJc w:val="left"/>
      <w:pPr>
        <w:ind w:left="6912" w:hanging="360"/>
      </w:pPr>
    </w:lvl>
    <w:lvl w:ilvl="7" w:tplc="08090019">
      <w:start w:val="1"/>
      <w:numFmt w:val="lowerLetter"/>
      <w:lvlText w:val="%8."/>
      <w:lvlJc w:val="left"/>
      <w:pPr>
        <w:ind w:left="7632" w:hanging="360"/>
      </w:pPr>
    </w:lvl>
    <w:lvl w:ilvl="8" w:tplc="0809001B">
      <w:start w:val="1"/>
      <w:numFmt w:val="lowerRoman"/>
      <w:lvlText w:val="%9."/>
      <w:lvlJc w:val="right"/>
      <w:pPr>
        <w:ind w:left="8352" w:hanging="180"/>
      </w:pPr>
    </w:lvl>
  </w:abstractNum>
  <w:num w:numId="1" w16cid:durableId="1850212786">
    <w:abstractNumId w:val="25"/>
  </w:num>
  <w:num w:numId="2" w16cid:durableId="1741906446">
    <w:abstractNumId w:val="32"/>
  </w:num>
  <w:num w:numId="3" w16cid:durableId="2132282296">
    <w:abstractNumId w:val="16"/>
  </w:num>
  <w:num w:numId="4" w16cid:durableId="308674728">
    <w:abstractNumId w:val="22"/>
  </w:num>
  <w:num w:numId="5" w16cid:durableId="1500343192">
    <w:abstractNumId w:val="13"/>
  </w:num>
  <w:num w:numId="6" w16cid:durableId="94747079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006636639">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62407616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431076726">
    <w:abstractNumId w:val="26"/>
  </w:num>
  <w:num w:numId="10" w16cid:durableId="1141927803">
    <w:abstractNumId w:val="28"/>
  </w:num>
  <w:num w:numId="11" w16cid:durableId="1738941606">
    <w:abstractNumId w:val="16"/>
    <w:lvlOverride w:ilvl="0">
      <w:startOverride w:val="1"/>
    </w:lvlOverride>
  </w:num>
  <w:num w:numId="12" w16cid:durableId="1205143147">
    <w:abstractNumId w:val="17"/>
  </w:num>
  <w:num w:numId="13" w16cid:durableId="96373390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71539882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54344577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23057282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2309595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655795158">
    <w:abstractNumId w:val="30"/>
  </w:num>
  <w:num w:numId="19" w16cid:durableId="1953243874">
    <w:abstractNumId w:val="18"/>
  </w:num>
  <w:num w:numId="20" w16cid:durableId="534318903">
    <w:abstractNumId w:val="10"/>
  </w:num>
  <w:num w:numId="21" w16cid:durableId="1619407130">
    <w:abstractNumId w:val="14"/>
  </w:num>
  <w:num w:numId="22" w16cid:durableId="1954283657">
    <w:abstractNumId w:val="21"/>
  </w:num>
  <w:num w:numId="23" w16cid:durableId="234358791">
    <w:abstractNumId w:val="15"/>
  </w:num>
  <w:num w:numId="24" w16cid:durableId="1128475085">
    <w:abstractNumId w:val="23"/>
  </w:num>
  <w:num w:numId="25" w16cid:durableId="2096244725">
    <w:abstractNumId w:val="11"/>
  </w:num>
  <w:num w:numId="26" w16cid:durableId="1600021726">
    <w:abstractNumId w:val="27"/>
  </w:num>
  <w:num w:numId="27" w16cid:durableId="725765324">
    <w:abstractNumId w:val="12"/>
  </w:num>
  <w:num w:numId="28" w16cid:durableId="1205753423">
    <w:abstractNumId w:val="31"/>
  </w:num>
  <w:num w:numId="29" w16cid:durableId="1871454848">
    <w:abstractNumId w:val="9"/>
  </w:num>
  <w:num w:numId="30" w16cid:durableId="1227449466">
    <w:abstractNumId w:val="7"/>
  </w:num>
  <w:num w:numId="31" w16cid:durableId="1611931056">
    <w:abstractNumId w:val="6"/>
  </w:num>
  <w:num w:numId="32" w16cid:durableId="661667555">
    <w:abstractNumId w:val="5"/>
  </w:num>
  <w:num w:numId="33" w16cid:durableId="1458917160">
    <w:abstractNumId w:val="4"/>
  </w:num>
  <w:num w:numId="34" w16cid:durableId="1832520971">
    <w:abstractNumId w:val="8"/>
  </w:num>
  <w:num w:numId="35" w16cid:durableId="172884940">
    <w:abstractNumId w:val="3"/>
  </w:num>
  <w:num w:numId="36" w16cid:durableId="1473056241">
    <w:abstractNumId w:val="2"/>
  </w:num>
  <w:num w:numId="37" w16cid:durableId="1999142181">
    <w:abstractNumId w:val="1"/>
  </w:num>
  <w:num w:numId="38" w16cid:durableId="117534165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397"/>
  <w:hyphenationZone w:val="425"/>
  <w:evenAndOddHeaders/>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0DE9"/>
    <w:rsid w:val="00000A60"/>
    <w:rsid w:val="00000C44"/>
    <w:rsid w:val="00001C36"/>
    <w:rsid w:val="000036AC"/>
    <w:rsid w:val="00003BF0"/>
    <w:rsid w:val="00003FB7"/>
    <w:rsid w:val="00005A73"/>
    <w:rsid w:val="00005AC9"/>
    <w:rsid w:val="00006EB1"/>
    <w:rsid w:val="00010532"/>
    <w:rsid w:val="00010670"/>
    <w:rsid w:val="000117FB"/>
    <w:rsid w:val="00011B61"/>
    <w:rsid w:val="0001212C"/>
    <w:rsid w:val="000129E8"/>
    <w:rsid w:val="000144D0"/>
    <w:rsid w:val="00014725"/>
    <w:rsid w:val="00015104"/>
    <w:rsid w:val="000152C7"/>
    <w:rsid w:val="0001623C"/>
    <w:rsid w:val="000169AA"/>
    <w:rsid w:val="000174FE"/>
    <w:rsid w:val="000200EA"/>
    <w:rsid w:val="000203FE"/>
    <w:rsid w:val="0002091D"/>
    <w:rsid w:val="00020FE1"/>
    <w:rsid w:val="00022963"/>
    <w:rsid w:val="00022B38"/>
    <w:rsid w:val="00025FC4"/>
    <w:rsid w:val="000266C9"/>
    <w:rsid w:val="00027779"/>
    <w:rsid w:val="00034C3A"/>
    <w:rsid w:val="00035427"/>
    <w:rsid w:val="000404CD"/>
    <w:rsid w:val="000409D6"/>
    <w:rsid w:val="00043968"/>
    <w:rsid w:val="00043A7F"/>
    <w:rsid w:val="000443CF"/>
    <w:rsid w:val="0005407E"/>
    <w:rsid w:val="00055C4D"/>
    <w:rsid w:val="000568F0"/>
    <w:rsid w:val="00057FEF"/>
    <w:rsid w:val="0006194C"/>
    <w:rsid w:val="00061C26"/>
    <w:rsid w:val="00067769"/>
    <w:rsid w:val="0007280C"/>
    <w:rsid w:val="00073178"/>
    <w:rsid w:val="00074010"/>
    <w:rsid w:val="00076C8C"/>
    <w:rsid w:val="00077321"/>
    <w:rsid w:val="000832B6"/>
    <w:rsid w:val="00084324"/>
    <w:rsid w:val="00090945"/>
    <w:rsid w:val="00093C99"/>
    <w:rsid w:val="000954C8"/>
    <w:rsid w:val="00095CCD"/>
    <w:rsid w:val="0009682E"/>
    <w:rsid w:val="00097910"/>
    <w:rsid w:val="00097DC0"/>
    <w:rsid w:val="000A0593"/>
    <w:rsid w:val="000A1948"/>
    <w:rsid w:val="000A1C9E"/>
    <w:rsid w:val="000A1E85"/>
    <w:rsid w:val="000A2076"/>
    <w:rsid w:val="000A55E7"/>
    <w:rsid w:val="000A694E"/>
    <w:rsid w:val="000B2491"/>
    <w:rsid w:val="000B59A3"/>
    <w:rsid w:val="000B6AD2"/>
    <w:rsid w:val="000B7239"/>
    <w:rsid w:val="000B769B"/>
    <w:rsid w:val="000C127E"/>
    <w:rsid w:val="000C1BE3"/>
    <w:rsid w:val="000C349E"/>
    <w:rsid w:val="000C54A2"/>
    <w:rsid w:val="000C5698"/>
    <w:rsid w:val="000C61F2"/>
    <w:rsid w:val="000C6F2D"/>
    <w:rsid w:val="000D07FC"/>
    <w:rsid w:val="000D318F"/>
    <w:rsid w:val="000D3345"/>
    <w:rsid w:val="000D384B"/>
    <w:rsid w:val="000E0FF2"/>
    <w:rsid w:val="000E1DA8"/>
    <w:rsid w:val="000E52B8"/>
    <w:rsid w:val="000E628D"/>
    <w:rsid w:val="000E6490"/>
    <w:rsid w:val="000F0A47"/>
    <w:rsid w:val="000F25B4"/>
    <w:rsid w:val="000F2798"/>
    <w:rsid w:val="000F2B4C"/>
    <w:rsid w:val="000F2F72"/>
    <w:rsid w:val="000F47D7"/>
    <w:rsid w:val="000F516A"/>
    <w:rsid w:val="000F5270"/>
    <w:rsid w:val="0010032F"/>
    <w:rsid w:val="00101868"/>
    <w:rsid w:val="001018D7"/>
    <w:rsid w:val="00104055"/>
    <w:rsid w:val="00105782"/>
    <w:rsid w:val="001059CC"/>
    <w:rsid w:val="00112A9B"/>
    <w:rsid w:val="00116238"/>
    <w:rsid w:val="00116A6A"/>
    <w:rsid w:val="001202C2"/>
    <w:rsid w:val="001208D0"/>
    <w:rsid w:val="001218D1"/>
    <w:rsid w:val="0012279F"/>
    <w:rsid w:val="00122E42"/>
    <w:rsid w:val="00133714"/>
    <w:rsid w:val="0013390B"/>
    <w:rsid w:val="001347B0"/>
    <w:rsid w:val="0013666F"/>
    <w:rsid w:val="001371D7"/>
    <w:rsid w:val="0013732D"/>
    <w:rsid w:val="00140173"/>
    <w:rsid w:val="001404F7"/>
    <w:rsid w:val="00140871"/>
    <w:rsid w:val="001416DF"/>
    <w:rsid w:val="0014295F"/>
    <w:rsid w:val="00143828"/>
    <w:rsid w:val="00144C46"/>
    <w:rsid w:val="00145408"/>
    <w:rsid w:val="00146013"/>
    <w:rsid w:val="00150A6B"/>
    <w:rsid w:val="00150BFE"/>
    <w:rsid w:val="00151367"/>
    <w:rsid w:val="00152267"/>
    <w:rsid w:val="0015513F"/>
    <w:rsid w:val="001578F4"/>
    <w:rsid w:val="001619F5"/>
    <w:rsid w:val="0016229D"/>
    <w:rsid w:val="00162778"/>
    <w:rsid w:val="00162DC5"/>
    <w:rsid w:val="00162FB8"/>
    <w:rsid w:val="0016310F"/>
    <w:rsid w:val="00163969"/>
    <w:rsid w:val="0016480E"/>
    <w:rsid w:val="00164EEE"/>
    <w:rsid w:val="00166A0F"/>
    <w:rsid w:val="00170111"/>
    <w:rsid w:val="00170B83"/>
    <w:rsid w:val="00170D81"/>
    <w:rsid w:val="0017266D"/>
    <w:rsid w:val="00172C0D"/>
    <w:rsid w:val="001746AA"/>
    <w:rsid w:val="0017513E"/>
    <w:rsid w:val="00176128"/>
    <w:rsid w:val="00176B61"/>
    <w:rsid w:val="00176F8E"/>
    <w:rsid w:val="001801F7"/>
    <w:rsid w:val="0018097B"/>
    <w:rsid w:val="00181990"/>
    <w:rsid w:val="00181A4C"/>
    <w:rsid w:val="00182BEF"/>
    <w:rsid w:val="001830F7"/>
    <w:rsid w:val="00183267"/>
    <w:rsid w:val="00185B0B"/>
    <w:rsid w:val="00186565"/>
    <w:rsid w:val="00187E2C"/>
    <w:rsid w:val="0019304D"/>
    <w:rsid w:val="001931D5"/>
    <w:rsid w:val="00193317"/>
    <w:rsid w:val="00196CBC"/>
    <w:rsid w:val="001970B7"/>
    <w:rsid w:val="001A04CC"/>
    <w:rsid w:val="001A0BBF"/>
    <w:rsid w:val="001A0CBA"/>
    <w:rsid w:val="001A2ED9"/>
    <w:rsid w:val="001A363F"/>
    <w:rsid w:val="001A61A0"/>
    <w:rsid w:val="001B0F31"/>
    <w:rsid w:val="001B3537"/>
    <w:rsid w:val="001B4334"/>
    <w:rsid w:val="001B5B73"/>
    <w:rsid w:val="001B5BF8"/>
    <w:rsid w:val="001B6E73"/>
    <w:rsid w:val="001B7150"/>
    <w:rsid w:val="001B7A48"/>
    <w:rsid w:val="001C22D6"/>
    <w:rsid w:val="001C31E2"/>
    <w:rsid w:val="001C39B0"/>
    <w:rsid w:val="001C3EC5"/>
    <w:rsid w:val="001C6814"/>
    <w:rsid w:val="001C6ADF"/>
    <w:rsid w:val="001C6BAC"/>
    <w:rsid w:val="001D0402"/>
    <w:rsid w:val="001D3103"/>
    <w:rsid w:val="001D55E8"/>
    <w:rsid w:val="001D778C"/>
    <w:rsid w:val="001D78C9"/>
    <w:rsid w:val="001E014C"/>
    <w:rsid w:val="001E1BE9"/>
    <w:rsid w:val="001E2C76"/>
    <w:rsid w:val="001E322C"/>
    <w:rsid w:val="001E3AF3"/>
    <w:rsid w:val="001E50C2"/>
    <w:rsid w:val="001E62A1"/>
    <w:rsid w:val="001F18C9"/>
    <w:rsid w:val="001F51B1"/>
    <w:rsid w:val="001F6567"/>
    <w:rsid w:val="001F7D81"/>
    <w:rsid w:val="00200200"/>
    <w:rsid w:val="00201DFA"/>
    <w:rsid w:val="00203634"/>
    <w:rsid w:val="00203706"/>
    <w:rsid w:val="00204D0F"/>
    <w:rsid w:val="0020528E"/>
    <w:rsid w:val="00206CF2"/>
    <w:rsid w:val="00207DA7"/>
    <w:rsid w:val="00211AF7"/>
    <w:rsid w:val="00212F06"/>
    <w:rsid w:val="002138F1"/>
    <w:rsid w:val="002160FC"/>
    <w:rsid w:val="00221A66"/>
    <w:rsid w:val="00222DE7"/>
    <w:rsid w:val="00224AAD"/>
    <w:rsid w:val="00226A80"/>
    <w:rsid w:val="00227D70"/>
    <w:rsid w:val="00227DDC"/>
    <w:rsid w:val="00230793"/>
    <w:rsid w:val="002316F6"/>
    <w:rsid w:val="002317B6"/>
    <w:rsid w:val="0023200D"/>
    <w:rsid w:val="00232A05"/>
    <w:rsid w:val="00233C99"/>
    <w:rsid w:val="002343EF"/>
    <w:rsid w:val="00234F8B"/>
    <w:rsid w:val="0023737D"/>
    <w:rsid w:val="00240F90"/>
    <w:rsid w:val="00244A10"/>
    <w:rsid w:val="0024754C"/>
    <w:rsid w:val="00247715"/>
    <w:rsid w:val="00247AD3"/>
    <w:rsid w:val="0025102E"/>
    <w:rsid w:val="002511D6"/>
    <w:rsid w:val="002528EB"/>
    <w:rsid w:val="00252987"/>
    <w:rsid w:val="00252BC7"/>
    <w:rsid w:val="00253400"/>
    <w:rsid w:val="00253763"/>
    <w:rsid w:val="00257A8F"/>
    <w:rsid w:val="00257F9E"/>
    <w:rsid w:val="00261AAD"/>
    <w:rsid w:val="002628E0"/>
    <w:rsid w:val="00262CC3"/>
    <w:rsid w:val="002701CF"/>
    <w:rsid w:val="00271EB4"/>
    <w:rsid w:val="00274219"/>
    <w:rsid w:val="0027617B"/>
    <w:rsid w:val="002806BC"/>
    <w:rsid w:val="002815B3"/>
    <w:rsid w:val="00281B9F"/>
    <w:rsid w:val="00285BF1"/>
    <w:rsid w:val="00285FD9"/>
    <w:rsid w:val="00287AB5"/>
    <w:rsid w:val="00291321"/>
    <w:rsid w:val="002919CC"/>
    <w:rsid w:val="002937A8"/>
    <w:rsid w:val="002938F7"/>
    <w:rsid w:val="0029443E"/>
    <w:rsid w:val="002A012C"/>
    <w:rsid w:val="002A0571"/>
    <w:rsid w:val="002A22C6"/>
    <w:rsid w:val="002A41DB"/>
    <w:rsid w:val="002A4D48"/>
    <w:rsid w:val="002A4F51"/>
    <w:rsid w:val="002A579D"/>
    <w:rsid w:val="002A5FBA"/>
    <w:rsid w:val="002A6121"/>
    <w:rsid w:val="002A6459"/>
    <w:rsid w:val="002A7E41"/>
    <w:rsid w:val="002B2FDD"/>
    <w:rsid w:val="002B6644"/>
    <w:rsid w:val="002B762C"/>
    <w:rsid w:val="002C01EB"/>
    <w:rsid w:val="002C0784"/>
    <w:rsid w:val="002C2409"/>
    <w:rsid w:val="002C253B"/>
    <w:rsid w:val="002C5339"/>
    <w:rsid w:val="002C6863"/>
    <w:rsid w:val="002C6BD6"/>
    <w:rsid w:val="002C7F2B"/>
    <w:rsid w:val="002D15AA"/>
    <w:rsid w:val="002D4EE1"/>
    <w:rsid w:val="002D6582"/>
    <w:rsid w:val="002D79B2"/>
    <w:rsid w:val="002E019C"/>
    <w:rsid w:val="002E0DE9"/>
    <w:rsid w:val="002E34A9"/>
    <w:rsid w:val="002E6D90"/>
    <w:rsid w:val="002E7316"/>
    <w:rsid w:val="002E7896"/>
    <w:rsid w:val="002F038A"/>
    <w:rsid w:val="002F0461"/>
    <w:rsid w:val="002F221A"/>
    <w:rsid w:val="002F2E52"/>
    <w:rsid w:val="002F34D7"/>
    <w:rsid w:val="002F40B2"/>
    <w:rsid w:val="002F5AE8"/>
    <w:rsid w:val="002F626A"/>
    <w:rsid w:val="00300505"/>
    <w:rsid w:val="00303967"/>
    <w:rsid w:val="00303B10"/>
    <w:rsid w:val="00305D45"/>
    <w:rsid w:val="00307F8D"/>
    <w:rsid w:val="00310487"/>
    <w:rsid w:val="00310B43"/>
    <w:rsid w:val="0031297E"/>
    <w:rsid w:val="00312B74"/>
    <w:rsid w:val="00314D87"/>
    <w:rsid w:val="00314F4A"/>
    <w:rsid w:val="00315CC6"/>
    <w:rsid w:val="003176C3"/>
    <w:rsid w:val="00322248"/>
    <w:rsid w:val="0032288A"/>
    <w:rsid w:val="003228C6"/>
    <w:rsid w:val="00326A7F"/>
    <w:rsid w:val="00326E7C"/>
    <w:rsid w:val="00330FE6"/>
    <w:rsid w:val="00331C8B"/>
    <w:rsid w:val="003349F4"/>
    <w:rsid w:val="0033561D"/>
    <w:rsid w:val="00337559"/>
    <w:rsid w:val="003377A9"/>
    <w:rsid w:val="0034184F"/>
    <w:rsid w:val="00344320"/>
    <w:rsid w:val="00345282"/>
    <w:rsid w:val="00347406"/>
    <w:rsid w:val="00347900"/>
    <w:rsid w:val="00350C21"/>
    <w:rsid w:val="003511DF"/>
    <w:rsid w:val="003512C0"/>
    <w:rsid w:val="003535ED"/>
    <w:rsid w:val="003558C1"/>
    <w:rsid w:val="00357517"/>
    <w:rsid w:val="00360838"/>
    <w:rsid w:val="00360A96"/>
    <w:rsid w:val="003628FE"/>
    <w:rsid w:val="003633ED"/>
    <w:rsid w:val="00363C55"/>
    <w:rsid w:val="00371DE1"/>
    <w:rsid w:val="00372AE2"/>
    <w:rsid w:val="0037371C"/>
    <w:rsid w:val="00373864"/>
    <w:rsid w:val="00375228"/>
    <w:rsid w:val="003778A7"/>
    <w:rsid w:val="00382268"/>
    <w:rsid w:val="00383651"/>
    <w:rsid w:val="00385323"/>
    <w:rsid w:val="003868E5"/>
    <w:rsid w:val="003873E2"/>
    <w:rsid w:val="00387F46"/>
    <w:rsid w:val="00392513"/>
    <w:rsid w:val="00393A86"/>
    <w:rsid w:val="00393BA3"/>
    <w:rsid w:val="00393F28"/>
    <w:rsid w:val="003966D0"/>
    <w:rsid w:val="00397407"/>
    <w:rsid w:val="003A1BE9"/>
    <w:rsid w:val="003A2F77"/>
    <w:rsid w:val="003A5AF9"/>
    <w:rsid w:val="003A67D5"/>
    <w:rsid w:val="003A712B"/>
    <w:rsid w:val="003B01F2"/>
    <w:rsid w:val="003B043E"/>
    <w:rsid w:val="003B1221"/>
    <w:rsid w:val="003B154A"/>
    <w:rsid w:val="003B1968"/>
    <w:rsid w:val="003B1ACB"/>
    <w:rsid w:val="003B1EC5"/>
    <w:rsid w:val="003B26DA"/>
    <w:rsid w:val="003B2E5F"/>
    <w:rsid w:val="003B3523"/>
    <w:rsid w:val="003B48F6"/>
    <w:rsid w:val="003B51B0"/>
    <w:rsid w:val="003B7C41"/>
    <w:rsid w:val="003C2407"/>
    <w:rsid w:val="003C3486"/>
    <w:rsid w:val="003C4C2F"/>
    <w:rsid w:val="003C51BF"/>
    <w:rsid w:val="003C5D0F"/>
    <w:rsid w:val="003C6A77"/>
    <w:rsid w:val="003C6B58"/>
    <w:rsid w:val="003C7FCF"/>
    <w:rsid w:val="003D0574"/>
    <w:rsid w:val="003D3041"/>
    <w:rsid w:val="003D4D50"/>
    <w:rsid w:val="003D5D52"/>
    <w:rsid w:val="003D736C"/>
    <w:rsid w:val="003D7E70"/>
    <w:rsid w:val="003E01BC"/>
    <w:rsid w:val="003E0F1E"/>
    <w:rsid w:val="003E1474"/>
    <w:rsid w:val="003E31B8"/>
    <w:rsid w:val="003E3C7F"/>
    <w:rsid w:val="003E4B27"/>
    <w:rsid w:val="003E5EFB"/>
    <w:rsid w:val="003F2777"/>
    <w:rsid w:val="003F3BF2"/>
    <w:rsid w:val="003F3D7B"/>
    <w:rsid w:val="003F694A"/>
    <w:rsid w:val="003F778B"/>
    <w:rsid w:val="00400D3D"/>
    <w:rsid w:val="004032C6"/>
    <w:rsid w:val="004035B4"/>
    <w:rsid w:val="00403FCE"/>
    <w:rsid w:val="00407376"/>
    <w:rsid w:val="004151FD"/>
    <w:rsid w:val="00416522"/>
    <w:rsid w:val="00420F1D"/>
    <w:rsid w:val="004224F8"/>
    <w:rsid w:val="004242DD"/>
    <w:rsid w:val="00424EEB"/>
    <w:rsid w:val="004258E5"/>
    <w:rsid w:val="00426D27"/>
    <w:rsid w:val="00427244"/>
    <w:rsid w:val="00427942"/>
    <w:rsid w:val="00431CC2"/>
    <w:rsid w:val="004326EE"/>
    <w:rsid w:val="00436BD4"/>
    <w:rsid w:val="004416C6"/>
    <w:rsid w:val="00443868"/>
    <w:rsid w:val="004466DF"/>
    <w:rsid w:val="00447C62"/>
    <w:rsid w:val="004517BA"/>
    <w:rsid w:val="004523F1"/>
    <w:rsid w:val="00456122"/>
    <w:rsid w:val="004565C0"/>
    <w:rsid w:val="0045667D"/>
    <w:rsid w:val="0046177A"/>
    <w:rsid w:val="004635D8"/>
    <w:rsid w:val="00464ADB"/>
    <w:rsid w:val="004651AA"/>
    <w:rsid w:val="00465FA4"/>
    <w:rsid w:val="0047360B"/>
    <w:rsid w:val="00473E12"/>
    <w:rsid w:val="00475AD9"/>
    <w:rsid w:val="00475E0B"/>
    <w:rsid w:val="0047653F"/>
    <w:rsid w:val="004768A9"/>
    <w:rsid w:val="00480BA8"/>
    <w:rsid w:val="00480FBF"/>
    <w:rsid w:val="0048118D"/>
    <w:rsid w:val="00482110"/>
    <w:rsid w:val="00484E68"/>
    <w:rsid w:val="00485B6A"/>
    <w:rsid w:val="00486510"/>
    <w:rsid w:val="004871AB"/>
    <w:rsid w:val="00490CAF"/>
    <w:rsid w:val="00491440"/>
    <w:rsid w:val="004928ED"/>
    <w:rsid w:val="00492F31"/>
    <w:rsid w:val="00493463"/>
    <w:rsid w:val="004944E4"/>
    <w:rsid w:val="00494F96"/>
    <w:rsid w:val="00495D18"/>
    <w:rsid w:val="00497887"/>
    <w:rsid w:val="004A0BCF"/>
    <w:rsid w:val="004A120F"/>
    <w:rsid w:val="004A1A02"/>
    <w:rsid w:val="004A1A73"/>
    <w:rsid w:val="004A23A3"/>
    <w:rsid w:val="004A3E57"/>
    <w:rsid w:val="004A4511"/>
    <w:rsid w:val="004A5573"/>
    <w:rsid w:val="004A6B46"/>
    <w:rsid w:val="004B24E1"/>
    <w:rsid w:val="004B372D"/>
    <w:rsid w:val="004B5DB4"/>
    <w:rsid w:val="004B7071"/>
    <w:rsid w:val="004B75D6"/>
    <w:rsid w:val="004C0759"/>
    <w:rsid w:val="004C10FE"/>
    <w:rsid w:val="004C1144"/>
    <w:rsid w:val="004C2394"/>
    <w:rsid w:val="004C2B3F"/>
    <w:rsid w:val="004C4CF8"/>
    <w:rsid w:val="004C4D08"/>
    <w:rsid w:val="004D12BB"/>
    <w:rsid w:val="004D2FD8"/>
    <w:rsid w:val="004E008A"/>
    <w:rsid w:val="004E030C"/>
    <w:rsid w:val="004E264F"/>
    <w:rsid w:val="004E7A69"/>
    <w:rsid w:val="004F25B9"/>
    <w:rsid w:val="004F40A8"/>
    <w:rsid w:val="004F4983"/>
    <w:rsid w:val="004F6C8E"/>
    <w:rsid w:val="004F7D3D"/>
    <w:rsid w:val="00500B0D"/>
    <w:rsid w:val="005039F6"/>
    <w:rsid w:val="00503B3F"/>
    <w:rsid w:val="00504299"/>
    <w:rsid w:val="005051B7"/>
    <w:rsid w:val="00510112"/>
    <w:rsid w:val="005115B4"/>
    <w:rsid w:val="0051382E"/>
    <w:rsid w:val="005150A0"/>
    <w:rsid w:val="005216FD"/>
    <w:rsid w:val="005226EB"/>
    <w:rsid w:val="005235E2"/>
    <w:rsid w:val="00525E6F"/>
    <w:rsid w:val="005260F8"/>
    <w:rsid w:val="00526B85"/>
    <w:rsid w:val="00527F3D"/>
    <w:rsid w:val="005328E8"/>
    <w:rsid w:val="005330F7"/>
    <w:rsid w:val="005343E8"/>
    <w:rsid w:val="00535E7E"/>
    <w:rsid w:val="005360C5"/>
    <w:rsid w:val="00536E61"/>
    <w:rsid w:val="005377D0"/>
    <w:rsid w:val="00537F4E"/>
    <w:rsid w:val="0054076F"/>
    <w:rsid w:val="00540CCF"/>
    <w:rsid w:val="00543AB9"/>
    <w:rsid w:val="005444C7"/>
    <w:rsid w:val="005457D7"/>
    <w:rsid w:val="00545CBB"/>
    <w:rsid w:val="005502DC"/>
    <w:rsid w:val="0055052F"/>
    <w:rsid w:val="005513C3"/>
    <w:rsid w:val="005522AC"/>
    <w:rsid w:val="00557274"/>
    <w:rsid w:val="005575D0"/>
    <w:rsid w:val="00557BAE"/>
    <w:rsid w:val="005609C7"/>
    <w:rsid w:val="00561107"/>
    <w:rsid w:val="00561486"/>
    <w:rsid w:val="00562A3C"/>
    <w:rsid w:val="00563598"/>
    <w:rsid w:val="00564676"/>
    <w:rsid w:val="005660CB"/>
    <w:rsid w:val="00567FCA"/>
    <w:rsid w:val="005702D6"/>
    <w:rsid w:val="005720C7"/>
    <w:rsid w:val="005723E0"/>
    <w:rsid w:val="005747BC"/>
    <w:rsid w:val="00574B8A"/>
    <w:rsid w:val="00575E04"/>
    <w:rsid w:val="00577D48"/>
    <w:rsid w:val="00585842"/>
    <w:rsid w:val="00585B02"/>
    <w:rsid w:val="00586BC9"/>
    <w:rsid w:val="00587DDB"/>
    <w:rsid w:val="005910C4"/>
    <w:rsid w:val="005919A1"/>
    <w:rsid w:val="005936F4"/>
    <w:rsid w:val="00593E15"/>
    <w:rsid w:val="00594282"/>
    <w:rsid w:val="00597C3E"/>
    <w:rsid w:val="005A0616"/>
    <w:rsid w:val="005A09CF"/>
    <w:rsid w:val="005A1961"/>
    <w:rsid w:val="005A1AE1"/>
    <w:rsid w:val="005A2951"/>
    <w:rsid w:val="005A416A"/>
    <w:rsid w:val="005A549D"/>
    <w:rsid w:val="005A69C0"/>
    <w:rsid w:val="005A7877"/>
    <w:rsid w:val="005A7A3F"/>
    <w:rsid w:val="005B01C7"/>
    <w:rsid w:val="005B0397"/>
    <w:rsid w:val="005B03DB"/>
    <w:rsid w:val="005B08FC"/>
    <w:rsid w:val="005B2A32"/>
    <w:rsid w:val="005B3E93"/>
    <w:rsid w:val="005B46BD"/>
    <w:rsid w:val="005B4886"/>
    <w:rsid w:val="005B6D92"/>
    <w:rsid w:val="005B6F13"/>
    <w:rsid w:val="005C070B"/>
    <w:rsid w:val="005C0E5E"/>
    <w:rsid w:val="005C13E0"/>
    <w:rsid w:val="005C1407"/>
    <w:rsid w:val="005C50A0"/>
    <w:rsid w:val="005C5792"/>
    <w:rsid w:val="005C6F25"/>
    <w:rsid w:val="005C76F4"/>
    <w:rsid w:val="005C7A8A"/>
    <w:rsid w:val="005D3636"/>
    <w:rsid w:val="005D488F"/>
    <w:rsid w:val="005D4C13"/>
    <w:rsid w:val="005D4CDE"/>
    <w:rsid w:val="005D5877"/>
    <w:rsid w:val="005D65E8"/>
    <w:rsid w:val="005D72DE"/>
    <w:rsid w:val="005D7A85"/>
    <w:rsid w:val="005E0CEF"/>
    <w:rsid w:val="005E0EE6"/>
    <w:rsid w:val="005E4E59"/>
    <w:rsid w:val="005E5206"/>
    <w:rsid w:val="005E54AB"/>
    <w:rsid w:val="005E5B11"/>
    <w:rsid w:val="005E66DE"/>
    <w:rsid w:val="005E75A8"/>
    <w:rsid w:val="005F098B"/>
    <w:rsid w:val="005F1944"/>
    <w:rsid w:val="005F20B7"/>
    <w:rsid w:val="005F29FC"/>
    <w:rsid w:val="005F52BD"/>
    <w:rsid w:val="005F59F4"/>
    <w:rsid w:val="005F5B5C"/>
    <w:rsid w:val="006002BE"/>
    <w:rsid w:val="0060124A"/>
    <w:rsid w:val="0060360A"/>
    <w:rsid w:val="006049ED"/>
    <w:rsid w:val="00604C19"/>
    <w:rsid w:val="006100C4"/>
    <w:rsid w:val="006107BC"/>
    <w:rsid w:val="00613329"/>
    <w:rsid w:val="0061379A"/>
    <w:rsid w:val="0061381B"/>
    <w:rsid w:val="00614606"/>
    <w:rsid w:val="00616B8F"/>
    <w:rsid w:val="00616CC4"/>
    <w:rsid w:val="00616CE2"/>
    <w:rsid w:val="00616DE6"/>
    <w:rsid w:val="006200F1"/>
    <w:rsid w:val="00620EE4"/>
    <w:rsid w:val="0062206C"/>
    <w:rsid w:val="006222F7"/>
    <w:rsid w:val="006224E4"/>
    <w:rsid w:val="00622876"/>
    <w:rsid w:val="00624087"/>
    <w:rsid w:val="00625A04"/>
    <w:rsid w:val="006263B2"/>
    <w:rsid w:val="0063026B"/>
    <w:rsid w:val="00634069"/>
    <w:rsid w:val="006357CE"/>
    <w:rsid w:val="00636698"/>
    <w:rsid w:val="006370E4"/>
    <w:rsid w:val="006372CE"/>
    <w:rsid w:val="00643C78"/>
    <w:rsid w:val="006440D1"/>
    <w:rsid w:val="00644DB2"/>
    <w:rsid w:val="006455F3"/>
    <w:rsid w:val="0064570C"/>
    <w:rsid w:val="00652352"/>
    <w:rsid w:val="00652364"/>
    <w:rsid w:val="006607B0"/>
    <w:rsid w:val="006615FB"/>
    <w:rsid w:val="00661875"/>
    <w:rsid w:val="006624AC"/>
    <w:rsid w:val="006627E3"/>
    <w:rsid w:val="00674208"/>
    <w:rsid w:val="006757D3"/>
    <w:rsid w:val="00676499"/>
    <w:rsid w:val="00676AE7"/>
    <w:rsid w:val="00677FF9"/>
    <w:rsid w:val="0068076B"/>
    <w:rsid w:val="00680BF3"/>
    <w:rsid w:val="00680E7C"/>
    <w:rsid w:val="00681650"/>
    <w:rsid w:val="006831AC"/>
    <w:rsid w:val="00684DB1"/>
    <w:rsid w:val="0068654B"/>
    <w:rsid w:val="006908AC"/>
    <w:rsid w:val="006908B6"/>
    <w:rsid w:val="006919C0"/>
    <w:rsid w:val="006923BC"/>
    <w:rsid w:val="00692D2E"/>
    <w:rsid w:val="00695AAD"/>
    <w:rsid w:val="00696F00"/>
    <w:rsid w:val="0069797E"/>
    <w:rsid w:val="006A1B3D"/>
    <w:rsid w:val="006A2283"/>
    <w:rsid w:val="006A3E41"/>
    <w:rsid w:val="006A4FE8"/>
    <w:rsid w:val="006A5009"/>
    <w:rsid w:val="006A5C56"/>
    <w:rsid w:val="006A5E66"/>
    <w:rsid w:val="006A79BD"/>
    <w:rsid w:val="006B045F"/>
    <w:rsid w:val="006B0A2D"/>
    <w:rsid w:val="006B179B"/>
    <w:rsid w:val="006B416B"/>
    <w:rsid w:val="006B432F"/>
    <w:rsid w:val="006B5093"/>
    <w:rsid w:val="006B6B9C"/>
    <w:rsid w:val="006B6F5F"/>
    <w:rsid w:val="006B7B7A"/>
    <w:rsid w:val="006C2B49"/>
    <w:rsid w:val="006C2B81"/>
    <w:rsid w:val="006C2FE6"/>
    <w:rsid w:val="006C4FCA"/>
    <w:rsid w:val="006C5186"/>
    <w:rsid w:val="006C6905"/>
    <w:rsid w:val="006D1DC3"/>
    <w:rsid w:val="006D1F82"/>
    <w:rsid w:val="006D2AEB"/>
    <w:rsid w:val="006D30D5"/>
    <w:rsid w:val="006D3EC4"/>
    <w:rsid w:val="006D3EDC"/>
    <w:rsid w:val="006D51AE"/>
    <w:rsid w:val="006D66FC"/>
    <w:rsid w:val="006E03C5"/>
    <w:rsid w:val="006E0D55"/>
    <w:rsid w:val="006E1A0F"/>
    <w:rsid w:val="006E2464"/>
    <w:rsid w:val="006E30D5"/>
    <w:rsid w:val="006E31FE"/>
    <w:rsid w:val="006E349C"/>
    <w:rsid w:val="006E50B8"/>
    <w:rsid w:val="006E54E5"/>
    <w:rsid w:val="006E6C4F"/>
    <w:rsid w:val="006E7FE0"/>
    <w:rsid w:val="006F0AEA"/>
    <w:rsid w:val="006F25C2"/>
    <w:rsid w:val="006F2734"/>
    <w:rsid w:val="006F2825"/>
    <w:rsid w:val="006F4969"/>
    <w:rsid w:val="006F545A"/>
    <w:rsid w:val="006F7228"/>
    <w:rsid w:val="006F72D6"/>
    <w:rsid w:val="006F77C0"/>
    <w:rsid w:val="00701DC0"/>
    <w:rsid w:val="00702EBE"/>
    <w:rsid w:val="007054BD"/>
    <w:rsid w:val="0070601F"/>
    <w:rsid w:val="00706C2F"/>
    <w:rsid w:val="00707959"/>
    <w:rsid w:val="00707CF0"/>
    <w:rsid w:val="00710836"/>
    <w:rsid w:val="00711A29"/>
    <w:rsid w:val="007147CB"/>
    <w:rsid w:val="00714DD0"/>
    <w:rsid w:val="007157E3"/>
    <w:rsid w:val="0072127B"/>
    <w:rsid w:val="00721892"/>
    <w:rsid w:val="00723E7F"/>
    <w:rsid w:val="00726F49"/>
    <w:rsid w:val="0073086A"/>
    <w:rsid w:val="00732954"/>
    <w:rsid w:val="00732E04"/>
    <w:rsid w:val="0073464A"/>
    <w:rsid w:val="00734BAA"/>
    <w:rsid w:val="00736CCE"/>
    <w:rsid w:val="00736F16"/>
    <w:rsid w:val="00747B89"/>
    <w:rsid w:val="00754191"/>
    <w:rsid w:val="0075434D"/>
    <w:rsid w:val="00754EFD"/>
    <w:rsid w:val="007572E4"/>
    <w:rsid w:val="0076200D"/>
    <w:rsid w:val="007637BD"/>
    <w:rsid w:val="00764BA2"/>
    <w:rsid w:val="00764BF4"/>
    <w:rsid w:val="00765079"/>
    <w:rsid w:val="007658F8"/>
    <w:rsid w:val="00771196"/>
    <w:rsid w:val="00772B03"/>
    <w:rsid w:val="00773B92"/>
    <w:rsid w:val="007749E5"/>
    <w:rsid w:val="00775FC9"/>
    <w:rsid w:val="00776A88"/>
    <w:rsid w:val="00776DA7"/>
    <w:rsid w:val="00776F9B"/>
    <w:rsid w:val="0078093E"/>
    <w:rsid w:val="00781555"/>
    <w:rsid w:val="007823DF"/>
    <w:rsid w:val="007843F7"/>
    <w:rsid w:val="00786EFB"/>
    <w:rsid w:val="0078743F"/>
    <w:rsid w:val="0078770E"/>
    <w:rsid w:val="007901A0"/>
    <w:rsid w:val="00791563"/>
    <w:rsid w:val="0079280D"/>
    <w:rsid w:val="00792829"/>
    <w:rsid w:val="00792CEE"/>
    <w:rsid w:val="00793CA5"/>
    <w:rsid w:val="00793CEF"/>
    <w:rsid w:val="00794238"/>
    <w:rsid w:val="007A5A8F"/>
    <w:rsid w:val="007A7EAF"/>
    <w:rsid w:val="007B1BBD"/>
    <w:rsid w:val="007B24FD"/>
    <w:rsid w:val="007B53A1"/>
    <w:rsid w:val="007C2369"/>
    <w:rsid w:val="007C2BC6"/>
    <w:rsid w:val="007C3821"/>
    <w:rsid w:val="007C393D"/>
    <w:rsid w:val="007C6116"/>
    <w:rsid w:val="007C6630"/>
    <w:rsid w:val="007C666D"/>
    <w:rsid w:val="007C784C"/>
    <w:rsid w:val="007C7C7E"/>
    <w:rsid w:val="007C7DD6"/>
    <w:rsid w:val="007D09F6"/>
    <w:rsid w:val="007D1393"/>
    <w:rsid w:val="007D1A49"/>
    <w:rsid w:val="007D44EA"/>
    <w:rsid w:val="007D4BB9"/>
    <w:rsid w:val="007D6A21"/>
    <w:rsid w:val="007D6F12"/>
    <w:rsid w:val="007D77D9"/>
    <w:rsid w:val="007E0314"/>
    <w:rsid w:val="007E046D"/>
    <w:rsid w:val="007E0C1E"/>
    <w:rsid w:val="007E641E"/>
    <w:rsid w:val="007E737D"/>
    <w:rsid w:val="007F0258"/>
    <w:rsid w:val="007F04D9"/>
    <w:rsid w:val="007F1528"/>
    <w:rsid w:val="007F15B1"/>
    <w:rsid w:val="007F4956"/>
    <w:rsid w:val="008009B0"/>
    <w:rsid w:val="00800A8D"/>
    <w:rsid w:val="00800FC8"/>
    <w:rsid w:val="0080198A"/>
    <w:rsid w:val="00803CE1"/>
    <w:rsid w:val="0080442E"/>
    <w:rsid w:val="00806634"/>
    <w:rsid w:val="008067D9"/>
    <w:rsid w:val="00813480"/>
    <w:rsid w:val="0081367D"/>
    <w:rsid w:val="00814450"/>
    <w:rsid w:val="008156DF"/>
    <w:rsid w:val="00816445"/>
    <w:rsid w:val="00817CC1"/>
    <w:rsid w:val="00817CD7"/>
    <w:rsid w:val="0082109E"/>
    <w:rsid w:val="008226C3"/>
    <w:rsid w:val="00825954"/>
    <w:rsid w:val="0083063F"/>
    <w:rsid w:val="00831DC2"/>
    <w:rsid w:val="00831DDC"/>
    <w:rsid w:val="00835AB5"/>
    <w:rsid w:val="00837F80"/>
    <w:rsid w:val="008404DA"/>
    <w:rsid w:val="008465E4"/>
    <w:rsid w:val="0084780C"/>
    <w:rsid w:val="00847AD9"/>
    <w:rsid w:val="008501DA"/>
    <w:rsid w:val="0085263B"/>
    <w:rsid w:val="00854BFA"/>
    <w:rsid w:val="0085576E"/>
    <w:rsid w:val="00857CDF"/>
    <w:rsid w:val="00860227"/>
    <w:rsid w:val="00862B4F"/>
    <w:rsid w:val="00863F75"/>
    <w:rsid w:val="00864BAB"/>
    <w:rsid w:val="00864E19"/>
    <w:rsid w:val="00865962"/>
    <w:rsid w:val="00865B22"/>
    <w:rsid w:val="00866B48"/>
    <w:rsid w:val="00867313"/>
    <w:rsid w:val="00867DDA"/>
    <w:rsid w:val="00874209"/>
    <w:rsid w:val="00876D48"/>
    <w:rsid w:val="00877681"/>
    <w:rsid w:val="00877B0F"/>
    <w:rsid w:val="00877F0A"/>
    <w:rsid w:val="00880652"/>
    <w:rsid w:val="00881349"/>
    <w:rsid w:val="00881468"/>
    <w:rsid w:val="0088318D"/>
    <w:rsid w:val="0088334B"/>
    <w:rsid w:val="00884FA0"/>
    <w:rsid w:val="00887354"/>
    <w:rsid w:val="00887549"/>
    <w:rsid w:val="00891ACB"/>
    <w:rsid w:val="00893A53"/>
    <w:rsid w:val="008969AE"/>
    <w:rsid w:val="00896D5F"/>
    <w:rsid w:val="008973BF"/>
    <w:rsid w:val="008A06AC"/>
    <w:rsid w:val="008A104A"/>
    <w:rsid w:val="008A16E3"/>
    <w:rsid w:val="008A2266"/>
    <w:rsid w:val="008A2A9B"/>
    <w:rsid w:val="008A3181"/>
    <w:rsid w:val="008A3975"/>
    <w:rsid w:val="008A4BBE"/>
    <w:rsid w:val="008A6802"/>
    <w:rsid w:val="008A6FDD"/>
    <w:rsid w:val="008A7053"/>
    <w:rsid w:val="008A7154"/>
    <w:rsid w:val="008A76A0"/>
    <w:rsid w:val="008B0431"/>
    <w:rsid w:val="008B0AC3"/>
    <w:rsid w:val="008B1154"/>
    <w:rsid w:val="008B1287"/>
    <w:rsid w:val="008B17F3"/>
    <w:rsid w:val="008B1868"/>
    <w:rsid w:val="008B1B57"/>
    <w:rsid w:val="008B2C5F"/>
    <w:rsid w:val="008B2D60"/>
    <w:rsid w:val="008B4A01"/>
    <w:rsid w:val="008B4D72"/>
    <w:rsid w:val="008B5731"/>
    <w:rsid w:val="008B6507"/>
    <w:rsid w:val="008B65FC"/>
    <w:rsid w:val="008B77D9"/>
    <w:rsid w:val="008C0ED4"/>
    <w:rsid w:val="008C2F47"/>
    <w:rsid w:val="008C3546"/>
    <w:rsid w:val="008C35A6"/>
    <w:rsid w:val="008C3AAB"/>
    <w:rsid w:val="008C4074"/>
    <w:rsid w:val="008C7A00"/>
    <w:rsid w:val="008D194E"/>
    <w:rsid w:val="008D5467"/>
    <w:rsid w:val="008D5C66"/>
    <w:rsid w:val="008D6124"/>
    <w:rsid w:val="008D66E6"/>
    <w:rsid w:val="008D7A2F"/>
    <w:rsid w:val="008E228A"/>
    <w:rsid w:val="008E2319"/>
    <w:rsid w:val="008E2767"/>
    <w:rsid w:val="008E3FB8"/>
    <w:rsid w:val="008E5335"/>
    <w:rsid w:val="008F0FAC"/>
    <w:rsid w:val="008F2BBB"/>
    <w:rsid w:val="008F47B8"/>
    <w:rsid w:val="008F5B2F"/>
    <w:rsid w:val="008F5BD0"/>
    <w:rsid w:val="0090025B"/>
    <w:rsid w:val="00901F8E"/>
    <w:rsid w:val="00902193"/>
    <w:rsid w:val="00903238"/>
    <w:rsid w:val="00905874"/>
    <w:rsid w:val="00905A49"/>
    <w:rsid w:val="009062AE"/>
    <w:rsid w:val="00906ACE"/>
    <w:rsid w:val="009074D2"/>
    <w:rsid w:val="009117B5"/>
    <w:rsid w:val="00911F2C"/>
    <w:rsid w:val="009134E2"/>
    <w:rsid w:val="009152B2"/>
    <w:rsid w:val="009173A2"/>
    <w:rsid w:val="009215E7"/>
    <w:rsid w:val="00922928"/>
    <w:rsid w:val="009260D1"/>
    <w:rsid w:val="00926F3D"/>
    <w:rsid w:val="009274C2"/>
    <w:rsid w:val="009313A2"/>
    <w:rsid w:val="00932084"/>
    <w:rsid w:val="00932FA3"/>
    <w:rsid w:val="00934800"/>
    <w:rsid w:val="009417D3"/>
    <w:rsid w:val="00942987"/>
    <w:rsid w:val="0094733B"/>
    <w:rsid w:val="00947FE4"/>
    <w:rsid w:val="00951948"/>
    <w:rsid w:val="00951ACF"/>
    <w:rsid w:val="00951E3C"/>
    <w:rsid w:val="009521CF"/>
    <w:rsid w:val="009524E0"/>
    <w:rsid w:val="0095446F"/>
    <w:rsid w:val="009551C1"/>
    <w:rsid w:val="00957F36"/>
    <w:rsid w:val="00960820"/>
    <w:rsid w:val="00960F31"/>
    <w:rsid w:val="00964447"/>
    <w:rsid w:val="00964798"/>
    <w:rsid w:val="00964915"/>
    <w:rsid w:val="00971536"/>
    <w:rsid w:val="0097461D"/>
    <w:rsid w:val="00975C55"/>
    <w:rsid w:val="009768EF"/>
    <w:rsid w:val="0098235F"/>
    <w:rsid w:val="00982967"/>
    <w:rsid w:val="00983BB3"/>
    <w:rsid w:val="0098435F"/>
    <w:rsid w:val="009844BC"/>
    <w:rsid w:val="00984CE2"/>
    <w:rsid w:val="0098663B"/>
    <w:rsid w:val="00987543"/>
    <w:rsid w:val="00991E72"/>
    <w:rsid w:val="009924E3"/>
    <w:rsid w:val="0099253F"/>
    <w:rsid w:val="0099276D"/>
    <w:rsid w:val="00993777"/>
    <w:rsid w:val="009940ED"/>
    <w:rsid w:val="0099514A"/>
    <w:rsid w:val="009953B1"/>
    <w:rsid w:val="00996388"/>
    <w:rsid w:val="009A2A01"/>
    <w:rsid w:val="009A523C"/>
    <w:rsid w:val="009B0607"/>
    <w:rsid w:val="009B1B5F"/>
    <w:rsid w:val="009B26D7"/>
    <w:rsid w:val="009B4731"/>
    <w:rsid w:val="009B7ADF"/>
    <w:rsid w:val="009B7CB6"/>
    <w:rsid w:val="009C0228"/>
    <w:rsid w:val="009C07C1"/>
    <w:rsid w:val="009C1079"/>
    <w:rsid w:val="009C48EE"/>
    <w:rsid w:val="009C62B2"/>
    <w:rsid w:val="009D37A2"/>
    <w:rsid w:val="009D42C3"/>
    <w:rsid w:val="009D600D"/>
    <w:rsid w:val="009E009B"/>
    <w:rsid w:val="009E048C"/>
    <w:rsid w:val="009E09F9"/>
    <w:rsid w:val="009E0C5E"/>
    <w:rsid w:val="009E39B9"/>
    <w:rsid w:val="009E495C"/>
    <w:rsid w:val="009E503B"/>
    <w:rsid w:val="009E5229"/>
    <w:rsid w:val="009E678B"/>
    <w:rsid w:val="009E7E4F"/>
    <w:rsid w:val="009F0123"/>
    <w:rsid w:val="009F0330"/>
    <w:rsid w:val="009F2C2F"/>
    <w:rsid w:val="009F52A5"/>
    <w:rsid w:val="009F546E"/>
    <w:rsid w:val="009F5841"/>
    <w:rsid w:val="009F5E9B"/>
    <w:rsid w:val="009F7F6C"/>
    <w:rsid w:val="00A0072A"/>
    <w:rsid w:val="00A00F27"/>
    <w:rsid w:val="00A03197"/>
    <w:rsid w:val="00A035CD"/>
    <w:rsid w:val="00A05884"/>
    <w:rsid w:val="00A077B8"/>
    <w:rsid w:val="00A16246"/>
    <w:rsid w:val="00A16C11"/>
    <w:rsid w:val="00A178CE"/>
    <w:rsid w:val="00A17E3F"/>
    <w:rsid w:val="00A20CCE"/>
    <w:rsid w:val="00A2255D"/>
    <w:rsid w:val="00A234F8"/>
    <w:rsid w:val="00A248CB"/>
    <w:rsid w:val="00A24C23"/>
    <w:rsid w:val="00A255E6"/>
    <w:rsid w:val="00A27059"/>
    <w:rsid w:val="00A27CDB"/>
    <w:rsid w:val="00A30D3D"/>
    <w:rsid w:val="00A31268"/>
    <w:rsid w:val="00A31DB7"/>
    <w:rsid w:val="00A31E70"/>
    <w:rsid w:val="00A32A28"/>
    <w:rsid w:val="00A32CCC"/>
    <w:rsid w:val="00A34291"/>
    <w:rsid w:val="00A34E68"/>
    <w:rsid w:val="00A34FBB"/>
    <w:rsid w:val="00A36AFE"/>
    <w:rsid w:val="00A4248A"/>
    <w:rsid w:val="00A4496B"/>
    <w:rsid w:val="00A44BEB"/>
    <w:rsid w:val="00A503E1"/>
    <w:rsid w:val="00A505C2"/>
    <w:rsid w:val="00A50FF0"/>
    <w:rsid w:val="00A51A85"/>
    <w:rsid w:val="00A520F9"/>
    <w:rsid w:val="00A5215D"/>
    <w:rsid w:val="00A537DA"/>
    <w:rsid w:val="00A618B3"/>
    <w:rsid w:val="00A63641"/>
    <w:rsid w:val="00A649EE"/>
    <w:rsid w:val="00A669C2"/>
    <w:rsid w:val="00A70020"/>
    <w:rsid w:val="00A70717"/>
    <w:rsid w:val="00A70F9F"/>
    <w:rsid w:val="00A7264B"/>
    <w:rsid w:val="00A748B7"/>
    <w:rsid w:val="00A7598F"/>
    <w:rsid w:val="00A75AAF"/>
    <w:rsid w:val="00A76ABD"/>
    <w:rsid w:val="00A76D42"/>
    <w:rsid w:val="00A776C2"/>
    <w:rsid w:val="00A821A1"/>
    <w:rsid w:val="00A824BC"/>
    <w:rsid w:val="00A82B16"/>
    <w:rsid w:val="00A836DB"/>
    <w:rsid w:val="00A83B4E"/>
    <w:rsid w:val="00A84BA1"/>
    <w:rsid w:val="00A8511E"/>
    <w:rsid w:val="00A86BA0"/>
    <w:rsid w:val="00A9064C"/>
    <w:rsid w:val="00A90CEE"/>
    <w:rsid w:val="00A9294F"/>
    <w:rsid w:val="00A93E19"/>
    <w:rsid w:val="00A95126"/>
    <w:rsid w:val="00A95D67"/>
    <w:rsid w:val="00A96564"/>
    <w:rsid w:val="00A965DD"/>
    <w:rsid w:val="00A97A86"/>
    <w:rsid w:val="00AA1D39"/>
    <w:rsid w:val="00AA2673"/>
    <w:rsid w:val="00AA2E01"/>
    <w:rsid w:val="00AA30FA"/>
    <w:rsid w:val="00AA4F6D"/>
    <w:rsid w:val="00AA57B5"/>
    <w:rsid w:val="00AA77F0"/>
    <w:rsid w:val="00AA7A7F"/>
    <w:rsid w:val="00AB1C72"/>
    <w:rsid w:val="00AB283F"/>
    <w:rsid w:val="00AB2A07"/>
    <w:rsid w:val="00AB48C1"/>
    <w:rsid w:val="00AB53A3"/>
    <w:rsid w:val="00AB5C86"/>
    <w:rsid w:val="00AB610A"/>
    <w:rsid w:val="00AC0CD3"/>
    <w:rsid w:val="00AC1104"/>
    <w:rsid w:val="00AC300E"/>
    <w:rsid w:val="00AC38D6"/>
    <w:rsid w:val="00AC5B39"/>
    <w:rsid w:val="00AC7141"/>
    <w:rsid w:val="00AC77C6"/>
    <w:rsid w:val="00AD1913"/>
    <w:rsid w:val="00AD22F0"/>
    <w:rsid w:val="00AD5BAE"/>
    <w:rsid w:val="00AE04D7"/>
    <w:rsid w:val="00AE183E"/>
    <w:rsid w:val="00AE36F4"/>
    <w:rsid w:val="00AE51BB"/>
    <w:rsid w:val="00AE5A4D"/>
    <w:rsid w:val="00AE710D"/>
    <w:rsid w:val="00AE746A"/>
    <w:rsid w:val="00AF0F86"/>
    <w:rsid w:val="00AF1A49"/>
    <w:rsid w:val="00AF27D9"/>
    <w:rsid w:val="00AF33FF"/>
    <w:rsid w:val="00AF3F47"/>
    <w:rsid w:val="00AF40C0"/>
    <w:rsid w:val="00AF5BD2"/>
    <w:rsid w:val="00AF6928"/>
    <w:rsid w:val="00AF6D43"/>
    <w:rsid w:val="00B005A0"/>
    <w:rsid w:val="00B00E96"/>
    <w:rsid w:val="00B01EAA"/>
    <w:rsid w:val="00B02FD2"/>
    <w:rsid w:val="00B04797"/>
    <w:rsid w:val="00B061E8"/>
    <w:rsid w:val="00B1075F"/>
    <w:rsid w:val="00B1112E"/>
    <w:rsid w:val="00B11AFE"/>
    <w:rsid w:val="00B124CB"/>
    <w:rsid w:val="00B12A66"/>
    <w:rsid w:val="00B14122"/>
    <w:rsid w:val="00B14E0A"/>
    <w:rsid w:val="00B163BE"/>
    <w:rsid w:val="00B17D72"/>
    <w:rsid w:val="00B17E61"/>
    <w:rsid w:val="00B20165"/>
    <w:rsid w:val="00B209C2"/>
    <w:rsid w:val="00B229BC"/>
    <w:rsid w:val="00B22E7A"/>
    <w:rsid w:val="00B23F14"/>
    <w:rsid w:val="00B246F1"/>
    <w:rsid w:val="00B25C90"/>
    <w:rsid w:val="00B265E9"/>
    <w:rsid w:val="00B3008E"/>
    <w:rsid w:val="00B32445"/>
    <w:rsid w:val="00B3332A"/>
    <w:rsid w:val="00B34F60"/>
    <w:rsid w:val="00B36650"/>
    <w:rsid w:val="00B4143E"/>
    <w:rsid w:val="00B44FEE"/>
    <w:rsid w:val="00B45D9B"/>
    <w:rsid w:val="00B471B2"/>
    <w:rsid w:val="00B478E7"/>
    <w:rsid w:val="00B4794A"/>
    <w:rsid w:val="00B501C0"/>
    <w:rsid w:val="00B5089F"/>
    <w:rsid w:val="00B50E19"/>
    <w:rsid w:val="00B50FA0"/>
    <w:rsid w:val="00B52F72"/>
    <w:rsid w:val="00B53876"/>
    <w:rsid w:val="00B563F8"/>
    <w:rsid w:val="00B57E2D"/>
    <w:rsid w:val="00B57E93"/>
    <w:rsid w:val="00B603D4"/>
    <w:rsid w:val="00B6378E"/>
    <w:rsid w:val="00B6481C"/>
    <w:rsid w:val="00B64940"/>
    <w:rsid w:val="00B6555D"/>
    <w:rsid w:val="00B668FD"/>
    <w:rsid w:val="00B67910"/>
    <w:rsid w:val="00B7044C"/>
    <w:rsid w:val="00B71772"/>
    <w:rsid w:val="00B71EDC"/>
    <w:rsid w:val="00B737FC"/>
    <w:rsid w:val="00B73879"/>
    <w:rsid w:val="00B75534"/>
    <w:rsid w:val="00B77F45"/>
    <w:rsid w:val="00B826A6"/>
    <w:rsid w:val="00B83A62"/>
    <w:rsid w:val="00B8680C"/>
    <w:rsid w:val="00B86E9F"/>
    <w:rsid w:val="00B876F7"/>
    <w:rsid w:val="00B87ECE"/>
    <w:rsid w:val="00B92E6E"/>
    <w:rsid w:val="00B93856"/>
    <w:rsid w:val="00B93D59"/>
    <w:rsid w:val="00B947CD"/>
    <w:rsid w:val="00B973B7"/>
    <w:rsid w:val="00BA33EF"/>
    <w:rsid w:val="00BA528E"/>
    <w:rsid w:val="00BA61F6"/>
    <w:rsid w:val="00BA64E5"/>
    <w:rsid w:val="00BB2683"/>
    <w:rsid w:val="00BB4E2B"/>
    <w:rsid w:val="00BB711D"/>
    <w:rsid w:val="00BC2C32"/>
    <w:rsid w:val="00BC3208"/>
    <w:rsid w:val="00BC4A71"/>
    <w:rsid w:val="00BC53F6"/>
    <w:rsid w:val="00BC606E"/>
    <w:rsid w:val="00BC741C"/>
    <w:rsid w:val="00BD02FA"/>
    <w:rsid w:val="00BD03AA"/>
    <w:rsid w:val="00BD26B9"/>
    <w:rsid w:val="00BD4A3A"/>
    <w:rsid w:val="00BD4F10"/>
    <w:rsid w:val="00BD57AE"/>
    <w:rsid w:val="00BD6EC6"/>
    <w:rsid w:val="00BD75FE"/>
    <w:rsid w:val="00BE0EA7"/>
    <w:rsid w:val="00BE3905"/>
    <w:rsid w:val="00BE448F"/>
    <w:rsid w:val="00BE4C96"/>
    <w:rsid w:val="00BE515B"/>
    <w:rsid w:val="00BE553D"/>
    <w:rsid w:val="00BE6110"/>
    <w:rsid w:val="00BF1392"/>
    <w:rsid w:val="00BF13E6"/>
    <w:rsid w:val="00BF1CFF"/>
    <w:rsid w:val="00BF57E3"/>
    <w:rsid w:val="00BF6554"/>
    <w:rsid w:val="00C0278E"/>
    <w:rsid w:val="00C02AED"/>
    <w:rsid w:val="00C040B4"/>
    <w:rsid w:val="00C05901"/>
    <w:rsid w:val="00C077B9"/>
    <w:rsid w:val="00C07991"/>
    <w:rsid w:val="00C1010B"/>
    <w:rsid w:val="00C10281"/>
    <w:rsid w:val="00C10AFB"/>
    <w:rsid w:val="00C151ED"/>
    <w:rsid w:val="00C15318"/>
    <w:rsid w:val="00C15971"/>
    <w:rsid w:val="00C17252"/>
    <w:rsid w:val="00C1758C"/>
    <w:rsid w:val="00C2025E"/>
    <w:rsid w:val="00C20846"/>
    <w:rsid w:val="00C20C46"/>
    <w:rsid w:val="00C2177E"/>
    <w:rsid w:val="00C225DA"/>
    <w:rsid w:val="00C2316A"/>
    <w:rsid w:val="00C23FEE"/>
    <w:rsid w:val="00C26007"/>
    <w:rsid w:val="00C2602C"/>
    <w:rsid w:val="00C26E4F"/>
    <w:rsid w:val="00C2719B"/>
    <w:rsid w:val="00C30207"/>
    <w:rsid w:val="00C31864"/>
    <w:rsid w:val="00C31B7B"/>
    <w:rsid w:val="00C320A2"/>
    <w:rsid w:val="00C3634D"/>
    <w:rsid w:val="00C3638B"/>
    <w:rsid w:val="00C36F3C"/>
    <w:rsid w:val="00C377BD"/>
    <w:rsid w:val="00C41F34"/>
    <w:rsid w:val="00C42B3B"/>
    <w:rsid w:val="00C436BC"/>
    <w:rsid w:val="00C446E9"/>
    <w:rsid w:val="00C447C6"/>
    <w:rsid w:val="00C51765"/>
    <w:rsid w:val="00C521BD"/>
    <w:rsid w:val="00C52612"/>
    <w:rsid w:val="00C52F70"/>
    <w:rsid w:val="00C5498F"/>
    <w:rsid w:val="00C605DF"/>
    <w:rsid w:val="00C6061A"/>
    <w:rsid w:val="00C622E7"/>
    <w:rsid w:val="00C64C7A"/>
    <w:rsid w:val="00C65589"/>
    <w:rsid w:val="00C66121"/>
    <w:rsid w:val="00C66BE7"/>
    <w:rsid w:val="00C66F35"/>
    <w:rsid w:val="00C70440"/>
    <w:rsid w:val="00C71701"/>
    <w:rsid w:val="00C7174A"/>
    <w:rsid w:val="00C74E1D"/>
    <w:rsid w:val="00C75358"/>
    <w:rsid w:val="00C77647"/>
    <w:rsid w:val="00C778DA"/>
    <w:rsid w:val="00C80A3C"/>
    <w:rsid w:val="00C812A7"/>
    <w:rsid w:val="00C83984"/>
    <w:rsid w:val="00C83B3E"/>
    <w:rsid w:val="00C843B9"/>
    <w:rsid w:val="00C84D87"/>
    <w:rsid w:val="00C8579D"/>
    <w:rsid w:val="00C85CA2"/>
    <w:rsid w:val="00C8667C"/>
    <w:rsid w:val="00C8689E"/>
    <w:rsid w:val="00C92FB3"/>
    <w:rsid w:val="00C93FA2"/>
    <w:rsid w:val="00C94751"/>
    <w:rsid w:val="00C9797B"/>
    <w:rsid w:val="00CA00B3"/>
    <w:rsid w:val="00CA1413"/>
    <w:rsid w:val="00CA23D1"/>
    <w:rsid w:val="00CA44C2"/>
    <w:rsid w:val="00CA5682"/>
    <w:rsid w:val="00CA618F"/>
    <w:rsid w:val="00CB35B1"/>
    <w:rsid w:val="00CB56A5"/>
    <w:rsid w:val="00CB606C"/>
    <w:rsid w:val="00CB6652"/>
    <w:rsid w:val="00CB7B98"/>
    <w:rsid w:val="00CC00B0"/>
    <w:rsid w:val="00CC010C"/>
    <w:rsid w:val="00CC0BC4"/>
    <w:rsid w:val="00CC0D0A"/>
    <w:rsid w:val="00CC128F"/>
    <w:rsid w:val="00CC2057"/>
    <w:rsid w:val="00CC3AA1"/>
    <w:rsid w:val="00CC4753"/>
    <w:rsid w:val="00CC4B64"/>
    <w:rsid w:val="00CC50B5"/>
    <w:rsid w:val="00CD346F"/>
    <w:rsid w:val="00CD3F7C"/>
    <w:rsid w:val="00CD5E87"/>
    <w:rsid w:val="00CD7166"/>
    <w:rsid w:val="00CD75D9"/>
    <w:rsid w:val="00CE2BCE"/>
    <w:rsid w:val="00CE3075"/>
    <w:rsid w:val="00CE3914"/>
    <w:rsid w:val="00CE3D44"/>
    <w:rsid w:val="00CE5234"/>
    <w:rsid w:val="00CE5C98"/>
    <w:rsid w:val="00CE6008"/>
    <w:rsid w:val="00CE67C5"/>
    <w:rsid w:val="00CE7022"/>
    <w:rsid w:val="00CE72DE"/>
    <w:rsid w:val="00CE7459"/>
    <w:rsid w:val="00CE7CF9"/>
    <w:rsid w:val="00CF1A65"/>
    <w:rsid w:val="00CF28BD"/>
    <w:rsid w:val="00CF2B95"/>
    <w:rsid w:val="00CF417E"/>
    <w:rsid w:val="00CF485B"/>
    <w:rsid w:val="00CF5870"/>
    <w:rsid w:val="00CF6CA9"/>
    <w:rsid w:val="00CF7E8F"/>
    <w:rsid w:val="00D01E1F"/>
    <w:rsid w:val="00D01EA1"/>
    <w:rsid w:val="00D05269"/>
    <w:rsid w:val="00D05F1D"/>
    <w:rsid w:val="00D064A2"/>
    <w:rsid w:val="00D07E16"/>
    <w:rsid w:val="00D07E8E"/>
    <w:rsid w:val="00D10468"/>
    <w:rsid w:val="00D10C82"/>
    <w:rsid w:val="00D11044"/>
    <w:rsid w:val="00D11D98"/>
    <w:rsid w:val="00D13EE8"/>
    <w:rsid w:val="00D152F5"/>
    <w:rsid w:val="00D17918"/>
    <w:rsid w:val="00D17B90"/>
    <w:rsid w:val="00D21B73"/>
    <w:rsid w:val="00D222C4"/>
    <w:rsid w:val="00D23BEE"/>
    <w:rsid w:val="00D2464B"/>
    <w:rsid w:val="00D30E04"/>
    <w:rsid w:val="00D32178"/>
    <w:rsid w:val="00D337A2"/>
    <w:rsid w:val="00D350A6"/>
    <w:rsid w:val="00D355F1"/>
    <w:rsid w:val="00D35738"/>
    <w:rsid w:val="00D36971"/>
    <w:rsid w:val="00D40A0F"/>
    <w:rsid w:val="00D410B8"/>
    <w:rsid w:val="00D4207A"/>
    <w:rsid w:val="00D42C33"/>
    <w:rsid w:val="00D42C53"/>
    <w:rsid w:val="00D42EE6"/>
    <w:rsid w:val="00D43BB4"/>
    <w:rsid w:val="00D45D05"/>
    <w:rsid w:val="00D45D87"/>
    <w:rsid w:val="00D479F2"/>
    <w:rsid w:val="00D50D69"/>
    <w:rsid w:val="00D52787"/>
    <w:rsid w:val="00D533AB"/>
    <w:rsid w:val="00D537E4"/>
    <w:rsid w:val="00D53929"/>
    <w:rsid w:val="00D545F1"/>
    <w:rsid w:val="00D55B69"/>
    <w:rsid w:val="00D568BC"/>
    <w:rsid w:val="00D56AA5"/>
    <w:rsid w:val="00D5768B"/>
    <w:rsid w:val="00D60A36"/>
    <w:rsid w:val="00D61110"/>
    <w:rsid w:val="00D61AEA"/>
    <w:rsid w:val="00D627FD"/>
    <w:rsid w:val="00D6352E"/>
    <w:rsid w:val="00D6393D"/>
    <w:rsid w:val="00D63D6B"/>
    <w:rsid w:val="00D643A6"/>
    <w:rsid w:val="00D6593A"/>
    <w:rsid w:val="00D6603C"/>
    <w:rsid w:val="00D665C4"/>
    <w:rsid w:val="00D66A2B"/>
    <w:rsid w:val="00D6741B"/>
    <w:rsid w:val="00D67571"/>
    <w:rsid w:val="00D71A0F"/>
    <w:rsid w:val="00D72D59"/>
    <w:rsid w:val="00D73974"/>
    <w:rsid w:val="00D76A60"/>
    <w:rsid w:val="00D806AB"/>
    <w:rsid w:val="00D80EC3"/>
    <w:rsid w:val="00D87B20"/>
    <w:rsid w:val="00D90508"/>
    <w:rsid w:val="00D90746"/>
    <w:rsid w:val="00D90916"/>
    <w:rsid w:val="00D93AE9"/>
    <w:rsid w:val="00D93D23"/>
    <w:rsid w:val="00D96875"/>
    <w:rsid w:val="00D96F6D"/>
    <w:rsid w:val="00D97AA5"/>
    <w:rsid w:val="00DA1DD6"/>
    <w:rsid w:val="00DA252C"/>
    <w:rsid w:val="00DA2874"/>
    <w:rsid w:val="00DA2BD5"/>
    <w:rsid w:val="00DA39A5"/>
    <w:rsid w:val="00DA4964"/>
    <w:rsid w:val="00DA568C"/>
    <w:rsid w:val="00DA5E81"/>
    <w:rsid w:val="00DA5FDA"/>
    <w:rsid w:val="00DA71A3"/>
    <w:rsid w:val="00DB071B"/>
    <w:rsid w:val="00DB1121"/>
    <w:rsid w:val="00DB28EB"/>
    <w:rsid w:val="00DB33AC"/>
    <w:rsid w:val="00DB3529"/>
    <w:rsid w:val="00DB44F2"/>
    <w:rsid w:val="00DB46CD"/>
    <w:rsid w:val="00DB515D"/>
    <w:rsid w:val="00DC0B5F"/>
    <w:rsid w:val="00DC32CF"/>
    <w:rsid w:val="00DC3E2C"/>
    <w:rsid w:val="00DD07FD"/>
    <w:rsid w:val="00DD162D"/>
    <w:rsid w:val="00DD1D42"/>
    <w:rsid w:val="00DD2657"/>
    <w:rsid w:val="00DD3E44"/>
    <w:rsid w:val="00DD555F"/>
    <w:rsid w:val="00DD6D08"/>
    <w:rsid w:val="00DD7486"/>
    <w:rsid w:val="00DE2C6D"/>
    <w:rsid w:val="00DE511B"/>
    <w:rsid w:val="00DE5203"/>
    <w:rsid w:val="00DF001E"/>
    <w:rsid w:val="00DF1202"/>
    <w:rsid w:val="00DF28AB"/>
    <w:rsid w:val="00DF2ECC"/>
    <w:rsid w:val="00DF2F9A"/>
    <w:rsid w:val="00DF2FED"/>
    <w:rsid w:val="00DF4F1F"/>
    <w:rsid w:val="00DF693B"/>
    <w:rsid w:val="00DF7CF7"/>
    <w:rsid w:val="00E0022D"/>
    <w:rsid w:val="00E007F3"/>
    <w:rsid w:val="00E03C34"/>
    <w:rsid w:val="00E04A40"/>
    <w:rsid w:val="00E053AB"/>
    <w:rsid w:val="00E057B0"/>
    <w:rsid w:val="00E107C5"/>
    <w:rsid w:val="00E123E9"/>
    <w:rsid w:val="00E135C1"/>
    <w:rsid w:val="00E13647"/>
    <w:rsid w:val="00E138FA"/>
    <w:rsid w:val="00E13FFC"/>
    <w:rsid w:val="00E14273"/>
    <w:rsid w:val="00E14736"/>
    <w:rsid w:val="00E14BD9"/>
    <w:rsid w:val="00E16BDD"/>
    <w:rsid w:val="00E2003F"/>
    <w:rsid w:val="00E2106C"/>
    <w:rsid w:val="00E217BB"/>
    <w:rsid w:val="00E234BF"/>
    <w:rsid w:val="00E24690"/>
    <w:rsid w:val="00E259B9"/>
    <w:rsid w:val="00E3271D"/>
    <w:rsid w:val="00E335F8"/>
    <w:rsid w:val="00E3406D"/>
    <w:rsid w:val="00E35624"/>
    <w:rsid w:val="00E36E42"/>
    <w:rsid w:val="00E3767E"/>
    <w:rsid w:val="00E40B70"/>
    <w:rsid w:val="00E40FCE"/>
    <w:rsid w:val="00E414AA"/>
    <w:rsid w:val="00E45240"/>
    <w:rsid w:val="00E51D9F"/>
    <w:rsid w:val="00E52CE8"/>
    <w:rsid w:val="00E53607"/>
    <w:rsid w:val="00E60531"/>
    <w:rsid w:val="00E60A00"/>
    <w:rsid w:val="00E60E4F"/>
    <w:rsid w:val="00E618CB"/>
    <w:rsid w:val="00E61A8F"/>
    <w:rsid w:val="00E6282A"/>
    <w:rsid w:val="00E6477A"/>
    <w:rsid w:val="00E64EEE"/>
    <w:rsid w:val="00E6767F"/>
    <w:rsid w:val="00E70778"/>
    <w:rsid w:val="00E73BD0"/>
    <w:rsid w:val="00E74327"/>
    <w:rsid w:val="00E744AB"/>
    <w:rsid w:val="00E75461"/>
    <w:rsid w:val="00E77FD4"/>
    <w:rsid w:val="00E800FB"/>
    <w:rsid w:val="00E8089C"/>
    <w:rsid w:val="00E809F9"/>
    <w:rsid w:val="00E80D0A"/>
    <w:rsid w:val="00E82184"/>
    <w:rsid w:val="00E86674"/>
    <w:rsid w:val="00E86E17"/>
    <w:rsid w:val="00E86FF6"/>
    <w:rsid w:val="00E909C8"/>
    <w:rsid w:val="00E92953"/>
    <w:rsid w:val="00E92DC5"/>
    <w:rsid w:val="00E93199"/>
    <w:rsid w:val="00E93828"/>
    <w:rsid w:val="00E95831"/>
    <w:rsid w:val="00E95841"/>
    <w:rsid w:val="00E961A1"/>
    <w:rsid w:val="00EA0DFA"/>
    <w:rsid w:val="00EA1B0E"/>
    <w:rsid w:val="00EA20EC"/>
    <w:rsid w:val="00EA2FA1"/>
    <w:rsid w:val="00EA3186"/>
    <w:rsid w:val="00EA44F9"/>
    <w:rsid w:val="00EA46AA"/>
    <w:rsid w:val="00EA4F81"/>
    <w:rsid w:val="00EA5AB2"/>
    <w:rsid w:val="00EB13D0"/>
    <w:rsid w:val="00EB30A7"/>
    <w:rsid w:val="00EB315F"/>
    <w:rsid w:val="00EB3240"/>
    <w:rsid w:val="00EB4023"/>
    <w:rsid w:val="00EB402C"/>
    <w:rsid w:val="00EB4398"/>
    <w:rsid w:val="00EB4B12"/>
    <w:rsid w:val="00EB670C"/>
    <w:rsid w:val="00EB769F"/>
    <w:rsid w:val="00EC1AA9"/>
    <w:rsid w:val="00EC27A4"/>
    <w:rsid w:val="00EC2A9D"/>
    <w:rsid w:val="00EC4F04"/>
    <w:rsid w:val="00EC501E"/>
    <w:rsid w:val="00EC66A0"/>
    <w:rsid w:val="00EC6971"/>
    <w:rsid w:val="00EC6EE1"/>
    <w:rsid w:val="00EC7087"/>
    <w:rsid w:val="00ED19DB"/>
    <w:rsid w:val="00ED3136"/>
    <w:rsid w:val="00ED412C"/>
    <w:rsid w:val="00ED49F5"/>
    <w:rsid w:val="00ED4CAF"/>
    <w:rsid w:val="00ED54EB"/>
    <w:rsid w:val="00ED74F2"/>
    <w:rsid w:val="00EE0229"/>
    <w:rsid w:val="00EE2D43"/>
    <w:rsid w:val="00EE315E"/>
    <w:rsid w:val="00EE3C86"/>
    <w:rsid w:val="00EE4EF4"/>
    <w:rsid w:val="00EE7C79"/>
    <w:rsid w:val="00EE7D05"/>
    <w:rsid w:val="00EE7D9B"/>
    <w:rsid w:val="00EF1A2E"/>
    <w:rsid w:val="00EF2F62"/>
    <w:rsid w:val="00EF3056"/>
    <w:rsid w:val="00EF31D7"/>
    <w:rsid w:val="00EF5500"/>
    <w:rsid w:val="00EF773A"/>
    <w:rsid w:val="00F00634"/>
    <w:rsid w:val="00F02CBB"/>
    <w:rsid w:val="00F02E94"/>
    <w:rsid w:val="00F04045"/>
    <w:rsid w:val="00F0467C"/>
    <w:rsid w:val="00F04F81"/>
    <w:rsid w:val="00F052AD"/>
    <w:rsid w:val="00F114B8"/>
    <w:rsid w:val="00F114D2"/>
    <w:rsid w:val="00F118AA"/>
    <w:rsid w:val="00F14B39"/>
    <w:rsid w:val="00F162BA"/>
    <w:rsid w:val="00F17897"/>
    <w:rsid w:val="00F21663"/>
    <w:rsid w:val="00F21682"/>
    <w:rsid w:val="00F234D4"/>
    <w:rsid w:val="00F2412E"/>
    <w:rsid w:val="00F25E90"/>
    <w:rsid w:val="00F26A83"/>
    <w:rsid w:val="00F30184"/>
    <w:rsid w:val="00F31BC9"/>
    <w:rsid w:val="00F32675"/>
    <w:rsid w:val="00F32864"/>
    <w:rsid w:val="00F33377"/>
    <w:rsid w:val="00F33E6F"/>
    <w:rsid w:val="00F34C33"/>
    <w:rsid w:val="00F34E6C"/>
    <w:rsid w:val="00F42429"/>
    <w:rsid w:val="00F4528F"/>
    <w:rsid w:val="00F452F4"/>
    <w:rsid w:val="00F4639F"/>
    <w:rsid w:val="00F50D12"/>
    <w:rsid w:val="00F52962"/>
    <w:rsid w:val="00F539A5"/>
    <w:rsid w:val="00F54259"/>
    <w:rsid w:val="00F54387"/>
    <w:rsid w:val="00F55BDE"/>
    <w:rsid w:val="00F56308"/>
    <w:rsid w:val="00F579D9"/>
    <w:rsid w:val="00F60238"/>
    <w:rsid w:val="00F603AA"/>
    <w:rsid w:val="00F62D28"/>
    <w:rsid w:val="00F62D7A"/>
    <w:rsid w:val="00F63150"/>
    <w:rsid w:val="00F67C52"/>
    <w:rsid w:val="00F7069D"/>
    <w:rsid w:val="00F71D99"/>
    <w:rsid w:val="00F72CA0"/>
    <w:rsid w:val="00F7448B"/>
    <w:rsid w:val="00F74FEB"/>
    <w:rsid w:val="00F7547F"/>
    <w:rsid w:val="00F76A74"/>
    <w:rsid w:val="00F808FA"/>
    <w:rsid w:val="00F81B4A"/>
    <w:rsid w:val="00F841A0"/>
    <w:rsid w:val="00F8503B"/>
    <w:rsid w:val="00F875DD"/>
    <w:rsid w:val="00F92835"/>
    <w:rsid w:val="00F93280"/>
    <w:rsid w:val="00F93783"/>
    <w:rsid w:val="00F951C8"/>
    <w:rsid w:val="00F95C40"/>
    <w:rsid w:val="00F965E2"/>
    <w:rsid w:val="00FA0167"/>
    <w:rsid w:val="00FA0C01"/>
    <w:rsid w:val="00FA0F60"/>
    <w:rsid w:val="00FA2DA4"/>
    <w:rsid w:val="00FA430F"/>
    <w:rsid w:val="00FA4407"/>
    <w:rsid w:val="00FA693A"/>
    <w:rsid w:val="00FA7549"/>
    <w:rsid w:val="00FB22F9"/>
    <w:rsid w:val="00FB2443"/>
    <w:rsid w:val="00FB3612"/>
    <w:rsid w:val="00FB4D52"/>
    <w:rsid w:val="00FB6423"/>
    <w:rsid w:val="00FB7FA4"/>
    <w:rsid w:val="00FC0234"/>
    <w:rsid w:val="00FC46BD"/>
    <w:rsid w:val="00FC4B25"/>
    <w:rsid w:val="00FC6D9B"/>
    <w:rsid w:val="00FC77B4"/>
    <w:rsid w:val="00FD06E4"/>
    <w:rsid w:val="00FD0CFD"/>
    <w:rsid w:val="00FD0E7A"/>
    <w:rsid w:val="00FD44F0"/>
    <w:rsid w:val="00FD5F4D"/>
    <w:rsid w:val="00FD621C"/>
    <w:rsid w:val="00FD62CB"/>
    <w:rsid w:val="00FE00E5"/>
    <w:rsid w:val="00FE2363"/>
    <w:rsid w:val="00FE30AE"/>
    <w:rsid w:val="00FE4364"/>
    <w:rsid w:val="00FE514D"/>
    <w:rsid w:val="00FE51B7"/>
    <w:rsid w:val="00FE6D4D"/>
    <w:rsid w:val="00FE7E80"/>
    <w:rsid w:val="00FF0769"/>
    <w:rsid w:val="00FF46AC"/>
    <w:rsid w:val="00FF6912"/>
    <w:rsid w:val="00FF72DB"/>
    <w:rsid w:val="00FF77F5"/>
    <w:rsid w:val="00FF78F8"/>
    <w:rsid w:val="00FF7F54"/>
    <w:rsid w:val="0156D5E3"/>
    <w:rsid w:val="0262485B"/>
    <w:rsid w:val="028A0EC4"/>
    <w:rsid w:val="03E0E07E"/>
    <w:rsid w:val="0418C9FB"/>
    <w:rsid w:val="0477AEB9"/>
    <w:rsid w:val="049B02CF"/>
    <w:rsid w:val="04DF5FA5"/>
    <w:rsid w:val="05493E83"/>
    <w:rsid w:val="05672767"/>
    <w:rsid w:val="06149F05"/>
    <w:rsid w:val="0646DF5D"/>
    <w:rsid w:val="0765086C"/>
    <w:rsid w:val="0792F502"/>
    <w:rsid w:val="08470024"/>
    <w:rsid w:val="0884CF38"/>
    <w:rsid w:val="089AA54D"/>
    <w:rsid w:val="09D1C063"/>
    <w:rsid w:val="09D3CD2C"/>
    <w:rsid w:val="0AB03C71"/>
    <w:rsid w:val="0ACC4638"/>
    <w:rsid w:val="0B24F853"/>
    <w:rsid w:val="0C105816"/>
    <w:rsid w:val="0C44C1BE"/>
    <w:rsid w:val="0D069916"/>
    <w:rsid w:val="0D1F339B"/>
    <w:rsid w:val="0E07A839"/>
    <w:rsid w:val="0ED261FE"/>
    <w:rsid w:val="0EF77F4A"/>
    <w:rsid w:val="0F8D5BBB"/>
    <w:rsid w:val="0FADC04F"/>
    <w:rsid w:val="10DD3237"/>
    <w:rsid w:val="11311116"/>
    <w:rsid w:val="1143ECAB"/>
    <w:rsid w:val="11BD35DE"/>
    <w:rsid w:val="125EE3F8"/>
    <w:rsid w:val="12733B31"/>
    <w:rsid w:val="12E6E3E7"/>
    <w:rsid w:val="1359063F"/>
    <w:rsid w:val="13AC4802"/>
    <w:rsid w:val="13F901DD"/>
    <w:rsid w:val="1476D340"/>
    <w:rsid w:val="150A0B16"/>
    <w:rsid w:val="166641E8"/>
    <w:rsid w:val="16698EB3"/>
    <w:rsid w:val="170A205C"/>
    <w:rsid w:val="1815A37C"/>
    <w:rsid w:val="18D3FF56"/>
    <w:rsid w:val="190D6A95"/>
    <w:rsid w:val="190E304A"/>
    <w:rsid w:val="19124EB1"/>
    <w:rsid w:val="1943816D"/>
    <w:rsid w:val="19587B6C"/>
    <w:rsid w:val="195BC5E0"/>
    <w:rsid w:val="19745DAD"/>
    <w:rsid w:val="1A2944B9"/>
    <w:rsid w:val="1AC66AD3"/>
    <w:rsid w:val="1AF62BDF"/>
    <w:rsid w:val="1B28FD1E"/>
    <w:rsid w:val="1BA3DA3A"/>
    <w:rsid w:val="1BB9EF84"/>
    <w:rsid w:val="1C05ECAD"/>
    <w:rsid w:val="1C23595F"/>
    <w:rsid w:val="1CFFE363"/>
    <w:rsid w:val="1D8C74C6"/>
    <w:rsid w:val="1E078704"/>
    <w:rsid w:val="1E37AB93"/>
    <w:rsid w:val="1E40785A"/>
    <w:rsid w:val="209F005D"/>
    <w:rsid w:val="20BA58A1"/>
    <w:rsid w:val="20E54C52"/>
    <w:rsid w:val="214514E8"/>
    <w:rsid w:val="2178191C"/>
    <w:rsid w:val="219A7267"/>
    <w:rsid w:val="221A6A10"/>
    <w:rsid w:val="224A24A4"/>
    <w:rsid w:val="224DBE42"/>
    <w:rsid w:val="22AF5A4C"/>
    <w:rsid w:val="2384EC0A"/>
    <w:rsid w:val="24944251"/>
    <w:rsid w:val="24B068CB"/>
    <w:rsid w:val="259A1DF4"/>
    <w:rsid w:val="25A8D946"/>
    <w:rsid w:val="26149319"/>
    <w:rsid w:val="26C53127"/>
    <w:rsid w:val="26F9813F"/>
    <w:rsid w:val="26FA9B40"/>
    <w:rsid w:val="271DDE7E"/>
    <w:rsid w:val="274999BC"/>
    <w:rsid w:val="27AD7B5E"/>
    <w:rsid w:val="27EA7E73"/>
    <w:rsid w:val="2888A483"/>
    <w:rsid w:val="29529EA2"/>
    <w:rsid w:val="295C695A"/>
    <w:rsid w:val="299345AB"/>
    <w:rsid w:val="2A8E6375"/>
    <w:rsid w:val="2ABD48EC"/>
    <w:rsid w:val="2AEAB6C9"/>
    <w:rsid w:val="2AEF6AFC"/>
    <w:rsid w:val="2AFC697B"/>
    <w:rsid w:val="2BC0F74B"/>
    <w:rsid w:val="2BF64821"/>
    <w:rsid w:val="2C462F12"/>
    <w:rsid w:val="2CDE4C7A"/>
    <w:rsid w:val="2D254ECB"/>
    <w:rsid w:val="2D40609C"/>
    <w:rsid w:val="2D818F43"/>
    <w:rsid w:val="2F8B7CB0"/>
    <w:rsid w:val="3071E743"/>
    <w:rsid w:val="3139BF90"/>
    <w:rsid w:val="31B8D9CF"/>
    <w:rsid w:val="327C8BFD"/>
    <w:rsid w:val="32888911"/>
    <w:rsid w:val="331162DA"/>
    <w:rsid w:val="33411A56"/>
    <w:rsid w:val="33B481C9"/>
    <w:rsid w:val="3419ECB1"/>
    <w:rsid w:val="34493F07"/>
    <w:rsid w:val="3499B600"/>
    <w:rsid w:val="34B6B560"/>
    <w:rsid w:val="34F34826"/>
    <w:rsid w:val="3514E0A3"/>
    <w:rsid w:val="358DC0BF"/>
    <w:rsid w:val="363E61C4"/>
    <w:rsid w:val="369409DD"/>
    <w:rsid w:val="36FF12A2"/>
    <w:rsid w:val="37B7EEC9"/>
    <w:rsid w:val="37BB3C7A"/>
    <w:rsid w:val="3883C338"/>
    <w:rsid w:val="39298710"/>
    <w:rsid w:val="3A74EA5B"/>
    <w:rsid w:val="3B196626"/>
    <w:rsid w:val="3BEC13E7"/>
    <w:rsid w:val="3C0FB9C2"/>
    <w:rsid w:val="3CF35FEA"/>
    <w:rsid w:val="3D09A0DE"/>
    <w:rsid w:val="3D1F7F24"/>
    <w:rsid w:val="3D92AF99"/>
    <w:rsid w:val="3DE4A512"/>
    <w:rsid w:val="3E3A1A2D"/>
    <w:rsid w:val="3ED45AF8"/>
    <w:rsid w:val="3ED74F34"/>
    <w:rsid w:val="3F2044E6"/>
    <w:rsid w:val="3F3F5199"/>
    <w:rsid w:val="3F5B766C"/>
    <w:rsid w:val="3FA23669"/>
    <w:rsid w:val="3FF18DD5"/>
    <w:rsid w:val="402B30DB"/>
    <w:rsid w:val="407401B6"/>
    <w:rsid w:val="40C6D26E"/>
    <w:rsid w:val="4166B14D"/>
    <w:rsid w:val="419E4C93"/>
    <w:rsid w:val="4208204C"/>
    <w:rsid w:val="42843501"/>
    <w:rsid w:val="42A89016"/>
    <w:rsid w:val="437303AF"/>
    <w:rsid w:val="438CADB7"/>
    <w:rsid w:val="4437F340"/>
    <w:rsid w:val="4444111B"/>
    <w:rsid w:val="44731B5C"/>
    <w:rsid w:val="45E3FA00"/>
    <w:rsid w:val="4734DCFB"/>
    <w:rsid w:val="47F93B61"/>
    <w:rsid w:val="4968FC0C"/>
    <w:rsid w:val="496F88ED"/>
    <w:rsid w:val="49A14CBC"/>
    <w:rsid w:val="49AB3882"/>
    <w:rsid w:val="49B0B699"/>
    <w:rsid w:val="49BDE3D5"/>
    <w:rsid w:val="4A95AF58"/>
    <w:rsid w:val="4AC72675"/>
    <w:rsid w:val="4B837337"/>
    <w:rsid w:val="4C9DC05E"/>
    <w:rsid w:val="4DC99B73"/>
    <w:rsid w:val="4E7AE99D"/>
    <w:rsid w:val="4F48E73B"/>
    <w:rsid w:val="5102C5DE"/>
    <w:rsid w:val="510620AE"/>
    <w:rsid w:val="512F493A"/>
    <w:rsid w:val="5192C9DE"/>
    <w:rsid w:val="52015DB5"/>
    <w:rsid w:val="5300FA3C"/>
    <w:rsid w:val="530A9107"/>
    <w:rsid w:val="53DDCB59"/>
    <w:rsid w:val="53E3EA0A"/>
    <w:rsid w:val="546FDD93"/>
    <w:rsid w:val="5543B4E1"/>
    <w:rsid w:val="556A294B"/>
    <w:rsid w:val="5593C924"/>
    <w:rsid w:val="55E16F90"/>
    <w:rsid w:val="56868182"/>
    <w:rsid w:val="569BD111"/>
    <w:rsid w:val="572D02A4"/>
    <w:rsid w:val="581350EF"/>
    <w:rsid w:val="585D1D6F"/>
    <w:rsid w:val="587A7E6D"/>
    <w:rsid w:val="58C95F7F"/>
    <w:rsid w:val="596D1965"/>
    <w:rsid w:val="59AE6CEE"/>
    <w:rsid w:val="5A3F5A0E"/>
    <w:rsid w:val="5A5BC0E0"/>
    <w:rsid w:val="5AC41F20"/>
    <w:rsid w:val="5B35855B"/>
    <w:rsid w:val="5B8EBEA8"/>
    <w:rsid w:val="5BE63E85"/>
    <w:rsid w:val="5C473D44"/>
    <w:rsid w:val="5C736321"/>
    <w:rsid w:val="5C975B15"/>
    <w:rsid w:val="5CF82CBB"/>
    <w:rsid w:val="5D4A0354"/>
    <w:rsid w:val="5E15325D"/>
    <w:rsid w:val="5E2A63C6"/>
    <w:rsid w:val="5E726C44"/>
    <w:rsid w:val="5FBA63B8"/>
    <w:rsid w:val="6184D6D1"/>
    <w:rsid w:val="61F1E89D"/>
    <w:rsid w:val="6286CFA9"/>
    <w:rsid w:val="631A19A7"/>
    <w:rsid w:val="631EAFD9"/>
    <w:rsid w:val="63E6CFFC"/>
    <w:rsid w:val="64847DDF"/>
    <w:rsid w:val="64EB568F"/>
    <w:rsid w:val="65777B59"/>
    <w:rsid w:val="66AE7BD2"/>
    <w:rsid w:val="670F0AF8"/>
    <w:rsid w:val="6792B553"/>
    <w:rsid w:val="686C70EB"/>
    <w:rsid w:val="69075DAD"/>
    <w:rsid w:val="696D25E8"/>
    <w:rsid w:val="69DC1B42"/>
    <w:rsid w:val="6A2D04A5"/>
    <w:rsid w:val="6A44F8DB"/>
    <w:rsid w:val="6AEB1443"/>
    <w:rsid w:val="6B969BD1"/>
    <w:rsid w:val="6D42CFDF"/>
    <w:rsid w:val="6E7E63EA"/>
    <w:rsid w:val="6EF1B7B0"/>
    <w:rsid w:val="6F71E180"/>
    <w:rsid w:val="6F87C085"/>
    <w:rsid w:val="700AAB75"/>
    <w:rsid w:val="70A08ECC"/>
    <w:rsid w:val="70CEDB69"/>
    <w:rsid w:val="7182BCE1"/>
    <w:rsid w:val="71FD164B"/>
    <w:rsid w:val="72047EB2"/>
    <w:rsid w:val="721EB446"/>
    <w:rsid w:val="726DAA38"/>
    <w:rsid w:val="728120A9"/>
    <w:rsid w:val="72F99D30"/>
    <w:rsid w:val="73372254"/>
    <w:rsid w:val="733A5E78"/>
    <w:rsid w:val="736409BC"/>
    <w:rsid w:val="73F3FED4"/>
    <w:rsid w:val="74032AAB"/>
    <w:rsid w:val="7536F202"/>
    <w:rsid w:val="75C29756"/>
    <w:rsid w:val="760593C0"/>
    <w:rsid w:val="76269148"/>
    <w:rsid w:val="77CF01EC"/>
    <w:rsid w:val="7824DEA5"/>
    <w:rsid w:val="7930A40C"/>
    <w:rsid w:val="7943A1E3"/>
    <w:rsid w:val="7ACEF733"/>
    <w:rsid w:val="7B0BD5D9"/>
    <w:rsid w:val="7BBA955B"/>
    <w:rsid w:val="7BFEAF09"/>
    <w:rsid w:val="7C54EDD5"/>
    <w:rsid w:val="7C709608"/>
    <w:rsid w:val="7C943FE7"/>
    <w:rsid w:val="7CB2E655"/>
    <w:rsid w:val="7CF183D4"/>
    <w:rsid w:val="7D43B272"/>
    <w:rsid w:val="7ED35506"/>
    <w:rsid w:val="7ED40747"/>
    <w:rsid w:val="7F4D1FE1"/>
    <w:rsid w:val="7F6B8E76"/>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37352A"/>
  <w15:chartTrackingRefBased/>
  <w15:docId w15:val="{C719EE79-C48B-45E2-B52A-4342F072D1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E0DE9"/>
    <w:pPr>
      <w:tabs>
        <w:tab w:val="center" w:pos="4680"/>
        <w:tab w:val="right" w:pos="9360"/>
      </w:tabs>
      <w:spacing w:after="0" w:line="240" w:lineRule="auto"/>
    </w:pPr>
  </w:style>
  <w:style w:type="character" w:customStyle="1" w:styleId="HeaderChar">
    <w:name w:val="Header Char"/>
    <w:basedOn w:val="DefaultParagraphFont"/>
    <w:link w:val="Header"/>
    <w:uiPriority w:val="99"/>
    <w:rsid w:val="002E0DE9"/>
  </w:style>
  <w:style w:type="paragraph" w:styleId="Footer">
    <w:name w:val="footer"/>
    <w:basedOn w:val="Normal"/>
    <w:link w:val="FooterChar"/>
    <w:uiPriority w:val="99"/>
    <w:unhideWhenUsed/>
    <w:rsid w:val="002E0DE9"/>
    <w:pPr>
      <w:tabs>
        <w:tab w:val="center" w:pos="4680"/>
        <w:tab w:val="right" w:pos="9360"/>
      </w:tabs>
      <w:spacing w:after="0" w:line="240" w:lineRule="auto"/>
    </w:pPr>
  </w:style>
  <w:style w:type="character" w:customStyle="1" w:styleId="FooterChar">
    <w:name w:val="Footer Char"/>
    <w:basedOn w:val="DefaultParagraphFont"/>
    <w:link w:val="Footer"/>
    <w:uiPriority w:val="99"/>
    <w:rsid w:val="002E0DE9"/>
  </w:style>
  <w:style w:type="paragraph" w:styleId="BalloonText">
    <w:name w:val="Balloon Text"/>
    <w:basedOn w:val="Normal"/>
    <w:link w:val="BalloonTextChar"/>
    <w:uiPriority w:val="99"/>
    <w:semiHidden/>
    <w:unhideWhenUsed/>
    <w:rsid w:val="00EC6EE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C6EE1"/>
    <w:rPr>
      <w:rFonts w:ascii="Segoe UI" w:hAnsi="Segoe UI" w:cs="Segoe UI"/>
      <w:sz w:val="18"/>
      <w:szCs w:val="18"/>
    </w:rPr>
  </w:style>
  <w:style w:type="paragraph" w:styleId="ListParagraph">
    <w:name w:val="List Paragraph"/>
    <w:basedOn w:val="Normal"/>
    <w:link w:val="ListParagraphChar"/>
    <w:uiPriority w:val="34"/>
    <w:qFormat/>
    <w:rsid w:val="00DD3E44"/>
    <w:pPr>
      <w:ind w:left="720"/>
      <w:contextualSpacing/>
    </w:pPr>
  </w:style>
  <w:style w:type="paragraph" w:customStyle="1" w:styleId="Firstnumbering">
    <w:name w:val="First numbering"/>
    <w:basedOn w:val="ListParagraph"/>
    <w:link w:val="FirstnumberingChar"/>
    <w:qFormat/>
    <w:rsid w:val="008C3546"/>
    <w:pPr>
      <w:numPr>
        <w:numId w:val="2"/>
      </w:numPr>
      <w:spacing w:after="0" w:line="240" w:lineRule="auto"/>
      <w:ind w:left="567" w:hanging="567"/>
      <w:contextualSpacing w:val="0"/>
    </w:pPr>
  </w:style>
  <w:style w:type="paragraph" w:customStyle="1" w:styleId="Secondnumbering">
    <w:name w:val="Second numbering"/>
    <w:basedOn w:val="Firstnumbering"/>
    <w:link w:val="SecondnumberingChar"/>
    <w:qFormat/>
    <w:rsid w:val="00360838"/>
    <w:pPr>
      <w:numPr>
        <w:numId w:val="3"/>
      </w:numPr>
      <w:ind w:left="1134" w:hanging="283"/>
    </w:pPr>
  </w:style>
  <w:style w:type="character" w:customStyle="1" w:styleId="ListParagraphChar">
    <w:name w:val="List Paragraph Char"/>
    <w:basedOn w:val="DefaultParagraphFont"/>
    <w:link w:val="ListParagraph"/>
    <w:uiPriority w:val="34"/>
    <w:rsid w:val="008C3546"/>
    <w:rPr>
      <w:lang w:val="en-GB"/>
    </w:rPr>
  </w:style>
  <w:style w:type="character" w:customStyle="1" w:styleId="FirstnumberingChar">
    <w:name w:val="First numbering Char"/>
    <w:basedOn w:val="ListParagraphChar"/>
    <w:link w:val="Firstnumbering"/>
    <w:rsid w:val="008C3546"/>
    <w:rPr>
      <w:lang w:val="en-GB"/>
    </w:rPr>
  </w:style>
  <w:style w:type="paragraph" w:customStyle="1" w:styleId="Thirdnumberingi">
    <w:name w:val="Third numbering i)"/>
    <w:basedOn w:val="Secondnumbering"/>
    <w:link w:val="ThirdnumberingiChar"/>
    <w:qFormat/>
    <w:rsid w:val="00360838"/>
    <w:pPr>
      <w:numPr>
        <w:numId w:val="4"/>
      </w:numPr>
      <w:ind w:left="1701" w:hanging="283"/>
    </w:pPr>
  </w:style>
  <w:style w:type="character" w:customStyle="1" w:styleId="SecondnumberingChar">
    <w:name w:val="Second numbering Char"/>
    <w:basedOn w:val="FirstnumberingChar"/>
    <w:link w:val="Secondnumbering"/>
    <w:rsid w:val="00360838"/>
    <w:rPr>
      <w:lang w:val="en-GB"/>
    </w:rPr>
  </w:style>
  <w:style w:type="paragraph" w:customStyle="1" w:styleId="FourthnumberingA">
    <w:name w:val="Fourth numbering A."/>
    <w:basedOn w:val="Thirdnumberingi"/>
    <w:link w:val="FourthnumberingAChar"/>
    <w:qFormat/>
    <w:rsid w:val="00360838"/>
    <w:pPr>
      <w:numPr>
        <w:numId w:val="5"/>
      </w:numPr>
      <w:ind w:left="2268" w:hanging="283"/>
    </w:pPr>
  </w:style>
  <w:style w:type="character" w:customStyle="1" w:styleId="ThirdnumberingiChar">
    <w:name w:val="Third numbering i) Char"/>
    <w:basedOn w:val="SecondnumberingChar"/>
    <w:link w:val="Thirdnumberingi"/>
    <w:rsid w:val="00360838"/>
    <w:rPr>
      <w:lang w:val="en-GB"/>
    </w:rPr>
  </w:style>
  <w:style w:type="paragraph" w:customStyle="1" w:styleId="Title1">
    <w:name w:val="Title1"/>
    <w:basedOn w:val="Normal"/>
    <w:link w:val="TITLEChar"/>
    <w:qFormat/>
    <w:rsid w:val="004B7071"/>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jc w:val="center"/>
      <w:textAlignment w:val="baseline"/>
      <w:outlineLvl w:val="1"/>
    </w:pPr>
    <w:rPr>
      <w:rFonts w:eastAsia="Times New Roman" w:cs="Arial"/>
      <w:b/>
      <w:caps/>
    </w:rPr>
  </w:style>
  <w:style w:type="character" w:customStyle="1" w:styleId="FourthnumberingAChar">
    <w:name w:val="Fourth numbering A. Char"/>
    <w:basedOn w:val="ThirdnumberingiChar"/>
    <w:link w:val="FourthnumberingA"/>
    <w:rsid w:val="00360838"/>
    <w:rPr>
      <w:lang w:val="en-GB"/>
    </w:rPr>
  </w:style>
  <w:style w:type="character" w:customStyle="1" w:styleId="TITLEChar">
    <w:name w:val="TITLE Char"/>
    <w:basedOn w:val="DefaultParagraphFont"/>
    <w:link w:val="Title1"/>
    <w:rsid w:val="004B7071"/>
    <w:rPr>
      <w:rFonts w:eastAsia="Times New Roman" w:cs="Arial"/>
      <w:b/>
      <w:caps/>
      <w:lang w:val="en-GB"/>
    </w:rPr>
  </w:style>
  <w:style w:type="paragraph" w:styleId="Revision">
    <w:name w:val="Revision"/>
    <w:hidden/>
    <w:uiPriority w:val="99"/>
    <w:semiHidden/>
    <w:rsid w:val="00BE0EA7"/>
    <w:pPr>
      <w:spacing w:after="0" w:line="240" w:lineRule="auto"/>
    </w:pPr>
    <w:rPr>
      <w:lang w:val="en-GB"/>
    </w:rPr>
  </w:style>
  <w:style w:type="character" w:styleId="Hyperlink">
    <w:name w:val="Hyperlink"/>
    <w:qFormat/>
    <w:rsid w:val="008404DA"/>
    <w:rPr>
      <w:color w:val="0000FF"/>
      <w:u w:val="single"/>
    </w:rPr>
  </w:style>
  <w:style w:type="character" w:styleId="CommentReference">
    <w:name w:val="annotation reference"/>
    <w:basedOn w:val="DefaultParagraphFont"/>
    <w:uiPriority w:val="99"/>
    <w:semiHidden/>
    <w:unhideWhenUsed/>
    <w:rsid w:val="00B3332A"/>
    <w:rPr>
      <w:sz w:val="16"/>
      <w:szCs w:val="16"/>
    </w:rPr>
  </w:style>
  <w:style w:type="paragraph" w:styleId="FootnoteText">
    <w:name w:val="footnote text"/>
    <w:basedOn w:val="Normal"/>
    <w:link w:val="FootnoteTextChar"/>
    <w:uiPriority w:val="99"/>
    <w:semiHidden/>
    <w:unhideWhenUsed/>
    <w:rsid w:val="00057FEF"/>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057FEF"/>
    <w:rPr>
      <w:sz w:val="20"/>
      <w:szCs w:val="20"/>
      <w:lang w:val="en-GB"/>
    </w:rPr>
  </w:style>
  <w:style w:type="character" w:styleId="FootnoteReference">
    <w:name w:val="footnote reference"/>
    <w:basedOn w:val="DefaultParagraphFont"/>
    <w:uiPriority w:val="99"/>
    <w:semiHidden/>
    <w:unhideWhenUsed/>
    <w:rsid w:val="00057FEF"/>
    <w:rPr>
      <w:vertAlign w:val="superscript"/>
    </w:rPr>
  </w:style>
  <w:style w:type="paragraph" w:styleId="CommentText">
    <w:name w:val="annotation text"/>
    <w:basedOn w:val="Normal"/>
    <w:link w:val="CommentTextChar"/>
    <w:uiPriority w:val="99"/>
    <w:unhideWhenUsed/>
    <w:rsid w:val="00643C78"/>
    <w:pPr>
      <w:spacing w:line="240" w:lineRule="auto"/>
    </w:pPr>
    <w:rPr>
      <w:sz w:val="20"/>
      <w:szCs w:val="20"/>
    </w:rPr>
  </w:style>
  <w:style w:type="character" w:customStyle="1" w:styleId="CommentTextChar">
    <w:name w:val="Comment Text Char"/>
    <w:basedOn w:val="DefaultParagraphFont"/>
    <w:link w:val="CommentText"/>
    <w:uiPriority w:val="99"/>
    <w:rsid w:val="00643C78"/>
    <w:rPr>
      <w:sz w:val="20"/>
      <w:szCs w:val="20"/>
      <w:lang w:val="en-GB"/>
    </w:rPr>
  </w:style>
  <w:style w:type="paragraph" w:styleId="CommentSubject">
    <w:name w:val="annotation subject"/>
    <w:basedOn w:val="CommentText"/>
    <w:next w:val="CommentText"/>
    <w:link w:val="CommentSubjectChar"/>
    <w:uiPriority w:val="99"/>
    <w:semiHidden/>
    <w:unhideWhenUsed/>
    <w:rsid w:val="00643C78"/>
    <w:rPr>
      <w:b/>
      <w:bCs/>
    </w:rPr>
  </w:style>
  <w:style w:type="character" w:customStyle="1" w:styleId="CommentSubjectChar">
    <w:name w:val="Comment Subject Char"/>
    <w:basedOn w:val="CommentTextChar"/>
    <w:link w:val="CommentSubject"/>
    <w:uiPriority w:val="99"/>
    <w:semiHidden/>
    <w:rsid w:val="00643C78"/>
    <w:rPr>
      <w:b/>
      <w:bCs/>
      <w:sz w:val="20"/>
      <w:szCs w:val="20"/>
      <w:lang w:val="en-GB"/>
    </w:rPr>
  </w:style>
  <w:style w:type="character" w:styleId="UnresolvedMention">
    <w:name w:val="Unresolved Mention"/>
    <w:basedOn w:val="DefaultParagraphFont"/>
    <w:uiPriority w:val="99"/>
    <w:unhideWhenUsed/>
    <w:rsid w:val="00874209"/>
    <w:rPr>
      <w:color w:val="605E5C"/>
      <w:shd w:val="clear" w:color="auto" w:fill="E1DFDD"/>
    </w:rPr>
  </w:style>
  <w:style w:type="character" w:styleId="Strong">
    <w:name w:val="Strong"/>
    <w:basedOn w:val="DefaultParagraphFont"/>
    <w:uiPriority w:val="22"/>
    <w:qFormat/>
    <w:rsid w:val="00723E7F"/>
    <w:rPr>
      <w:b/>
      <w:bCs/>
    </w:rPr>
  </w:style>
  <w:style w:type="character" w:styleId="FollowedHyperlink">
    <w:name w:val="FollowedHyperlink"/>
    <w:basedOn w:val="DefaultParagraphFont"/>
    <w:uiPriority w:val="99"/>
    <w:semiHidden/>
    <w:unhideWhenUsed/>
    <w:rsid w:val="00723E7F"/>
    <w:rPr>
      <w:color w:val="954F72" w:themeColor="followedHyperlink"/>
      <w:u w:val="single"/>
    </w:rPr>
  </w:style>
  <w:style w:type="character" w:styleId="Mention">
    <w:name w:val="Mention"/>
    <w:basedOn w:val="DefaultParagraphFont"/>
    <w:uiPriority w:val="99"/>
    <w:unhideWhenUsed/>
    <w:rsid w:val="00723E7F"/>
    <w:rPr>
      <w:color w:val="2B579A"/>
      <w:shd w:val="clear" w:color="auto" w:fill="E1DFDD"/>
    </w:rPr>
  </w:style>
  <w:style w:type="paragraph" w:styleId="NormalWeb">
    <w:name w:val="Normal (Web)"/>
    <w:basedOn w:val="Normal"/>
    <w:uiPriority w:val="99"/>
    <w:semiHidden/>
    <w:unhideWhenUsed/>
    <w:rsid w:val="000A1E8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f0">
    <w:name w:val="pf0"/>
    <w:basedOn w:val="Normal"/>
    <w:rsid w:val="001202C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f01">
    <w:name w:val="cf01"/>
    <w:basedOn w:val="DefaultParagraphFont"/>
    <w:rsid w:val="001202C2"/>
    <w:rPr>
      <w:rFonts w:ascii="Segoe UI" w:hAnsi="Segoe UI" w:cs="Segoe UI" w:hint="default"/>
      <w:sz w:val="18"/>
      <w:szCs w:val="18"/>
    </w:rPr>
  </w:style>
  <w:style w:type="character" w:customStyle="1" w:styleId="cf11">
    <w:name w:val="cf11"/>
    <w:basedOn w:val="DefaultParagraphFont"/>
    <w:rsid w:val="001202C2"/>
    <w:rPr>
      <w:rFonts w:ascii="Segoe UI" w:hAnsi="Segoe UI" w:cs="Segoe UI" w:hint="default"/>
      <w:i/>
      <w:iCs/>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8020981">
      <w:bodyDiv w:val="1"/>
      <w:marLeft w:val="0"/>
      <w:marRight w:val="0"/>
      <w:marTop w:val="0"/>
      <w:marBottom w:val="0"/>
      <w:divBdr>
        <w:top w:val="none" w:sz="0" w:space="0" w:color="auto"/>
        <w:left w:val="none" w:sz="0" w:space="0" w:color="auto"/>
        <w:bottom w:val="none" w:sz="0" w:space="0" w:color="auto"/>
        <w:right w:val="none" w:sz="0" w:space="0" w:color="auto"/>
      </w:divBdr>
    </w:div>
    <w:div w:id="371422035">
      <w:bodyDiv w:val="1"/>
      <w:marLeft w:val="0"/>
      <w:marRight w:val="0"/>
      <w:marTop w:val="0"/>
      <w:marBottom w:val="0"/>
      <w:divBdr>
        <w:top w:val="none" w:sz="0" w:space="0" w:color="auto"/>
        <w:left w:val="none" w:sz="0" w:space="0" w:color="auto"/>
        <w:bottom w:val="none" w:sz="0" w:space="0" w:color="auto"/>
        <w:right w:val="none" w:sz="0" w:space="0" w:color="auto"/>
      </w:divBdr>
    </w:div>
    <w:div w:id="459033813">
      <w:bodyDiv w:val="1"/>
      <w:marLeft w:val="0"/>
      <w:marRight w:val="0"/>
      <w:marTop w:val="0"/>
      <w:marBottom w:val="0"/>
      <w:divBdr>
        <w:top w:val="none" w:sz="0" w:space="0" w:color="auto"/>
        <w:left w:val="none" w:sz="0" w:space="0" w:color="auto"/>
        <w:bottom w:val="none" w:sz="0" w:space="0" w:color="auto"/>
        <w:right w:val="none" w:sz="0" w:space="0" w:color="auto"/>
      </w:divBdr>
      <w:divsChild>
        <w:div w:id="434180715">
          <w:marLeft w:val="0"/>
          <w:marRight w:val="0"/>
          <w:marTop w:val="0"/>
          <w:marBottom w:val="0"/>
          <w:divBdr>
            <w:top w:val="none" w:sz="0" w:space="0" w:color="auto"/>
            <w:left w:val="none" w:sz="0" w:space="0" w:color="auto"/>
            <w:bottom w:val="none" w:sz="0" w:space="0" w:color="auto"/>
            <w:right w:val="none" w:sz="0" w:space="0" w:color="auto"/>
          </w:divBdr>
        </w:div>
      </w:divsChild>
    </w:div>
    <w:div w:id="1261599106">
      <w:bodyDiv w:val="1"/>
      <w:marLeft w:val="0"/>
      <w:marRight w:val="0"/>
      <w:marTop w:val="0"/>
      <w:marBottom w:val="0"/>
      <w:divBdr>
        <w:top w:val="none" w:sz="0" w:space="0" w:color="auto"/>
        <w:left w:val="none" w:sz="0" w:space="0" w:color="auto"/>
        <w:bottom w:val="none" w:sz="0" w:space="0" w:color="auto"/>
        <w:right w:val="none" w:sz="0" w:space="0" w:color="auto"/>
      </w:divBdr>
    </w:div>
    <w:div w:id="1303731131">
      <w:bodyDiv w:val="1"/>
      <w:marLeft w:val="0"/>
      <w:marRight w:val="0"/>
      <w:marTop w:val="0"/>
      <w:marBottom w:val="0"/>
      <w:divBdr>
        <w:top w:val="none" w:sz="0" w:space="0" w:color="auto"/>
        <w:left w:val="none" w:sz="0" w:space="0" w:color="auto"/>
        <w:bottom w:val="none" w:sz="0" w:space="0" w:color="auto"/>
        <w:right w:val="none" w:sz="0" w:space="0" w:color="auto"/>
      </w:divBdr>
    </w:div>
    <w:div w:id="1336302381">
      <w:bodyDiv w:val="1"/>
      <w:marLeft w:val="0"/>
      <w:marRight w:val="0"/>
      <w:marTop w:val="0"/>
      <w:marBottom w:val="0"/>
      <w:divBdr>
        <w:top w:val="none" w:sz="0" w:space="0" w:color="auto"/>
        <w:left w:val="none" w:sz="0" w:space="0" w:color="auto"/>
        <w:bottom w:val="none" w:sz="0" w:space="0" w:color="auto"/>
        <w:right w:val="none" w:sz="0" w:space="0" w:color="auto"/>
      </w:divBdr>
    </w:div>
    <w:div w:id="1393773255">
      <w:bodyDiv w:val="1"/>
      <w:marLeft w:val="0"/>
      <w:marRight w:val="0"/>
      <w:marTop w:val="0"/>
      <w:marBottom w:val="0"/>
      <w:divBdr>
        <w:top w:val="none" w:sz="0" w:space="0" w:color="auto"/>
        <w:left w:val="none" w:sz="0" w:space="0" w:color="auto"/>
        <w:bottom w:val="none" w:sz="0" w:space="0" w:color="auto"/>
        <w:right w:val="none" w:sz="0" w:space="0" w:color="auto"/>
      </w:divBdr>
    </w:div>
    <w:div w:id="1503397174">
      <w:bodyDiv w:val="1"/>
      <w:marLeft w:val="0"/>
      <w:marRight w:val="0"/>
      <w:marTop w:val="0"/>
      <w:marBottom w:val="0"/>
      <w:divBdr>
        <w:top w:val="none" w:sz="0" w:space="0" w:color="auto"/>
        <w:left w:val="none" w:sz="0" w:space="0" w:color="auto"/>
        <w:bottom w:val="none" w:sz="0" w:space="0" w:color="auto"/>
        <w:right w:val="none" w:sz="0" w:space="0" w:color="auto"/>
      </w:divBdr>
    </w:div>
    <w:div w:id="1785997899">
      <w:bodyDiv w:val="1"/>
      <w:marLeft w:val="0"/>
      <w:marRight w:val="0"/>
      <w:marTop w:val="0"/>
      <w:marBottom w:val="0"/>
      <w:divBdr>
        <w:top w:val="none" w:sz="0" w:space="0" w:color="auto"/>
        <w:left w:val="none" w:sz="0" w:space="0" w:color="auto"/>
        <w:bottom w:val="none" w:sz="0" w:space="0" w:color="auto"/>
        <w:right w:val="none" w:sz="0" w:space="0" w:color="auto"/>
      </w:divBdr>
    </w:div>
    <w:div w:id="1918242474">
      <w:bodyDiv w:val="1"/>
      <w:marLeft w:val="0"/>
      <w:marRight w:val="0"/>
      <w:marTop w:val="0"/>
      <w:marBottom w:val="0"/>
      <w:divBdr>
        <w:top w:val="none" w:sz="0" w:space="0" w:color="auto"/>
        <w:left w:val="none" w:sz="0" w:space="0" w:color="auto"/>
        <w:bottom w:val="none" w:sz="0" w:space="0" w:color="auto"/>
        <w:right w:val="none" w:sz="0" w:space="0" w:color="auto"/>
      </w:divBdr>
    </w:div>
    <w:div w:id="1957365648">
      <w:bodyDiv w:val="1"/>
      <w:marLeft w:val="0"/>
      <w:marRight w:val="0"/>
      <w:marTop w:val="0"/>
      <w:marBottom w:val="0"/>
      <w:divBdr>
        <w:top w:val="none" w:sz="0" w:space="0" w:color="auto"/>
        <w:left w:val="none" w:sz="0" w:space="0" w:color="auto"/>
        <w:bottom w:val="none" w:sz="0" w:space="0" w:color="auto"/>
        <w:right w:val="none" w:sz="0" w:space="0" w:color="auto"/>
      </w:divBdr>
    </w:div>
    <w:div w:id="2092660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https://wwwcdn.imo.org/localresources/en/OurWork/Environment/Documents/A24-Res.982.pdf" TargetMode="External"/><Relationship Id="rId26" Type="http://schemas.openxmlformats.org/officeDocument/2006/relationships/header" Target="header4.xml"/><Relationship Id="rId39" Type="http://schemas.openxmlformats.org/officeDocument/2006/relationships/header" Target="header14.xml"/><Relationship Id="rId21" Type="http://schemas.openxmlformats.org/officeDocument/2006/relationships/hyperlink" Target="https://iwc.int/document_3701" TargetMode="External"/><Relationship Id="rId34" Type="http://schemas.openxmlformats.org/officeDocument/2006/relationships/header" Target="header10.xml"/><Relationship Id="rId42" Type="http://schemas.openxmlformats.org/officeDocument/2006/relationships/theme" Target="theme/theme1.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yperlink" Target="https://archive.iwc.int/?r=19859" TargetMode="External"/><Relationship Id="rId29" Type="http://schemas.openxmlformats.org/officeDocument/2006/relationships/footer" Target="footer4.xm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24" Type="http://schemas.openxmlformats.org/officeDocument/2006/relationships/hyperlink" Target="https://www.cms.int/en/document/limiting-global-ship-strike-whale-sharks-understanding-increasing-threat-world%E2%80%99s-largest" TargetMode="External"/><Relationship Id="rId32" Type="http://schemas.openxmlformats.org/officeDocument/2006/relationships/header" Target="header9.xml"/><Relationship Id="rId37" Type="http://schemas.openxmlformats.org/officeDocument/2006/relationships/hyperlink" Target="https://www.cms.int/en/document/limiting-global-ship-strike-whale-sharks-understanding-increasing-threat-world%E2%80%99s-largest" TargetMode="External"/><Relationship Id="rId40" Type="http://schemas.openxmlformats.org/officeDocument/2006/relationships/header" Target="header15.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hyperlink" Target="https://www.cms.int/en/document/concerted-action-whale-shark-rhincodon-typus-2" TargetMode="External"/><Relationship Id="rId28" Type="http://schemas.openxmlformats.org/officeDocument/2006/relationships/header" Target="header6.xml"/><Relationship Id="rId36" Type="http://schemas.openxmlformats.org/officeDocument/2006/relationships/header" Target="header12.xml"/><Relationship Id="rId10" Type="http://schemas.openxmlformats.org/officeDocument/2006/relationships/endnotes" Target="endnotes.xml"/><Relationship Id="rId19" Type="http://schemas.openxmlformats.org/officeDocument/2006/relationships/hyperlink" Target="https://archive.iwc.int/?r=19858" TargetMode="External"/><Relationship Id="rId31" Type="http://schemas.openxmlformats.org/officeDocument/2006/relationships/header" Target="header8.xml"/><Relationship Id="rId44" Type="http://schemas.microsoft.com/office/2020/10/relationships/intelligence" Target="intelligence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yperlink" Target="https://portal.iwc.int/shipstrike" TargetMode="External"/><Relationship Id="rId27" Type="http://schemas.openxmlformats.org/officeDocument/2006/relationships/header" Target="header5.xml"/><Relationship Id="rId30" Type="http://schemas.openxmlformats.org/officeDocument/2006/relationships/header" Target="header7.xml"/><Relationship Id="rId35" Type="http://schemas.openxmlformats.org/officeDocument/2006/relationships/header" Target="header11.xml"/><Relationship Id="rId43" Type="http://schemas.microsoft.com/office/2019/05/relationships/documenttasks" Target="documenttasks/documenttasks1.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yperlink" Target="https://www.cms.int/en/document/limiting-global-ship-strike-whale-sharks-understanding-increasing-threat-world%E2%80%99s-largest" TargetMode="External"/><Relationship Id="rId33" Type="http://schemas.openxmlformats.org/officeDocument/2006/relationships/hyperlink" Target="https://www.cms.int/en/document/limiting-global-ship-strike-whale-sharks-understanding-increasing-threat-world%E2%80%99s-largest" TargetMode="External"/><Relationship Id="rId38" Type="http://schemas.openxmlformats.org/officeDocument/2006/relationships/header" Target="header13.xml"/></Relationships>
</file>

<file path=word/_rels/footnotes.xml.rels><?xml version="1.0" encoding="UTF-8" standalone="yes"?>
<Relationships xmlns="http://schemas.openxmlformats.org/package/2006/relationships"><Relationship Id="rId2" Type="http://schemas.openxmlformats.org/officeDocument/2006/relationships/hyperlink" Target="https://doi.org/10.1073/pnas.2117440119" TargetMode="External"/><Relationship Id="rId1" Type="http://schemas.openxmlformats.org/officeDocument/2006/relationships/hyperlink" Target="https://www.fisheries.noaa.gov/insight/understanding-vessel-strikes" TargetMode="External"/></Relationships>
</file>

<file path=word/_rels/header3.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s>
</file>

<file path=word/documenttasks/documenttasks1.xml><?xml version="1.0" encoding="utf-8"?>
<t:Tasks xmlns:t="http://schemas.microsoft.com/office/tasks/2019/documenttasks" xmlns:oel="http://schemas.microsoft.com/office/2019/extlst">
  <t:Task id="{0741E1E3-0C9E-4418-A791-AF384FB12B6C}">
    <t:Anchor>
      <t:Comment id="673940058"/>
    </t:Anchor>
    <t:History>
      <t:Event id="{67EB3259-C1F8-44A6-A9C6-F94097A09C90}" time="2023-06-08T12:08:11.285Z">
        <t:Attribution userId="S::andrea.pauly@un.org::23bd970f-be75-432a-b32c-d0f0067ed5c7" userProvider="AD" userName="Andrea Pauly"/>
        <t:Anchor>
          <t:Comment id="673996619"/>
        </t:Anchor>
        <t:Create/>
      </t:Event>
      <t:Event id="{AF83DFB5-9E5E-4746-8CA0-E64393CC2D2A}" time="2023-06-08T12:08:11.285Z">
        <t:Attribution userId="S::andrea.pauly@un.org::23bd970f-be75-432a-b32c-d0f0067ed5c7" userProvider="AD" userName="Andrea Pauly"/>
        <t:Anchor>
          <t:Comment id="673996619"/>
        </t:Anchor>
        <t:Assign userId="S::amy.fraenkel@un.org::b64277d6-550e-4bac-85c9-0550b4db5911" userProvider="AD" userName="Amy Fraenkel"/>
      </t:Event>
      <t:Event id="{235BD22C-8BC8-4F2F-9F2E-2D845E2B6BF9}" time="2023-06-08T12:08:11.285Z">
        <t:Attribution userId="S::andrea.pauly@un.org::23bd970f-be75-432a-b32c-d0f0067ed5c7" userProvider="AD" userName="Andrea Pauly"/>
        <t:Anchor>
          <t:Comment id="673996619"/>
        </t:Anchor>
        <t:SetTitle title="@Amy Fraenkel I am not sure if I understand you. Do you mean best practice based on 14 BB a)? The studies requested in 14 BB b) and c) would already build on and describe existing best practice and go a step further by applying these to make…"/>
      </t:Event>
      <t:Event id="{E0E4486B-463D-4462-A35D-3895B123111E}" time="2023-06-08T14:05:39.944Z">
        <t:Attribution userId="S::andrea.pauly@un.org::23bd970f-be75-432a-b32c-d0f0067ed5c7" userProvider="AD" userName="Andrea Pauly"/>
        <t:Progress percentComplete="100"/>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929416AA0540C42B015682282C961AD" ma:contentTypeVersion="22" ma:contentTypeDescription="Create a new document." ma:contentTypeScope="" ma:versionID="b56ac580cc3504ca1f935172aec52793">
  <xsd:schema xmlns:xsd="http://www.w3.org/2001/XMLSchema" xmlns:xs="http://www.w3.org/2001/XMLSchema" xmlns:p="http://schemas.microsoft.com/office/2006/metadata/properties" xmlns:ns2="a7b50396-0b06-45c1-b28e-46f86d566a10" xmlns:ns3="985ec44e-1bab-4c0b-9df0-6ba128686fc9" xmlns:ns4="c15478a5-0be8-4f5d-8383-b307d5ba8bf6" targetNamespace="http://schemas.microsoft.com/office/2006/metadata/properties" ma:root="true" ma:fieldsID="b8a5995ffe2906d89643a286e884b0bc" ns2:_="" ns3:_="" ns4:_="">
    <xsd:import namespace="a7b50396-0b06-45c1-b28e-46f86d566a10"/>
    <xsd:import namespace="985ec44e-1bab-4c0b-9df0-6ba128686fc9"/>
    <xsd:import namespace="c15478a5-0be8-4f5d-8383-b307d5ba8bf6"/>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2:MediaLengthInSeconds" minOccurs="0"/>
                <xsd:element ref="ns4:SharedWithUsers" minOccurs="0"/>
                <xsd:element ref="ns4:SharedWithDetails" minOccurs="0"/>
                <xsd:element ref="ns4:TaxKeywordTaxHTField" minOccurs="0"/>
                <xsd:element ref="ns2:_Flow_SignoffStatus" minOccurs="0"/>
                <xsd:element ref="ns2:Reviewer" minOccurs="0"/>
                <xsd:element ref="ns2:MariaJoseOrtiz" minOccurs="0"/>
                <xsd:element ref="ns2:MediaServiceObjectDetectorVersions" minOccurs="0"/>
                <xsd:element ref="ns2:Not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b50396-0b06-45c1-b28e-46f86d566a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_Flow_SignoffStatus" ma:index="23" nillable="true" ma:displayName="Sign-off status" ma:internalName="Sign_x002d_off_x0020_status">
      <xsd:simpleType>
        <xsd:restriction base="dms:Text"/>
      </xsd:simpleType>
    </xsd:element>
    <xsd:element name="Reviewer" ma:index="24" nillable="true" ma:displayName="Reviewer" ma:format="Dropdown" ma:internalName="Reviewer">
      <xsd:simpleType>
        <xsd:restriction base="dms:Text">
          <xsd:maxLength value="255"/>
        </xsd:restriction>
      </xsd:simpleType>
    </xsd:element>
    <xsd:element name="MariaJoseOrtiz" ma:index="25" nillable="true" ma:displayName="Maria Jose Ortiz" ma:description="REVISED BY AF" ma:format="Dropdown" ma:internalName="MariaJoseOrtiz">
      <xsd:simpleType>
        <xsd:restriction base="dms:Text">
          <xsd:maxLength value="255"/>
        </xsd:restriction>
      </xsd:simple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Notes" ma:index="27" nillable="true" ma:displayName="Notes" ma:format="Dropdown" ma:internalName="Notes">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9db64542-7ae3-4878-aafe-ea4cd8782300}" ma:internalName="TaxCatchAll" ma:showField="CatchAllData" ma:web="c15478a5-0be8-4f5d-8383-b307d5ba8bf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5478a5-0be8-4f5d-8383-b307d5ba8bf6"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KeywordTaxHTField" ma:index="22" nillable="true" ma:taxonomy="true" ma:internalName="TaxKeywordTaxHTField" ma:taxonomyFieldName="TaxKeyword" ma:displayName="Enterprise Keywords" ma:fieldId="{23f27201-bee3-471e-b2e7-b64fd8b7ca38}" ma:taxonomyMulti="true" ma:sspId="78175662-8596-484a-92c7-351d01561e22" ma:termSetId="00000000-0000-0000-0000-000000000000" ma:anchorId="00000000-0000-0000-0000-000000000000" ma:open="true" ma:isKeyword="tru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985ec44e-1bab-4c0b-9df0-6ba128686fc9" xsi:nil="true"/>
    <lcf76f155ced4ddcb4097134ff3c332f xmlns="a7b50396-0b06-45c1-b28e-46f86d566a10">
      <Terms xmlns="http://schemas.microsoft.com/office/infopath/2007/PartnerControls"/>
    </lcf76f155ced4ddcb4097134ff3c332f>
    <SharedWithUsers xmlns="c15478a5-0be8-4f5d-8383-b307d5ba8bf6">
      <UserInfo>
        <DisplayName>Andrea Pauly</DisplayName>
        <AccountId>15</AccountId>
        <AccountType/>
      </UserInfo>
      <UserInfo>
        <DisplayName>Aydin Bahramlouian</DisplayName>
        <AccountId>29</AccountId>
        <AccountType/>
      </UserInfo>
    </SharedWithUsers>
    <MediaLengthInSeconds xmlns="a7b50396-0b06-45c1-b28e-46f86d566a10" xsi:nil="true"/>
    <_Flow_SignoffStatus xmlns="a7b50396-0b06-45c1-b28e-46f86d566a10" xsi:nil="true"/>
    <TaxKeywordTaxHTField xmlns="c15478a5-0be8-4f5d-8383-b307d5ba8bf6">
      <Terms xmlns="http://schemas.microsoft.com/office/infopath/2007/PartnerControls"/>
    </TaxKeywordTaxHTField>
    <Reviewer xmlns="a7b50396-0b06-45c1-b28e-46f86d566a10" xsi:nil="true"/>
    <MariaJoseOrtiz xmlns="a7b50396-0b06-45c1-b28e-46f86d566a10" xsi:nil="true"/>
    <Notes xmlns="a7b50396-0b06-45c1-b28e-46f86d566a10"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E93C83F-0B94-4AA7-82CA-1B7FB5FAC14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b50396-0b06-45c1-b28e-46f86d566a10"/>
    <ds:schemaRef ds:uri="985ec44e-1bab-4c0b-9df0-6ba128686fc9"/>
    <ds:schemaRef ds:uri="c15478a5-0be8-4f5d-8383-b307d5ba8b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A91D587-9E82-4B3D-A46E-3C50A20EEAB9}">
  <ds:schemaRefs>
    <ds:schemaRef ds:uri="http://schemas.microsoft.com/office/2006/metadata/properties"/>
    <ds:schemaRef ds:uri="http://schemas.microsoft.com/office/infopath/2007/PartnerControls"/>
    <ds:schemaRef ds:uri="985ec44e-1bab-4c0b-9df0-6ba128686fc9"/>
    <ds:schemaRef ds:uri="a7b50396-0b06-45c1-b28e-46f86d566a10"/>
    <ds:schemaRef ds:uri="c15478a5-0be8-4f5d-8383-b307d5ba8bf6"/>
  </ds:schemaRefs>
</ds:datastoreItem>
</file>

<file path=customXml/itemProps3.xml><?xml version="1.0" encoding="utf-8"?>
<ds:datastoreItem xmlns:ds="http://schemas.openxmlformats.org/officeDocument/2006/customXml" ds:itemID="{BB5D1E64-5405-4F8B-B34D-63239168DDA9}">
  <ds:schemaRefs>
    <ds:schemaRef ds:uri="http://schemas.openxmlformats.org/officeDocument/2006/bibliography"/>
  </ds:schemaRefs>
</ds:datastoreItem>
</file>

<file path=customXml/itemProps4.xml><?xml version="1.0" encoding="utf-8"?>
<ds:datastoreItem xmlns:ds="http://schemas.openxmlformats.org/officeDocument/2006/customXml" ds:itemID="{EF1E4C1E-28C2-42F6-892F-A040F7552B1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72</TotalTime>
  <Pages>14</Pages>
  <Words>5174</Words>
  <Characters>29492</Characters>
  <Application>Microsoft Office Word</Application>
  <DocSecurity>0</DocSecurity>
  <Lines>245</Lines>
  <Paragraphs>69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34597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cp:keywords/>
  <dc:description/>
  <cp:lastModifiedBy>Ximena Victoria Cancino Ordenes</cp:lastModifiedBy>
  <cp:revision>29</cp:revision>
  <cp:lastPrinted>2019-09-19T20:54:00Z</cp:lastPrinted>
  <dcterms:created xsi:type="dcterms:W3CDTF">2023-06-19T07:21:00Z</dcterms:created>
  <dcterms:modified xsi:type="dcterms:W3CDTF">2023-08-07T13:16:00Z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05bc49294cfdd6bcb19e861dd6bbfaf8b0152488cac6a0cfe63811c813a85bae</vt:lpwstr>
  </property>
  <property fmtid="{D5CDD505-2E9C-101B-9397-08002B2CF9AE}" pid="3" name="ContentTypeId">
    <vt:lpwstr>0x0101009929416AA0540C42B015682282C961AD</vt:lpwstr>
  </property>
  <property fmtid="{D5CDD505-2E9C-101B-9397-08002B2CF9AE}" pid="4" name="Order">
    <vt:r8>100</vt:r8>
  </property>
  <property fmtid="{D5CDD505-2E9C-101B-9397-08002B2CF9AE}" pid="5" name="TaxKeyword">
    <vt:lpwstr/>
  </property>
  <property fmtid="{D5CDD505-2E9C-101B-9397-08002B2CF9AE}" pid="6" name="MediaServiceImageTags">
    <vt:lpwstr/>
  </property>
  <property fmtid="{D5CDD505-2E9C-101B-9397-08002B2CF9AE}" pid="7" name="xd_Signature">
    <vt:bool>false</vt:bool>
  </property>
  <property fmtid="{D5CDD505-2E9C-101B-9397-08002B2CF9AE}" pid="8" name="xd_ProgID">
    <vt:lpwstr/>
  </property>
  <property fmtid="{D5CDD505-2E9C-101B-9397-08002B2CF9AE}" pid="9" name="_ColorHex">
    <vt:lpwstr/>
  </property>
  <property fmtid="{D5CDD505-2E9C-101B-9397-08002B2CF9AE}" pid="10" name="_Emoji">
    <vt:lpwstr/>
  </property>
  <property fmtid="{D5CDD505-2E9C-101B-9397-08002B2CF9AE}" pid="11" name="ComplianceAssetId">
    <vt:lpwstr/>
  </property>
  <property fmtid="{D5CDD505-2E9C-101B-9397-08002B2CF9AE}" pid="12" name="TemplateUrl">
    <vt:lpwstr/>
  </property>
  <property fmtid="{D5CDD505-2E9C-101B-9397-08002B2CF9AE}" pid="13" name="_ExtendedDescription">
    <vt:lpwstr/>
  </property>
  <property fmtid="{D5CDD505-2E9C-101B-9397-08002B2CF9AE}" pid="14" name="_ColorTag">
    <vt:lpwstr/>
  </property>
  <property fmtid="{D5CDD505-2E9C-101B-9397-08002B2CF9AE}" pid="15" name="TriggerFlowInfo">
    <vt:lpwstr/>
  </property>
</Properties>
</file>