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268BDA96" w:rsidR="00002A97" w:rsidRPr="002C33AF"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2C33AF">
              <w:rPr>
                <w:rFonts w:eastAsia="Times New Roman" w:cs="Arial"/>
                <w:szCs w:val="24"/>
                <w:lang w:val="es-ES" w:eastAsia="es-ES"/>
              </w:rPr>
              <w:t>UNEP/CMS/COP1</w:t>
            </w:r>
            <w:r w:rsidR="000F4BDA" w:rsidRPr="002C33AF">
              <w:rPr>
                <w:rFonts w:eastAsia="Times New Roman" w:cs="Arial"/>
                <w:szCs w:val="24"/>
                <w:lang w:val="es-ES" w:eastAsia="es-ES"/>
              </w:rPr>
              <w:t>4</w:t>
            </w:r>
            <w:r w:rsidRPr="002C33AF">
              <w:rPr>
                <w:rFonts w:eastAsia="Times New Roman" w:cs="Arial"/>
                <w:szCs w:val="24"/>
                <w:lang w:val="es-ES" w:eastAsia="es-ES"/>
              </w:rPr>
              <w:t>/</w:t>
            </w:r>
            <w:r w:rsidR="00800CB3" w:rsidRPr="002C33AF">
              <w:rPr>
                <w:rFonts w:eastAsia="Times New Roman" w:cs="Arial"/>
                <w:szCs w:val="24"/>
                <w:lang w:val="es-ES" w:eastAsia="es-ES"/>
              </w:rPr>
              <w:t>Doc</w:t>
            </w:r>
            <w:r w:rsidRPr="002C33AF">
              <w:rPr>
                <w:rFonts w:eastAsia="Times New Roman" w:cs="Arial"/>
                <w:szCs w:val="24"/>
                <w:lang w:val="es-ES" w:eastAsia="es-ES"/>
              </w:rPr>
              <w:t>.</w:t>
            </w:r>
            <w:r w:rsidR="00CA45A5" w:rsidRPr="002C33AF">
              <w:rPr>
                <w:rFonts w:eastAsia="Times New Roman" w:cs="Arial"/>
                <w:szCs w:val="24"/>
                <w:lang w:val="es-ES" w:eastAsia="es-ES"/>
              </w:rPr>
              <w:t>14.1</w:t>
            </w:r>
          </w:p>
          <w:p w14:paraId="5F9B9DE6" w14:textId="735BCE2C" w:rsidR="00002A97" w:rsidRPr="002C33AF" w:rsidRDefault="00407B0F"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2C33AF">
              <w:rPr>
                <w:rFonts w:eastAsia="Times New Roman" w:cs="Arial"/>
                <w:szCs w:val="24"/>
                <w:lang w:val="es-ES" w:eastAsia="es-ES"/>
              </w:rPr>
              <w:t>26 de septiembre</w:t>
            </w:r>
            <w:r w:rsidR="00EF1D13" w:rsidRPr="002C33AF">
              <w:rPr>
                <w:rFonts w:eastAsia="Times New Roman" w:cs="Arial"/>
                <w:szCs w:val="24"/>
                <w:lang w:val="es-ES" w:eastAsia="es-ES"/>
              </w:rPr>
              <w:t xml:space="preserve"> </w:t>
            </w:r>
            <w:r w:rsidR="00002A97" w:rsidRPr="002C33AF">
              <w:rPr>
                <w:rFonts w:eastAsia="Times New Roman" w:cs="Arial"/>
                <w:szCs w:val="24"/>
                <w:lang w:val="es-ES" w:eastAsia="es-ES"/>
              </w:rPr>
              <w:t>20</w:t>
            </w:r>
            <w:r w:rsidR="000F4BDA" w:rsidRPr="002C33AF">
              <w:rPr>
                <w:rFonts w:eastAsia="Times New Roman" w:cs="Arial"/>
                <w:szCs w:val="24"/>
                <w:lang w:val="es-ES" w:eastAsia="es-ES"/>
              </w:rPr>
              <w:t>2</w:t>
            </w:r>
            <w:r w:rsidR="00C664E8" w:rsidRPr="002C33AF">
              <w:rPr>
                <w:rFonts w:eastAsia="Times New Roman" w:cs="Arial"/>
                <w:szCs w:val="24"/>
                <w:lang w:val="es-ES"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3D7CA411"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407B0F">
        <w:rPr>
          <w:rFonts w:eastAsia="Times New Roman" w:cs="Arial"/>
          <w:szCs w:val="24"/>
          <w:lang w:val="es-ES" w:eastAsia="es-ES"/>
        </w:rPr>
        <w:t>14</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44CCE23" w14:textId="77777777" w:rsidR="004A63B5" w:rsidRPr="006F2B91" w:rsidRDefault="004A63B5" w:rsidP="004A63B5">
      <w:pPr>
        <w:widowControl w:val="0"/>
        <w:suppressAutoHyphens/>
        <w:autoSpaceDE w:val="0"/>
        <w:autoSpaceDN w:val="0"/>
        <w:spacing w:after="0" w:line="240" w:lineRule="auto"/>
        <w:jc w:val="center"/>
        <w:textAlignment w:val="baseline"/>
        <w:rPr>
          <w:rFonts w:eastAsia="Times New Roman" w:cs="Arial"/>
          <w:b/>
          <w:bCs/>
          <w:lang w:val="es-ES"/>
        </w:rPr>
      </w:pPr>
      <w:r w:rsidRPr="006F2B91">
        <w:rPr>
          <w:rFonts w:eastAsia="Times New Roman" w:cs="Arial"/>
          <w:b/>
          <w:bCs/>
          <w:lang w:val="es-ES"/>
        </w:rPr>
        <w:t>IMPLEMENTACIÓN DEL PLAN ESTRATÉGICO</w:t>
      </w:r>
    </w:p>
    <w:p w14:paraId="118CB9A8" w14:textId="77777777" w:rsidR="004A63B5" w:rsidRPr="006F2B91" w:rsidRDefault="004A63B5" w:rsidP="004A63B5">
      <w:pPr>
        <w:widowControl w:val="0"/>
        <w:suppressAutoHyphens/>
        <w:autoSpaceDE w:val="0"/>
        <w:autoSpaceDN w:val="0"/>
        <w:spacing w:after="120" w:line="240" w:lineRule="auto"/>
        <w:jc w:val="center"/>
        <w:textAlignment w:val="baseline"/>
        <w:rPr>
          <w:rFonts w:eastAsia="Times New Roman" w:cs="Arial"/>
          <w:i/>
          <w:lang w:val="es-ES"/>
        </w:rPr>
      </w:pPr>
      <w:r w:rsidRPr="006F2B91">
        <w:rPr>
          <w:rFonts w:eastAsia="Times New Roman" w:cs="Arial"/>
          <w:b/>
          <w:bCs/>
          <w:lang w:val="es-ES"/>
        </w:rPr>
        <w:t>PARA LAS ESPECIES MIGRATORIAS 2015-2023</w:t>
      </w:r>
      <w:r w:rsidRPr="006F2B91">
        <w:rPr>
          <w:rFonts w:eastAsia="Times New Roman" w:cs="Arial"/>
          <w:i/>
          <w:lang w:val="es-ES"/>
        </w:rPr>
        <w:t xml:space="preserve"> </w:t>
      </w:r>
    </w:p>
    <w:p w14:paraId="649BC530" w14:textId="62EED1DF" w:rsidR="00002A97" w:rsidRPr="00002A97" w:rsidRDefault="002D5F2A"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 </w:t>
      </w:r>
      <w:r w:rsidR="00E77A9F">
        <w:rPr>
          <w:rFonts w:eastAsia="Times New Roman" w:cs="Arial"/>
          <w:i/>
          <w:szCs w:val="24"/>
          <w:lang w:val="es-ES" w:eastAsia="es-ES"/>
        </w:rPr>
        <w:t xml:space="preserve">(Preparado por la </w:t>
      </w:r>
      <w:r w:rsidR="00800CB3">
        <w:rPr>
          <w:rFonts w:eastAsia="Times New Roman" w:cs="Arial"/>
          <w:i/>
          <w:szCs w:val="24"/>
          <w:lang w:val="es-ES" w:eastAsia="es-ES"/>
        </w:rPr>
        <w:t>Secretaría</w:t>
      </w:r>
      <w:r w:rsidR="00E77A9F">
        <w:rPr>
          <w:rFonts w:eastAsia="Times New Roman" w:cs="Arial"/>
          <w:i/>
          <w:szCs w:val="24"/>
          <w:lang w:val="es-ES" w:eastAsia="es-ES"/>
        </w:rPr>
        <w:t>)</w:t>
      </w:r>
      <w:r w:rsidR="00002A97"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093988F6">
                <wp:simplePos x="0" y="0"/>
                <wp:positionH relativeFrom="column">
                  <wp:posOffset>971550</wp:posOffset>
                </wp:positionH>
                <wp:positionV relativeFrom="paragraph">
                  <wp:posOffset>147320</wp:posOffset>
                </wp:positionV>
                <wp:extent cx="4304666" cy="243840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2438400"/>
                        </a:xfrm>
                        <a:prstGeom prst="rect">
                          <a:avLst/>
                        </a:prstGeom>
                        <a:solidFill>
                          <a:srgbClr val="FFFFFF"/>
                        </a:solidFill>
                        <a:ln w="3172">
                          <a:solidFill>
                            <a:srgbClr val="000000"/>
                          </a:solidFill>
                          <a:prstDash val="solid"/>
                        </a:ln>
                      </wps:spPr>
                      <wps:txbx>
                        <w:txbxContent>
                          <w:p w14:paraId="78EFDF6D" w14:textId="1DCE26E8" w:rsidR="002D5F2A" w:rsidRPr="00407B0F" w:rsidRDefault="002D5F2A" w:rsidP="002D5F2A">
                            <w:pPr>
                              <w:spacing w:after="0"/>
                              <w:rPr>
                                <w:lang w:val="es-ES"/>
                              </w:rPr>
                            </w:pPr>
                            <w:r w:rsidRPr="00407B0F">
                              <w:rPr>
                                <w:rFonts w:eastAsia="Arial" w:cs="Arial"/>
                                <w:lang w:val="es-ES"/>
                              </w:rPr>
                              <w:t>Resumen:</w:t>
                            </w:r>
                          </w:p>
                          <w:p w14:paraId="255B4E63" w14:textId="77777777" w:rsidR="002D5F2A" w:rsidRPr="00407B0F" w:rsidRDefault="002D5F2A" w:rsidP="002D5F2A">
                            <w:pPr>
                              <w:spacing w:after="0"/>
                              <w:rPr>
                                <w:rFonts w:cs="Arial"/>
                                <w:lang w:val="es-ES"/>
                              </w:rPr>
                            </w:pPr>
                          </w:p>
                          <w:p w14:paraId="45D8B074" w14:textId="77777777" w:rsidR="00B87FBC" w:rsidRPr="00B87FBC" w:rsidRDefault="00B87FBC" w:rsidP="00B87FBC">
                            <w:pPr>
                              <w:spacing w:after="0" w:line="240" w:lineRule="auto"/>
                              <w:jc w:val="both"/>
                              <w:rPr>
                                <w:rFonts w:cs="Arial"/>
                                <w:lang w:val="es-ES"/>
                              </w:rPr>
                            </w:pPr>
                            <w:r w:rsidRPr="00B87FBC">
                              <w:rPr>
                                <w:rFonts w:cs="Arial"/>
                                <w:lang w:val="es-ES"/>
                              </w:rPr>
                              <w:t xml:space="preserve">Este documento proporciona una evaluación final de los progresos realizados en la implementación del Plan Estratégico para las Especies Migratorias (SPMS, por sus siglas en inglés) 2015-2023, de acuerdo con el mandato otorgado a la Secretaría por la Resolución 11.2 (Rev.COP12) y por la Decisión 13.1 </w:t>
                            </w:r>
                            <w:r w:rsidRPr="00B87FBC">
                              <w:rPr>
                                <w:rFonts w:cs="Arial"/>
                                <w:i/>
                                <w:iCs/>
                                <w:lang w:val="es-ES"/>
                              </w:rPr>
                              <w:t>Progresos en la implementación del Plan Estratégico para las Especies Migratorias 2015-2023</w:t>
                            </w:r>
                            <w:r w:rsidRPr="00B87FBC">
                              <w:rPr>
                                <w:rFonts w:cs="Arial"/>
                                <w:lang w:val="es-ES"/>
                              </w:rPr>
                              <w:t>.</w:t>
                            </w:r>
                          </w:p>
                          <w:p w14:paraId="24F63B7E" w14:textId="77777777" w:rsidR="00B87FBC" w:rsidRPr="00B87FBC" w:rsidRDefault="00B87FBC" w:rsidP="00B87FBC">
                            <w:pPr>
                              <w:spacing w:after="0" w:line="240" w:lineRule="auto"/>
                              <w:jc w:val="both"/>
                              <w:rPr>
                                <w:rFonts w:cs="Arial"/>
                                <w:lang w:val="es-ES"/>
                              </w:rPr>
                            </w:pPr>
                          </w:p>
                          <w:p w14:paraId="15551317" w14:textId="2821BA95" w:rsidR="00B87FBC" w:rsidRPr="00B87FBC" w:rsidRDefault="00B87FBC" w:rsidP="00B87FBC">
                            <w:pPr>
                              <w:spacing w:after="0" w:line="240" w:lineRule="auto"/>
                              <w:jc w:val="both"/>
                              <w:rPr>
                                <w:rFonts w:cs="Arial"/>
                                <w:lang w:val="es-ES"/>
                              </w:rPr>
                            </w:pPr>
                            <w:r w:rsidRPr="00B87FBC">
                              <w:rPr>
                                <w:rFonts w:cs="Arial"/>
                                <w:lang w:val="es-ES"/>
                              </w:rPr>
                              <w:t>La evaluación, realizada por el PNUMA-</w:t>
                            </w:r>
                            <w:r w:rsidRPr="00B87FBC">
                              <w:rPr>
                                <w:rFonts w:cs="Arial"/>
                                <w:color w:val="000000" w:themeColor="text1"/>
                                <w:lang w:val="es-ES"/>
                              </w:rPr>
                              <w:t>WCMC</w:t>
                            </w:r>
                            <w:r w:rsidRPr="00B87FBC">
                              <w:rPr>
                                <w:rFonts w:cs="Arial"/>
                                <w:lang w:val="es-ES"/>
                              </w:rPr>
                              <w:t xml:space="preserve"> en nombre de la Secretaría de la CMS, se incluye en el Anexo del presente documento.  </w:t>
                            </w:r>
                          </w:p>
                          <w:p w14:paraId="5C1C543E" w14:textId="77777777" w:rsidR="00B87FBC" w:rsidRPr="00B87FBC" w:rsidRDefault="00B87FBC" w:rsidP="002D5F2A">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6.5pt;margin-top:11.6pt;width:338.95pt;height:19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e5gEAANQDAAAOAAAAZHJzL2Uyb0RvYy54bWysU8GO0zAQvSPxD5bvNGkaukvUdAVbFSGt&#10;WKTCB7iO3VhybONxm5SvZ+yEtgucEDk4Hs/4zZs349XD0GlyEh6UNTWdz3JKhOG2UeZQ029ft2/u&#10;KYHATMO0NaKmZwH0Yf361ap3lShsa3UjPEEQA1XvatqG4KosA96KjsHMOmHQKa3vWEDTH7LGsx7R&#10;O50Veb7Meusb5y0XAHi6GZ10nfClFDw8SwkiEF1T5BbS6tO6j2u2XrHq4JlrFZ9osH9g0TFlMOkF&#10;asMCI0ev/oDqFPcWrAwzbrvMSqm4SDVgNfP8t2p2LXMi1YLigLvIBP8Pln8+7dwXT8LwwQ7YwChI&#10;76ACPIz1DNJ38Y9MCfpRwvNFNjEEwvGwXOTlcrmkhKOvKBf3ZZ6Eza7XnYfwUdiOxE1NPfYlycVO&#10;TxAwJYb+ConZwGrVbJXWyfCH/aP25MSwh9v0RZZ45UWYNqSv6WJ+VyTkFz64hcjT9zeISGHDoB1T&#10;JYQpTBtMeNUl7sKwHyax9rY5o4b4DLC21voflPQ4UjWF70fmBSX6k8GevZuXZZzBZJRv7wo0/K1n&#10;f+thhiNUTQMl4/YxjHOLg+NYeDI7x2MrokTGvj8GK1WSMpIbGU2ccXSSXNOYx9m8tVPU9TGufwIA&#10;AP//AwBQSwMEFAAGAAgAAAAhAG6Yx8DgAAAACgEAAA8AAABkcnMvZG93bnJldi54bWxMjzFPwzAU&#10;hHck/oP1kNioXYfQNsSpEAgpA0sKQ0c3fiSB+DmK3Sb012OmMp7udPddvp1tz044+s6RguVCAEOq&#10;nemoUfDx/nq3BuaDJqN7R6jgBz1si+urXGfGTVThaRcaFkvIZ1pBG8KQce7rFq32CzcgRe/TjVaH&#10;KMeGm1FPsdz2XArxwK3uKC60esDnFuvv3dEq+DoHklS9pcM07ldlWr2Uy/Ks1O3N/PQILOAcLmH4&#10;w4/oUESmgzuS8ayPOk3il6BAJhJYDKwTsQF2UHAvVhJ4kfP/F4pfAAAA//8DAFBLAQItABQABgAI&#10;AAAAIQC2gziS/gAAAOEBAAATAAAAAAAAAAAAAAAAAAAAAABbQ29udGVudF9UeXBlc10ueG1sUEsB&#10;Ai0AFAAGAAgAAAAhADj9If/WAAAAlAEAAAsAAAAAAAAAAAAAAAAALwEAAF9yZWxzLy5yZWxzUEsB&#10;Ai0AFAAGAAgAAAAhADEf/N7mAQAA1AMAAA4AAAAAAAAAAAAAAAAALgIAAGRycy9lMm9Eb2MueG1s&#10;UEsBAi0AFAAGAAgAAAAhAG6Yx8DgAAAACgEAAA8AAAAAAAAAAAAAAAAAQAQAAGRycy9kb3ducmV2&#10;LnhtbFBLBQYAAAAABAAEAPMAAABNBQAAAAA=&#10;" strokeweight=".08811mm">
                <v:textbox>
                  <w:txbxContent>
                    <w:p w14:paraId="78EFDF6D" w14:textId="1DCE26E8" w:rsidR="002D5F2A" w:rsidRPr="00407B0F" w:rsidRDefault="002D5F2A" w:rsidP="002D5F2A">
                      <w:pPr>
                        <w:spacing w:after="0"/>
                        <w:rPr>
                          <w:lang w:val="es-ES"/>
                        </w:rPr>
                      </w:pPr>
                      <w:r w:rsidRPr="00407B0F">
                        <w:rPr>
                          <w:rFonts w:eastAsia="Arial" w:cs="Arial"/>
                          <w:lang w:val="es-ES"/>
                        </w:rPr>
                        <w:t>Resumen:</w:t>
                      </w:r>
                    </w:p>
                    <w:p w14:paraId="255B4E63" w14:textId="77777777" w:rsidR="002D5F2A" w:rsidRPr="00407B0F" w:rsidRDefault="002D5F2A" w:rsidP="002D5F2A">
                      <w:pPr>
                        <w:spacing w:after="0"/>
                        <w:rPr>
                          <w:rFonts w:cs="Arial"/>
                          <w:lang w:val="es-ES"/>
                        </w:rPr>
                      </w:pPr>
                    </w:p>
                    <w:p w14:paraId="45D8B074" w14:textId="77777777" w:rsidR="00B87FBC" w:rsidRPr="00B87FBC" w:rsidRDefault="00B87FBC" w:rsidP="00B87FBC">
                      <w:pPr>
                        <w:spacing w:after="0" w:line="240" w:lineRule="auto"/>
                        <w:jc w:val="both"/>
                        <w:rPr>
                          <w:rFonts w:cs="Arial"/>
                          <w:lang w:val="es-ES"/>
                        </w:rPr>
                      </w:pPr>
                      <w:r w:rsidRPr="00B87FBC">
                        <w:rPr>
                          <w:rFonts w:cs="Arial"/>
                          <w:lang w:val="es-ES"/>
                        </w:rPr>
                        <w:t xml:space="preserve">Este documento proporciona una evaluación final de los progresos realizados en la implementación del Plan Estratégico para las Especies Migratorias (SPMS, por sus siglas en inglés) 2015-2023, de acuerdo con el mandato otorgado a la Secretaría por la Resolución 11.2 (Rev.COP12) y por la Decisión 13.1 </w:t>
                      </w:r>
                      <w:r w:rsidRPr="00B87FBC">
                        <w:rPr>
                          <w:rFonts w:cs="Arial"/>
                          <w:i/>
                          <w:iCs/>
                          <w:lang w:val="es-ES"/>
                        </w:rPr>
                        <w:t>Progresos en la implementación del Plan Estratégico para las Especies Migratorias 2015-2023</w:t>
                      </w:r>
                      <w:r w:rsidRPr="00B87FBC">
                        <w:rPr>
                          <w:rFonts w:cs="Arial"/>
                          <w:lang w:val="es-ES"/>
                        </w:rPr>
                        <w:t>.</w:t>
                      </w:r>
                    </w:p>
                    <w:p w14:paraId="24F63B7E" w14:textId="77777777" w:rsidR="00B87FBC" w:rsidRPr="00B87FBC" w:rsidRDefault="00B87FBC" w:rsidP="00B87FBC">
                      <w:pPr>
                        <w:spacing w:after="0" w:line="240" w:lineRule="auto"/>
                        <w:jc w:val="both"/>
                        <w:rPr>
                          <w:rFonts w:cs="Arial"/>
                          <w:lang w:val="es-ES"/>
                        </w:rPr>
                      </w:pPr>
                    </w:p>
                    <w:p w14:paraId="15551317" w14:textId="2821BA95" w:rsidR="00B87FBC" w:rsidRPr="00B87FBC" w:rsidRDefault="00B87FBC" w:rsidP="00B87FBC">
                      <w:pPr>
                        <w:spacing w:after="0" w:line="240" w:lineRule="auto"/>
                        <w:jc w:val="both"/>
                        <w:rPr>
                          <w:rFonts w:cs="Arial"/>
                          <w:lang w:val="es-ES"/>
                        </w:rPr>
                      </w:pPr>
                      <w:r w:rsidRPr="00B87FBC">
                        <w:rPr>
                          <w:rFonts w:cs="Arial"/>
                          <w:lang w:val="es-ES"/>
                        </w:rPr>
                        <w:t>La evaluación, realizada por el PNUMA-</w:t>
                      </w:r>
                      <w:r w:rsidRPr="00B87FBC">
                        <w:rPr>
                          <w:rFonts w:cs="Arial"/>
                          <w:color w:val="000000" w:themeColor="text1"/>
                          <w:lang w:val="es-ES"/>
                        </w:rPr>
                        <w:t>WCMC</w:t>
                      </w:r>
                      <w:r w:rsidRPr="00B87FBC">
                        <w:rPr>
                          <w:rFonts w:cs="Arial"/>
                          <w:lang w:val="es-ES"/>
                        </w:rPr>
                        <w:t xml:space="preserve"> en nombre de la Secretaría de la CMS, se incluye en el Anexo del presente documento.  </w:t>
                      </w:r>
                    </w:p>
                    <w:p w14:paraId="5C1C543E" w14:textId="77777777" w:rsidR="00B87FBC" w:rsidRPr="00B87FBC" w:rsidRDefault="00B87FBC" w:rsidP="002D5F2A">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63B722BF" w14:textId="77777777" w:rsidR="00714C0A" w:rsidRPr="00714C0A" w:rsidRDefault="00714C0A" w:rsidP="00714C0A">
      <w:pPr>
        <w:suppressAutoHyphens/>
        <w:autoSpaceDN w:val="0"/>
        <w:spacing w:after="0" w:line="240" w:lineRule="auto"/>
        <w:jc w:val="center"/>
        <w:textAlignment w:val="baseline"/>
        <w:rPr>
          <w:rFonts w:eastAsia="Times New Roman" w:cs="Arial"/>
          <w:b/>
          <w:caps/>
          <w:lang w:val="es-ES"/>
        </w:rPr>
      </w:pPr>
      <w:r w:rsidRPr="00714C0A">
        <w:rPr>
          <w:rFonts w:eastAsia="Times New Roman" w:cs="Arial"/>
          <w:b/>
          <w:caps/>
          <w:lang w:val="es-ES"/>
        </w:rPr>
        <w:lastRenderedPageBreak/>
        <w:t>implementación del plan estratégico</w:t>
      </w:r>
    </w:p>
    <w:p w14:paraId="03BCD2B5" w14:textId="77777777" w:rsidR="00714C0A" w:rsidRPr="00714C0A" w:rsidRDefault="00714C0A" w:rsidP="00714C0A">
      <w:pPr>
        <w:suppressAutoHyphens/>
        <w:autoSpaceDN w:val="0"/>
        <w:spacing w:after="0" w:line="240" w:lineRule="auto"/>
        <w:jc w:val="center"/>
        <w:textAlignment w:val="baseline"/>
        <w:rPr>
          <w:rFonts w:eastAsia="Calibri" w:cs="Arial"/>
          <w:lang w:val="es-ES"/>
        </w:rPr>
      </w:pPr>
      <w:r w:rsidRPr="00714C0A">
        <w:rPr>
          <w:rFonts w:eastAsia="Times New Roman" w:cs="Arial"/>
          <w:b/>
          <w:caps/>
          <w:lang w:val="es-ES"/>
        </w:rPr>
        <w:t>para las especies migratorias 2015-2023</w:t>
      </w:r>
    </w:p>
    <w:p w14:paraId="7DEC0AA5" w14:textId="77777777" w:rsidR="00714C0A" w:rsidRDefault="00714C0A" w:rsidP="00714C0A">
      <w:pPr>
        <w:suppressAutoHyphens/>
        <w:autoSpaceDN w:val="0"/>
        <w:spacing w:after="0" w:line="240" w:lineRule="auto"/>
        <w:textAlignment w:val="baseline"/>
        <w:rPr>
          <w:rFonts w:eastAsia="Calibri" w:cs="Arial"/>
          <w:lang w:val="es-ES"/>
        </w:rPr>
      </w:pPr>
    </w:p>
    <w:p w14:paraId="4802A8E5" w14:textId="77777777" w:rsidR="00736E89" w:rsidRPr="00714C0A" w:rsidRDefault="00736E89" w:rsidP="00714C0A">
      <w:pPr>
        <w:suppressAutoHyphens/>
        <w:autoSpaceDN w:val="0"/>
        <w:spacing w:after="0" w:line="240" w:lineRule="auto"/>
        <w:textAlignment w:val="baseline"/>
        <w:rPr>
          <w:rFonts w:eastAsia="Calibri" w:cs="Arial"/>
          <w:lang w:val="es-ES"/>
        </w:rPr>
      </w:pPr>
    </w:p>
    <w:p w14:paraId="6361522D" w14:textId="77777777" w:rsidR="00714C0A" w:rsidRPr="00714C0A" w:rsidRDefault="00714C0A" w:rsidP="00714C0A">
      <w:pPr>
        <w:suppressAutoHyphens/>
        <w:autoSpaceDN w:val="0"/>
        <w:spacing w:after="0" w:line="240" w:lineRule="auto"/>
        <w:textAlignment w:val="baseline"/>
        <w:rPr>
          <w:rFonts w:eastAsia="Calibri" w:cs="Arial"/>
          <w:u w:val="single"/>
          <w:lang w:val="es-ES"/>
        </w:rPr>
      </w:pPr>
      <w:r w:rsidRPr="00714C0A">
        <w:rPr>
          <w:rFonts w:eastAsia="Calibri" w:cs="Arial"/>
          <w:u w:val="single"/>
          <w:lang w:val="es-ES"/>
        </w:rPr>
        <w:t>Antecedentes</w:t>
      </w:r>
    </w:p>
    <w:p w14:paraId="279A7A77" w14:textId="77777777" w:rsidR="00714C0A" w:rsidRPr="00714C0A" w:rsidRDefault="00714C0A" w:rsidP="00714C0A">
      <w:pPr>
        <w:suppressAutoHyphens/>
        <w:autoSpaceDN w:val="0"/>
        <w:spacing w:after="0" w:line="240" w:lineRule="auto"/>
        <w:textAlignment w:val="baseline"/>
        <w:rPr>
          <w:rFonts w:eastAsia="Calibri" w:cs="Arial"/>
          <w:u w:val="single"/>
          <w:lang w:val="es-ES"/>
        </w:rPr>
      </w:pPr>
    </w:p>
    <w:p w14:paraId="6C58F335" w14:textId="77777777" w:rsidR="00714C0A" w:rsidRPr="00714C0A" w:rsidRDefault="00714C0A" w:rsidP="00714C0A">
      <w:pPr>
        <w:numPr>
          <w:ilvl w:val="0"/>
          <w:numId w:val="14"/>
        </w:numPr>
        <w:suppressAutoHyphens/>
        <w:autoSpaceDN w:val="0"/>
        <w:spacing w:after="0" w:line="240" w:lineRule="auto"/>
        <w:ind w:left="567" w:hanging="567"/>
        <w:contextualSpacing/>
        <w:jc w:val="both"/>
        <w:textAlignment w:val="baseline"/>
        <w:rPr>
          <w:rFonts w:eastAsia="Calibri" w:cs="Arial"/>
          <w:lang w:val="es-ES"/>
        </w:rPr>
      </w:pPr>
      <w:r w:rsidRPr="00714C0A">
        <w:rPr>
          <w:rFonts w:eastAsia="Calibri" w:cs="Arial"/>
          <w:lang w:val="es-ES"/>
        </w:rPr>
        <w:t>La Conferencia de las Partes, en su 11.</w:t>
      </w:r>
      <w:r w:rsidRPr="00714C0A">
        <w:rPr>
          <w:rFonts w:eastAsia="Calibri" w:cs="Arial"/>
          <w:vertAlign w:val="superscript"/>
          <w:lang w:val="es-ES"/>
        </w:rPr>
        <w:t>ª</w:t>
      </w:r>
      <w:r w:rsidRPr="00714C0A">
        <w:rPr>
          <w:rFonts w:eastAsia="Calibri" w:cs="Arial"/>
          <w:lang w:val="es-ES"/>
        </w:rPr>
        <w:t xml:space="preserve"> reunión (COP11, 2014), adoptó el </w:t>
      </w:r>
      <w:r w:rsidRPr="00714C0A">
        <w:rPr>
          <w:rFonts w:eastAsia="Calibri" w:cs="Arial"/>
          <w:i/>
          <w:iCs/>
          <w:lang w:val="es-ES"/>
        </w:rPr>
        <w:t>Plan Estratégico para las Especies Migratorias (SPMS) 2015-2023</w:t>
      </w:r>
      <w:r w:rsidRPr="00714C0A">
        <w:rPr>
          <w:rFonts w:eastAsia="Calibri" w:cs="Arial"/>
          <w:lang w:val="es-ES"/>
        </w:rPr>
        <w:t>. El SPMS se revisó en la COP12 (2017) (</w:t>
      </w:r>
      <w:hyperlink r:id="rId12" w:history="1">
        <w:r w:rsidRPr="00714C0A">
          <w:rPr>
            <w:rFonts w:eastAsia="Calibri" w:cs="Arial"/>
            <w:color w:val="0563C1"/>
            <w:u w:val="single"/>
            <w:lang w:val="es-ES"/>
          </w:rPr>
          <w:t>Resolución 11.2 (Rev.COP12)</w:t>
        </w:r>
      </w:hyperlink>
      <w:r w:rsidRPr="00714C0A">
        <w:rPr>
          <w:rFonts w:eastAsia="Calibri" w:cs="Arial"/>
          <w:lang w:val="es-ES"/>
        </w:rPr>
        <w:t xml:space="preserve">) para incluir un </w:t>
      </w:r>
      <w:hyperlink r:id="rId13" w:history="1">
        <w:r w:rsidRPr="00714C0A">
          <w:rPr>
            <w:rFonts w:eastAsia="Calibri" w:cs="Arial"/>
            <w:color w:val="0563C1"/>
            <w:u w:val="single"/>
            <w:lang w:val="es-ES"/>
          </w:rPr>
          <w:t>Volumen técnico Complementario sobre la Implementación</w:t>
        </w:r>
      </w:hyperlink>
      <w:r w:rsidRPr="00714C0A">
        <w:rPr>
          <w:rFonts w:eastAsia="Calibri" w:cs="Arial"/>
          <w:lang w:val="es-ES"/>
        </w:rPr>
        <w:t xml:space="preserve"> y un conjunto de indicadores definidos para cada una de las 16 metas del SPMS, que sustituye al conjunto inicial de indicadores adoptado en la COP11. </w:t>
      </w:r>
    </w:p>
    <w:p w14:paraId="2B771923" w14:textId="77777777" w:rsidR="00714C0A" w:rsidRPr="00714C0A" w:rsidRDefault="00714C0A" w:rsidP="00714C0A">
      <w:pPr>
        <w:suppressAutoHyphens/>
        <w:autoSpaceDN w:val="0"/>
        <w:spacing w:after="0" w:line="240" w:lineRule="auto"/>
        <w:ind w:left="567"/>
        <w:contextualSpacing/>
        <w:jc w:val="both"/>
        <w:textAlignment w:val="baseline"/>
        <w:rPr>
          <w:rFonts w:eastAsia="Calibri" w:cs="Arial"/>
          <w:lang w:val="es-ES"/>
        </w:rPr>
      </w:pPr>
    </w:p>
    <w:p w14:paraId="130C2850" w14:textId="77777777" w:rsidR="00714C0A" w:rsidRPr="00714C0A" w:rsidRDefault="00714C0A" w:rsidP="00714C0A">
      <w:pPr>
        <w:numPr>
          <w:ilvl w:val="0"/>
          <w:numId w:val="14"/>
        </w:numPr>
        <w:suppressAutoHyphens/>
        <w:autoSpaceDN w:val="0"/>
        <w:spacing w:after="0" w:line="240" w:lineRule="auto"/>
        <w:ind w:left="567" w:hanging="567"/>
        <w:contextualSpacing/>
        <w:jc w:val="both"/>
        <w:textAlignment w:val="baseline"/>
        <w:rPr>
          <w:rFonts w:eastAsia="Calibri" w:cs="Arial"/>
          <w:lang w:val="es-ES"/>
        </w:rPr>
      </w:pPr>
      <w:r w:rsidRPr="00714C0A">
        <w:rPr>
          <w:rFonts w:eastAsia="Calibri" w:cs="Arial"/>
          <w:lang w:val="es-ES"/>
        </w:rPr>
        <w:t xml:space="preserve">De acuerdo con el apartado 11 de la Resolución 11.2 (Rev.COP12), la COP también decidió seguir examinando la implementación del SPMS en sus reuniones periódicas. </w:t>
      </w:r>
    </w:p>
    <w:p w14:paraId="54733B4F" w14:textId="77777777" w:rsidR="00714C0A" w:rsidRPr="00714C0A" w:rsidRDefault="00714C0A" w:rsidP="00714C0A">
      <w:pPr>
        <w:suppressAutoHyphens/>
        <w:autoSpaceDN w:val="0"/>
        <w:spacing w:after="0" w:line="240" w:lineRule="auto"/>
        <w:ind w:left="567"/>
        <w:contextualSpacing/>
        <w:jc w:val="both"/>
        <w:textAlignment w:val="baseline"/>
        <w:rPr>
          <w:rFonts w:eastAsia="Calibri" w:cs="Arial"/>
          <w:lang w:val="es-ES"/>
        </w:rPr>
      </w:pPr>
    </w:p>
    <w:p w14:paraId="63B73305" w14:textId="77777777" w:rsidR="00714C0A" w:rsidRPr="00714C0A" w:rsidRDefault="00714C0A" w:rsidP="00714C0A">
      <w:pPr>
        <w:numPr>
          <w:ilvl w:val="0"/>
          <w:numId w:val="14"/>
        </w:numPr>
        <w:suppressAutoHyphens/>
        <w:autoSpaceDN w:val="0"/>
        <w:spacing w:after="0" w:line="240" w:lineRule="auto"/>
        <w:ind w:left="567" w:hanging="567"/>
        <w:contextualSpacing/>
        <w:jc w:val="both"/>
        <w:textAlignment w:val="baseline"/>
        <w:rPr>
          <w:rFonts w:eastAsia="Calibri" w:cs="Arial"/>
          <w:lang w:val="es-ES"/>
        </w:rPr>
      </w:pPr>
      <w:r w:rsidRPr="00714C0A">
        <w:rPr>
          <w:rFonts w:eastAsia="Calibri" w:cs="Arial"/>
          <w:lang w:val="es-ES"/>
        </w:rPr>
        <w:t xml:space="preserve">La COP13 (2020) dio nuevas instrucciones y directrices sobre la evaluación de la implementación del SPMS, constatando que este estaba a punto de iniciar su último trienio y que finalizaría en 2023. Así pues, la COP13 adoptó las </w:t>
      </w:r>
      <w:hyperlink r:id="rId14" w:history="1">
        <w:r w:rsidRPr="00714C0A">
          <w:rPr>
            <w:rFonts w:eastAsia="Calibri" w:cs="Arial"/>
            <w:color w:val="0563C1"/>
            <w:u w:val="single"/>
            <w:lang w:val="es-ES"/>
          </w:rPr>
          <w:t xml:space="preserve">Decisiones 13.1 – 13.3 </w:t>
        </w:r>
        <w:r w:rsidRPr="00714C0A">
          <w:rPr>
            <w:rFonts w:eastAsia="Calibri" w:cs="Arial"/>
            <w:i/>
            <w:iCs/>
            <w:color w:val="0563C1"/>
            <w:u w:val="single"/>
            <w:lang w:val="es-ES"/>
          </w:rPr>
          <w:t>Progresos en la implementación del Plan Estratégico para las Especies Migratorias 2015-2023</w:t>
        </w:r>
      </w:hyperlink>
      <w:r w:rsidRPr="00714C0A">
        <w:rPr>
          <w:rFonts w:eastAsia="Calibri" w:cs="Arial"/>
          <w:lang w:val="es-ES"/>
        </w:rPr>
        <w:t>, cuyo texto es el siguiente:</w:t>
      </w:r>
    </w:p>
    <w:p w14:paraId="062D212F" w14:textId="77777777" w:rsidR="00714C0A" w:rsidRPr="00714C0A" w:rsidRDefault="00714C0A" w:rsidP="00714C0A">
      <w:pPr>
        <w:ind w:left="720"/>
        <w:contextualSpacing/>
        <w:rPr>
          <w:rFonts w:eastAsia="Calibri" w:cs="Arial"/>
          <w:lang w:val="es-ES"/>
        </w:rPr>
      </w:pPr>
    </w:p>
    <w:p w14:paraId="1ED0779B" w14:textId="1ECF7E73" w:rsidR="00CB23AC" w:rsidRPr="00CB23AC" w:rsidRDefault="00957410" w:rsidP="00736E89">
      <w:pPr>
        <w:suppressAutoHyphens/>
        <w:autoSpaceDN w:val="0"/>
        <w:spacing w:after="0" w:line="240" w:lineRule="auto"/>
        <w:ind w:left="1080" w:hanging="360"/>
        <w:contextualSpacing/>
        <w:jc w:val="both"/>
        <w:textAlignment w:val="baseline"/>
        <w:rPr>
          <w:rFonts w:eastAsia="Calibri" w:cs="Arial"/>
          <w:b/>
          <w:bCs/>
          <w:sz w:val="20"/>
          <w:szCs w:val="20"/>
          <w:lang w:val="es-ES"/>
        </w:rPr>
      </w:pPr>
      <w:r w:rsidRPr="00CB23AC">
        <w:rPr>
          <w:rFonts w:eastAsia="Calibri" w:cs="Arial"/>
          <w:b/>
          <w:bCs/>
          <w:sz w:val="20"/>
          <w:szCs w:val="20"/>
          <w:lang w:val="es-ES"/>
        </w:rPr>
        <w:t>Decisión</w:t>
      </w:r>
      <w:r w:rsidR="00CB23AC" w:rsidRPr="00CB23AC">
        <w:rPr>
          <w:rFonts w:eastAsia="Calibri" w:cs="Arial"/>
          <w:b/>
          <w:bCs/>
          <w:sz w:val="20"/>
          <w:szCs w:val="20"/>
          <w:lang w:val="es-ES"/>
        </w:rPr>
        <w:t xml:space="preserve"> </w:t>
      </w:r>
      <w:r w:rsidR="00CB23AC">
        <w:rPr>
          <w:rFonts w:eastAsia="Calibri" w:cs="Arial"/>
          <w:b/>
          <w:bCs/>
          <w:sz w:val="20"/>
          <w:szCs w:val="20"/>
          <w:lang w:val="es-ES"/>
        </w:rPr>
        <w:t xml:space="preserve">13.1 </w:t>
      </w:r>
      <w:r w:rsidR="00CB23AC" w:rsidRPr="00CB23AC">
        <w:rPr>
          <w:rFonts w:eastAsia="Calibri" w:cs="Arial"/>
          <w:b/>
          <w:bCs/>
          <w:sz w:val="20"/>
          <w:szCs w:val="20"/>
          <w:lang w:val="es-ES"/>
        </w:rPr>
        <w:t>dirigid</w:t>
      </w:r>
      <w:r w:rsidR="00CB23AC">
        <w:rPr>
          <w:rFonts w:eastAsia="Calibri" w:cs="Arial"/>
          <w:b/>
          <w:bCs/>
          <w:sz w:val="20"/>
          <w:szCs w:val="20"/>
          <w:lang w:val="es-ES"/>
        </w:rPr>
        <w:t>a</w:t>
      </w:r>
      <w:r w:rsidR="00CB23AC" w:rsidRPr="00CB23AC">
        <w:rPr>
          <w:rFonts w:eastAsia="Calibri" w:cs="Arial"/>
          <w:b/>
          <w:bCs/>
          <w:sz w:val="20"/>
          <w:szCs w:val="20"/>
          <w:lang w:val="es-ES"/>
        </w:rPr>
        <w:t xml:space="preserve"> a</w:t>
      </w:r>
      <w:r>
        <w:rPr>
          <w:rFonts w:eastAsia="Calibri" w:cs="Arial"/>
          <w:b/>
          <w:bCs/>
          <w:sz w:val="20"/>
          <w:szCs w:val="20"/>
          <w:lang w:val="es-ES"/>
        </w:rPr>
        <w:t xml:space="preserve"> la</w:t>
      </w:r>
      <w:r w:rsidR="00CB23AC" w:rsidRPr="00CB23AC">
        <w:rPr>
          <w:rFonts w:eastAsia="Calibri" w:cs="Arial"/>
          <w:b/>
          <w:bCs/>
          <w:sz w:val="20"/>
          <w:szCs w:val="20"/>
          <w:lang w:val="es-ES"/>
        </w:rPr>
        <w:t xml:space="preserve"> Secretaría</w:t>
      </w:r>
    </w:p>
    <w:p w14:paraId="3E89342D" w14:textId="77777777" w:rsidR="00CB23AC" w:rsidRPr="00CB23AC" w:rsidRDefault="00CB23AC" w:rsidP="00736E89">
      <w:pPr>
        <w:suppressAutoHyphens/>
        <w:autoSpaceDN w:val="0"/>
        <w:spacing w:after="0" w:line="240" w:lineRule="auto"/>
        <w:ind w:left="1080" w:hanging="360"/>
        <w:contextualSpacing/>
        <w:jc w:val="both"/>
        <w:textAlignment w:val="baseline"/>
        <w:rPr>
          <w:rFonts w:eastAsia="Calibri" w:cs="Arial"/>
          <w:b/>
          <w:bCs/>
          <w:sz w:val="20"/>
          <w:szCs w:val="20"/>
          <w:lang w:val="es-ES"/>
        </w:rPr>
      </w:pPr>
    </w:p>
    <w:p w14:paraId="30A36509" w14:textId="77777777" w:rsidR="00CB23AC" w:rsidRPr="00CB23AC" w:rsidRDefault="00CB23AC" w:rsidP="00736E89">
      <w:pPr>
        <w:suppressAutoHyphens/>
        <w:autoSpaceDN w:val="0"/>
        <w:spacing w:after="0" w:line="240" w:lineRule="auto"/>
        <w:ind w:left="1080" w:hanging="360"/>
        <w:contextualSpacing/>
        <w:jc w:val="both"/>
        <w:textAlignment w:val="baseline"/>
        <w:rPr>
          <w:rFonts w:eastAsia="Calibri" w:cs="Arial"/>
          <w:i/>
          <w:iCs/>
          <w:sz w:val="20"/>
          <w:szCs w:val="20"/>
          <w:lang w:val="es-ES"/>
        </w:rPr>
      </w:pPr>
      <w:r w:rsidRPr="00CB23AC">
        <w:rPr>
          <w:rFonts w:eastAsia="Calibri" w:cs="Arial"/>
          <w:i/>
          <w:iCs/>
          <w:sz w:val="20"/>
          <w:szCs w:val="20"/>
          <w:lang w:val="es-ES"/>
        </w:rPr>
        <w:t>La Secretaría, sujeta a la disponibilidad de recursos, deberá:</w:t>
      </w:r>
    </w:p>
    <w:p w14:paraId="0767D713" w14:textId="77777777" w:rsidR="00CB23AC" w:rsidRPr="00CB23AC" w:rsidRDefault="00CB23AC" w:rsidP="00CB23AC">
      <w:pPr>
        <w:suppressAutoHyphens/>
        <w:autoSpaceDN w:val="0"/>
        <w:spacing w:after="0" w:line="240" w:lineRule="auto"/>
        <w:ind w:left="1276" w:hanging="425"/>
        <w:contextualSpacing/>
        <w:jc w:val="both"/>
        <w:textAlignment w:val="baseline"/>
        <w:rPr>
          <w:rFonts w:eastAsia="Calibri" w:cs="Arial"/>
          <w:i/>
          <w:iCs/>
          <w:sz w:val="20"/>
          <w:szCs w:val="20"/>
          <w:lang w:val="es-ES"/>
        </w:rPr>
      </w:pPr>
    </w:p>
    <w:p w14:paraId="35B2AE59" w14:textId="63FEF7B0" w:rsidR="00CB23AC" w:rsidRPr="00904CE4" w:rsidRDefault="00CB23AC" w:rsidP="00904CE4">
      <w:pPr>
        <w:pStyle w:val="ListParagraph"/>
        <w:numPr>
          <w:ilvl w:val="0"/>
          <w:numId w:val="16"/>
        </w:numPr>
        <w:suppressAutoHyphens/>
        <w:autoSpaceDN w:val="0"/>
        <w:spacing w:after="80" w:line="240" w:lineRule="auto"/>
        <w:ind w:left="1080"/>
        <w:contextualSpacing w:val="0"/>
        <w:jc w:val="both"/>
        <w:textAlignment w:val="baseline"/>
        <w:rPr>
          <w:rFonts w:eastAsia="Calibri" w:cs="Arial"/>
          <w:i/>
          <w:iCs/>
          <w:sz w:val="20"/>
          <w:szCs w:val="20"/>
          <w:lang w:val="es-ES"/>
        </w:rPr>
      </w:pPr>
      <w:r w:rsidRPr="00904CE4">
        <w:rPr>
          <w:rFonts w:eastAsia="Calibri" w:cs="Arial"/>
          <w:i/>
          <w:iCs/>
          <w:sz w:val="20"/>
          <w:szCs w:val="20"/>
          <w:lang w:val="es-ES"/>
        </w:rPr>
        <w:t>seguir desarrollando los indicadores identificados en el Plan Estratégico, que aún no estén operativos, y en especial los indicadores combinados recomendados para la evaluación de los progresos de las metas 6 y 7;</w:t>
      </w:r>
    </w:p>
    <w:p w14:paraId="3AA00CDE" w14:textId="0CEAC573" w:rsidR="00CB23AC" w:rsidRPr="00904CE4" w:rsidRDefault="00957410" w:rsidP="00904CE4">
      <w:pPr>
        <w:pStyle w:val="ListParagraph"/>
        <w:numPr>
          <w:ilvl w:val="0"/>
          <w:numId w:val="16"/>
        </w:numPr>
        <w:suppressAutoHyphens/>
        <w:autoSpaceDN w:val="0"/>
        <w:spacing w:after="80" w:line="240" w:lineRule="auto"/>
        <w:ind w:left="1080"/>
        <w:contextualSpacing w:val="0"/>
        <w:jc w:val="both"/>
        <w:textAlignment w:val="baseline"/>
        <w:rPr>
          <w:rFonts w:eastAsia="Calibri" w:cs="Arial"/>
          <w:i/>
          <w:iCs/>
          <w:sz w:val="20"/>
          <w:szCs w:val="20"/>
          <w:lang w:val="es-ES"/>
        </w:rPr>
      </w:pPr>
      <w:r w:rsidRPr="00904CE4">
        <w:rPr>
          <w:rFonts w:eastAsia="Calibri" w:cs="Arial"/>
          <w:i/>
          <w:iCs/>
          <w:sz w:val="20"/>
          <w:szCs w:val="20"/>
          <w:lang w:val="es-ES"/>
        </w:rPr>
        <w:t>i</w:t>
      </w:r>
      <w:r w:rsidR="00CB23AC" w:rsidRPr="00904CE4">
        <w:rPr>
          <w:rFonts w:eastAsia="Calibri" w:cs="Arial"/>
          <w:i/>
          <w:iCs/>
          <w:sz w:val="20"/>
          <w:szCs w:val="20"/>
          <w:lang w:val="es-ES"/>
        </w:rPr>
        <w:t>dentificar lagunas de conocimiento que estén impidiendo la evaluación del progreso en relación con los indicadores, y promover la eliminación de dichas lagunas;</w:t>
      </w:r>
    </w:p>
    <w:p w14:paraId="75953934" w14:textId="7D5872CA" w:rsidR="00CB23AC" w:rsidRPr="00904CE4" w:rsidRDefault="00CB23AC" w:rsidP="00904CE4">
      <w:pPr>
        <w:pStyle w:val="ListParagraph"/>
        <w:numPr>
          <w:ilvl w:val="0"/>
          <w:numId w:val="16"/>
        </w:numPr>
        <w:suppressAutoHyphens/>
        <w:autoSpaceDN w:val="0"/>
        <w:spacing w:after="80" w:line="240" w:lineRule="auto"/>
        <w:ind w:left="1080"/>
        <w:contextualSpacing w:val="0"/>
        <w:jc w:val="both"/>
        <w:textAlignment w:val="baseline"/>
        <w:rPr>
          <w:rFonts w:eastAsia="Calibri" w:cs="Arial"/>
          <w:i/>
          <w:iCs/>
          <w:sz w:val="20"/>
          <w:szCs w:val="20"/>
          <w:lang w:val="es-ES"/>
        </w:rPr>
      </w:pPr>
      <w:r w:rsidRPr="00904CE4">
        <w:rPr>
          <w:rFonts w:eastAsia="Calibri" w:cs="Arial"/>
          <w:i/>
          <w:iCs/>
          <w:sz w:val="20"/>
          <w:szCs w:val="20"/>
          <w:lang w:val="es-ES"/>
        </w:rPr>
        <w:t>identificar estudios de caso adecuados y estudios de evaluación únicos pertinentes para los indicadores del Plan Estratégico que se vayan a basar en dichos estudios, y promover su adopción;</w:t>
      </w:r>
    </w:p>
    <w:p w14:paraId="0A32FF29" w14:textId="38BE4C9B" w:rsidR="00CB23AC" w:rsidRPr="00904CE4" w:rsidRDefault="00CB23AC" w:rsidP="00904CE4">
      <w:pPr>
        <w:pStyle w:val="ListParagraph"/>
        <w:numPr>
          <w:ilvl w:val="0"/>
          <w:numId w:val="16"/>
        </w:numPr>
        <w:suppressAutoHyphens/>
        <w:autoSpaceDN w:val="0"/>
        <w:spacing w:after="80" w:line="240" w:lineRule="auto"/>
        <w:ind w:left="1080"/>
        <w:contextualSpacing w:val="0"/>
        <w:jc w:val="both"/>
        <w:textAlignment w:val="baseline"/>
        <w:rPr>
          <w:rFonts w:eastAsia="Calibri" w:cs="Arial"/>
          <w:i/>
          <w:iCs/>
          <w:sz w:val="20"/>
          <w:szCs w:val="20"/>
          <w:lang w:val="es-ES"/>
        </w:rPr>
      </w:pPr>
      <w:r w:rsidRPr="00904CE4">
        <w:rPr>
          <w:rFonts w:eastAsia="Calibri" w:cs="Arial"/>
          <w:i/>
          <w:iCs/>
          <w:sz w:val="20"/>
          <w:szCs w:val="20"/>
          <w:lang w:val="es-ES"/>
        </w:rPr>
        <w:t>efectuar una evaluación íntegra de la implementación del Plan Estratégico para Especies Migratorias 2015-2023 a tiempo para que el Comité Científico pueda considerar las opciones existentes para un seguimiento del Plan Estratégico para Especies Migratorias 2015-2023 y para su consideración por la 14ª reunión de la Conferencia de las Partes;</w:t>
      </w:r>
    </w:p>
    <w:p w14:paraId="2861A564" w14:textId="03489D17" w:rsidR="00CB23AC" w:rsidRPr="00904CE4" w:rsidRDefault="00CB23AC" w:rsidP="00904CE4">
      <w:pPr>
        <w:pStyle w:val="ListParagraph"/>
        <w:numPr>
          <w:ilvl w:val="0"/>
          <w:numId w:val="16"/>
        </w:numPr>
        <w:suppressAutoHyphens/>
        <w:autoSpaceDN w:val="0"/>
        <w:spacing w:after="0" w:line="240" w:lineRule="auto"/>
        <w:ind w:left="1080"/>
        <w:jc w:val="both"/>
        <w:textAlignment w:val="baseline"/>
        <w:rPr>
          <w:rFonts w:eastAsia="Calibri" w:cs="Arial"/>
          <w:i/>
          <w:iCs/>
          <w:sz w:val="20"/>
          <w:szCs w:val="20"/>
          <w:lang w:val="es-ES"/>
        </w:rPr>
      </w:pPr>
      <w:r w:rsidRPr="00904CE4">
        <w:rPr>
          <w:rFonts w:eastAsia="Calibri" w:cs="Arial"/>
          <w:i/>
          <w:iCs/>
          <w:sz w:val="20"/>
          <w:szCs w:val="20"/>
          <w:lang w:val="es-ES"/>
        </w:rPr>
        <w:t>informar al Comité Permanente en sus reuniones entre sesiones acerca del progreso relativo a la implementación de la presente Decisión.</w:t>
      </w:r>
    </w:p>
    <w:p w14:paraId="4512A959" w14:textId="77777777" w:rsidR="00CB23AC" w:rsidRPr="00CB23AC" w:rsidRDefault="00CB23AC" w:rsidP="00CB23AC">
      <w:pPr>
        <w:suppressAutoHyphens/>
        <w:autoSpaceDN w:val="0"/>
        <w:spacing w:after="0" w:line="240" w:lineRule="auto"/>
        <w:ind w:left="1276" w:hanging="425"/>
        <w:contextualSpacing/>
        <w:jc w:val="both"/>
        <w:textAlignment w:val="baseline"/>
        <w:rPr>
          <w:rFonts w:eastAsia="Calibri" w:cs="Arial"/>
          <w:i/>
          <w:iCs/>
          <w:sz w:val="20"/>
          <w:szCs w:val="20"/>
          <w:lang w:val="es-ES"/>
        </w:rPr>
      </w:pPr>
    </w:p>
    <w:p w14:paraId="6D3A0C26" w14:textId="2655EB8B" w:rsidR="00CB23AC" w:rsidRPr="00CB23AC" w:rsidRDefault="00957410" w:rsidP="00736E89">
      <w:pPr>
        <w:suppressAutoHyphens/>
        <w:autoSpaceDN w:val="0"/>
        <w:spacing w:after="0" w:line="240" w:lineRule="auto"/>
        <w:ind w:left="720"/>
        <w:contextualSpacing/>
        <w:jc w:val="both"/>
        <w:textAlignment w:val="baseline"/>
        <w:rPr>
          <w:rFonts w:eastAsia="Calibri" w:cs="Arial"/>
          <w:b/>
          <w:bCs/>
          <w:sz w:val="20"/>
          <w:szCs w:val="20"/>
          <w:lang w:val="es-ES"/>
        </w:rPr>
      </w:pPr>
      <w:r w:rsidRPr="00CB23AC">
        <w:rPr>
          <w:rFonts w:eastAsia="Calibri" w:cs="Arial"/>
          <w:b/>
          <w:bCs/>
          <w:sz w:val="20"/>
          <w:szCs w:val="20"/>
          <w:lang w:val="es-ES"/>
        </w:rPr>
        <w:t>Decisión</w:t>
      </w:r>
      <w:r w:rsidR="00CB23AC" w:rsidRPr="00CB23AC">
        <w:rPr>
          <w:rFonts w:eastAsia="Calibri" w:cs="Arial"/>
          <w:b/>
          <w:bCs/>
          <w:sz w:val="20"/>
          <w:szCs w:val="20"/>
          <w:lang w:val="es-ES"/>
        </w:rPr>
        <w:t xml:space="preserve"> </w:t>
      </w:r>
      <w:r>
        <w:rPr>
          <w:rFonts w:eastAsia="Calibri" w:cs="Arial"/>
          <w:b/>
          <w:bCs/>
          <w:sz w:val="20"/>
          <w:szCs w:val="20"/>
          <w:lang w:val="es-ES"/>
        </w:rPr>
        <w:t xml:space="preserve">13.2 </w:t>
      </w:r>
      <w:r w:rsidR="00CB23AC" w:rsidRPr="00CB23AC">
        <w:rPr>
          <w:rFonts w:eastAsia="Calibri" w:cs="Arial"/>
          <w:b/>
          <w:bCs/>
          <w:sz w:val="20"/>
          <w:szCs w:val="20"/>
          <w:lang w:val="es-ES"/>
        </w:rPr>
        <w:t>dirigid</w:t>
      </w:r>
      <w:r>
        <w:rPr>
          <w:rFonts w:eastAsia="Calibri" w:cs="Arial"/>
          <w:b/>
          <w:bCs/>
          <w:sz w:val="20"/>
          <w:szCs w:val="20"/>
          <w:lang w:val="es-ES"/>
        </w:rPr>
        <w:t>a</w:t>
      </w:r>
      <w:r w:rsidR="00CB23AC" w:rsidRPr="00CB23AC">
        <w:rPr>
          <w:rFonts w:eastAsia="Calibri" w:cs="Arial"/>
          <w:b/>
          <w:bCs/>
          <w:sz w:val="20"/>
          <w:szCs w:val="20"/>
          <w:lang w:val="es-ES"/>
        </w:rPr>
        <w:t xml:space="preserve"> a</w:t>
      </w:r>
      <w:r>
        <w:rPr>
          <w:rFonts w:eastAsia="Calibri" w:cs="Arial"/>
          <w:b/>
          <w:bCs/>
          <w:sz w:val="20"/>
          <w:szCs w:val="20"/>
          <w:lang w:val="es-ES"/>
        </w:rPr>
        <w:t xml:space="preserve"> las</w:t>
      </w:r>
      <w:r w:rsidR="00CB23AC" w:rsidRPr="00CB23AC">
        <w:rPr>
          <w:rFonts w:eastAsia="Calibri" w:cs="Arial"/>
          <w:b/>
          <w:bCs/>
          <w:sz w:val="20"/>
          <w:szCs w:val="20"/>
          <w:lang w:val="es-ES"/>
        </w:rPr>
        <w:t xml:space="preserve"> Partes, OIGs &amp; ONGs</w:t>
      </w:r>
    </w:p>
    <w:p w14:paraId="66F106D0" w14:textId="77777777" w:rsidR="00CB23AC" w:rsidRPr="00CB23AC" w:rsidRDefault="00CB23AC" w:rsidP="00736E89">
      <w:pPr>
        <w:suppressAutoHyphens/>
        <w:autoSpaceDN w:val="0"/>
        <w:spacing w:after="0" w:line="240" w:lineRule="auto"/>
        <w:ind w:left="720"/>
        <w:contextualSpacing/>
        <w:jc w:val="both"/>
        <w:textAlignment w:val="baseline"/>
        <w:rPr>
          <w:rFonts w:eastAsia="Calibri" w:cs="Arial"/>
          <w:b/>
          <w:bCs/>
          <w:sz w:val="20"/>
          <w:szCs w:val="20"/>
          <w:lang w:val="es-ES"/>
        </w:rPr>
      </w:pPr>
    </w:p>
    <w:p w14:paraId="479F40E3" w14:textId="77777777" w:rsidR="00CB23AC" w:rsidRPr="00957410" w:rsidRDefault="00CB23AC" w:rsidP="00736E89">
      <w:pPr>
        <w:suppressAutoHyphens/>
        <w:autoSpaceDN w:val="0"/>
        <w:spacing w:after="0" w:line="240" w:lineRule="auto"/>
        <w:ind w:left="720"/>
        <w:contextualSpacing/>
        <w:jc w:val="both"/>
        <w:textAlignment w:val="baseline"/>
        <w:rPr>
          <w:rFonts w:eastAsia="Calibri" w:cs="Arial"/>
          <w:i/>
          <w:iCs/>
          <w:sz w:val="20"/>
          <w:szCs w:val="20"/>
          <w:lang w:val="es-ES"/>
        </w:rPr>
      </w:pPr>
      <w:r w:rsidRPr="00957410">
        <w:rPr>
          <w:rFonts w:eastAsia="Calibri" w:cs="Arial"/>
          <w:i/>
          <w:iCs/>
          <w:sz w:val="20"/>
          <w:szCs w:val="20"/>
          <w:lang w:val="es-ES"/>
        </w:rPr>
        <w:t>Se anima a las Partes y organizaciones intergubernamentales y no gubernamentales a que proporcionen apoyo financiero y técnico para la evaluación de la implementación del Plan Estratégico para las Especies Migratorias 2015-2023, en especial en relación con las actividades previstas en la Decisión 13.1 (a) - (c).</w:t>
      </w:r>
    </w:p>
    <w:p w14:paraId="438930D0" w14:textId="77777777" w:rsidR="00CB23AC" w:rsidRPr="00CB23AC" w:rsidRDefault="00CB23AC" w:rsidP="00CB23AC">
      <w:pPr>
        <w:suppressAutoHyphens/>
        <w:autoSpaceDN w:val="0"/>
        <w:spacing w:after="0" w:line="240" w:lineRule="auto"/>
        <w:ind w:left="1276" w:hanging="425"/>
        <w:contextualSpacing/>
        <w:jc w:val="both"/>
        <w:textAlignment w:val="baseline"/>
        <w:rPr>
          <w:rFonts w:eastAsia="Calibri" w:cs="Arial"/>
          <w:b/>
          <w:bCs/>
          <w:sz w:val="20"/>
          <w:szCs w:val="20"/>
          <w:lang w:val="es-ES"/>
        </w:rPr>
      </w:pPr>
    </w:p>
    <w:p w14:paraId="1FFF191D" w14:textId="291633DB" w:rsidR="00CB23AC" w:rsidRPr="00CB23AC" w:rsidRDefault="00957410" w:rsidP="00736E89">
      <w:pPr>
        <w:suppressAutoHyphens/>
        <w:autoSpaceDN w:val="0"/>
        <w:spacing w:after="0" w:line="240" w:lineRule="auto"/>
        <w:ind w:left="1276" w:hanging="556"/>
        <w:contextualSpacing/>
        <w:jc w:val="both"/>
        <w:textAlignment w:val="baseline"/>
        <w:rPr>
          <w:rFonts w:eastAsia="Calibri" w:cs="Arial"/>
          <w:b/>
          <w:bCs/>
          <w:sz w:val="20"/>
          <w:szCs w:val="20"/>
          <w:lang w:val="es-ES"/>
        </w:rPr>
      </w:pPr>
      <w:r w:rsidRPr="00CB23AC">
        <w:rPr>
          <w:rFonts w:eastAsia="Calibri" w:cs="Arial"/>
          <w:b/>
          <w:bCs/>
          <w:sz w:val="20"/>
          <w:szCs w:val="20"/>
          <w:lang w:val="es-ES"/>
        </w:rPr>
        <w:t>Decisión</w:t>
      </w:r>
      <w:r w:rsidR="00CB23AC" w:rsidRPr="00CB23AC">
        <w:rPr>
          <w:rFonts w:eastAsia="Calibri" w:cs="Arial"/>
          <w:b/>
          <w:bCs/>
          <w:sz w:val="20"/>
          <w:szCs w:val="20"/>
          <w:lang w:val="es-ES"/>
        </w:rPr>
        <w:t xml:space="preserve"> </w:t>
      </w:r>
      <w:r>
        <w:rPr>
          <w:rFonts w:eastAsia="Calibri" w:cs="Arial"/>
          <w:b/>
          <w:bCs/>
          <w:sz w:val="20"/>
          <w:szCs w:val="20"/>
          <w:lang w:val="es-ES"/>
        </w:rPr>
        <w:t xml:space="preserve">13.3 </w:t>
      </w:r>
      <w:r w:rsidR="00CB23AC" w:rsidRPr="00CB23AC">
        <w:rPr>
          <w:rFonts w:eastAsia="Calibri" w:cs="Arial"/>
          <w:b/>
          <w:bCs/>
          <w:sz w:val="20"/>
          <w:szCs w:val="20"/>
          <w:lang w:val="es-ES"/>
        </w:rPr>
        <w:t>dirigid</w:t>
      </w:r>
      <w:r>
        <w:rPr>
          <w:rFonts w:eastAsia="Calibri" w:cs="Arial"/>
          <w:b/>
          <w:bCs/>
          <w:sz w:val="20"/>
          <w:szCs w:val="20"/>
          <w:lang w:val="es-ES"/>
        </w:rPr>
        <w:t>a</w:t>
      </w:r>
      <w:r w:rsidR="00CB23AC" w:rsidRPr="00CB23AC">
        <w:rPr>
          <w:rFonts w:eastAsia="Calibri" w:cs="Arial"/>
          <w:b/>
          <w:bCs/>
          <w:sz w:val="20"/>
          <w:szCs w:val="20"/>
          <w:lang w:val="es-ES"/>
        </w:rPr>
        <w:t xml:space="preserve"> a</w:t>
      </w:r>
      <w:r>
        <w:rPr>
          <w:rFonts w:eastAsia="Calibri" w:cs="Arial"/>
          <w:b/>
          <w:bCs/>
          <w:sz w:val="20"/>
          <w:szCs w:val="20"/>
          <w:lang w:val="es-ES"/>
        </w:rPr>
        <w:t>l</w:t>
      </w:r>
      <w:r w:rsidR="00CB23AC" w:rsidRPr="00CB23AC">
        <w:rPr>
          <w:rFonts w:eastAsia="Calibri" w:cs="Arial"/>
          <w:b/>
          <w:bCs/>
          <w:sz w:val="20"/>
          <w:szCs w:val="20"/>
          <w:lang w:val="es-ES"/>
        </w:rPr>
        <w:t xml:space="preserve"> Comité Permanente</w:t>
      </w:r>
    </w:p>
    <w:p w14:paraId="18732536" w14:textId="77777777" w:rsidR="00CB23AC" w:rsidRPr="00CB23AC" w:rsidRDefault="00CB23AC" w:rsidP="00CB23AC">
      <w:pPr>
        <w:suppressAutoHyphens/>
        <w:autoSpaceDN w:val="0"/>
        <w:spacing w:after="0" w:line="240" w:lineRule="auto"/>
        <w:ind w:left="1276" w:hanging="425"/>
        <w:contextualSpacing/>
        <w:jc w:val="both"/>
        <w:textAlignment w:val="baseline"/>
        <w:rPr>
          <w:rFonts w:eastAsia="Calibri" w:cs="Arial"/>
          <w:b/>
          <w:bCs/>
          <w:sz w:val="20"/>
          <w:szCs w:val="20"/>
          <w:lang w:val="es-ES"/>
        </w:rPr>
      </w:pPr>
    </w:p>
    <w:p w14:paraId="14674606" w14:textId="77777777" w:rsidR="00CB23AC" w:rsidRPr="00957410" w:rsidRDefault="00CB23AC" w:rsidP="00736E89">
      <w:pPr>
        <w:suppressAutoHyphens/>
        <w:autoSpaceDN w:val="0"/>
        <w:spacing w:after="0" w:line="240" w:lineRule="auto"/>
        <w:ind w:left="1080" w:hanging="360"/>
        <w:contextualSpacing/>
        <w:jc w:val="both"/>
        <w:textAlignment w:val="baseline"/>
        <w:rPr>
          <w:rFonts w:eastAsia="Calibri" w:cs="Arial"/>
          <w:i/>
          <w:iCs/>
          <w:sz w:val="20"/>
          <w:szCs w:val="20"/>
          <w:lang w:val="es-ES"/>
        </w:rPr>
      </w:pPr>
      <w:r w:rsidRPr="00957410">
        <w:rPr>
          <w:rFonts w:eastAsia="Calibri" w:cs="Arial"/>
          <w:i/>
          <w:iCs/>
          <w:sz w:val="20"/>
          <w:szCs w:val="20"/>
          <w:lang w:val="es-ES"/>
        </w:rPr>
        <w:t>El Comité Permanente deberá:</w:t>
      </w:r>
    </w:p>
    <w:p w14:paraId="58F61541" w14:textId="77777777" w:rsidR="00CB23AC" w:rsidRPr="00957410" w:rsidRDefault="00CB23AC" w:rsidP="00736E89">
      <w:pPr>
        <w:suppressAutoHyphens/>
        <w:autoSpaceDN w:val="0"/>
        <w:spacing w:after="0" w:line="240" w:lineRule="auto"/>
        <w:ind w:left="1080" w:hanging="360"/>
        <w:contextualSpacing/>
        <w:jc w:val="both"/>
        <w:textAlignment w:val="baseline"/>
        <w:rPr>
          <w:rFonts w:eastAsia="Calibri" w:cs="Arial"/>
          <w:i/>
          <w:iCs/>
          <w:sz w:val="20"/>
          <w:szCs w:val="20"/>
          <w:lang w:val="es-ES"/>
        </w:rPr>
      </w:pPr>
    </w:p>
    <w:p w14:paraId="739A423A" w14:textId="7AAEED0E" w:rsidR="00CB23AC" w:rsidRPr="00904CE4" w:rsidRDefault="00CB23AC" w:rsidP="00904CE4">
      <w:pPr>
        <w:pStyle w:val="ListParagraph"/>
        <w:numPr>
          <w:ilvl w:val="1"/>
          <w:numId w:val="17"/>
        </w:numPr>
        <w:suppressAutoHyphens/>
        <w:autoSpaceDN w:val="0"/>
        <w:spacing w:after="80" w:line="240" w:lineRule="auto"/>
        <w:ind w:left="1080"/>
        <w:contextualSpacing w:val="0"/>
        <w:jc w:val="both"/>
        <w:textAlignment w:val="baseline"/>
        <w:rPr>
          <w:rFonts w:eastAsia="Calibri" w:cs="Arial"/>
          <w:i/>
          <w:iCs/>
          <w:sz w:val="20"/>
          <w:szCs w:val="20"/>
          <w:lang w:val="es-ES"/>
        </w:rPr>
      </w:pPr>
      <w:r w:rsidRPr="00904CE4">
        <w:rPr>
          <w:rFonts w:eastAsia="Calibri" w:cs="Arial"/>
          <w:i/>
          <w:iCs/>
          <w:sz w:val="20"/>
          <w:szCs w:val="20"/>
          <w:lang w:val="es-ES"/>
        </w:rPr>
        <w:t>considerar los informes sobre el progreso de la implementación de la Decisión presentada por la Secretaría;</w:t>
      </w:r>
    </w:p>
    <w:p w14:paraId="28A97EA0" w14:textId="46FEB270" w:rsidR="00714C0A" w:rsidRPr="00904CE4" w:rsidRDefault="00CB23AC" w:rsidP="00904CE4">
      <w:pPr>
        <w:pStyle w:val="ListParagraph"/>
        <w:numPr>
          <w:ilvl w:val="0"/>
          <w:numId w:val="17"/>
        </w:numPr>
        <w:suppressAutoHyphens/>
        <w:autoSpaceDN w:val="0"/>
        <w:spacing w:after="0" w:line="240" w:lineRule="auto"/>
        <w:ind w:left="1080"/>
        <w:jc w:val="both"/>
        <w:textAlignment w:val="baseline"/>
        <w:rPr>
          <w:rFonts w:eastAsia="Calibri" w:cs="Arial"/>
          <w:i/>
          <w:iCs/>
          <w:sz w:val="20"/>
          <w:szCs w:val="20"/>
          <w:lang w:val="es-ES"/>
        </w:rPr>
      </w:pPr>
      <w:r w:rsidRPr="00904CE4">
        <w:rPr>
          <w:rFonts w:eastAsia="Calibri" w:cs="Arial"/>
          <w:i/>
          <w:iCs/>
          <w:sz w:val="20"/>
          <w:szCs w:val="20"/>
          <w:lang w:val="es-ES"/>
        </w:rPr>
        <w:t>proporcionar orientación a la Secretaría de manera pertinente.</w:t>
      </w:r>
    </w:p>
    <w:p w14:paraId="49A26D4F" w14:textId="77777777" w:rsidR="00957410" w:rsidRPr="00714C0A" w:rsidRDefault="00957410" w:rsidP="00CB23AC">
      <w:pPr>
        <w:suppressAutoHyphens/>
        <w:autoSpaceDN w:val="0"/>
        <w:spacing w:after="0" w:line="240" w:lineRule="auto"/>
        <w:ind w:left="1276" w:hanging="425"/>
        <w:contextualSpacing/>
        <w:jc w:val="both"/>
        <w:textAlignment w:val="baseline"/>
        <w:rPr>
          <w:rFonts w:eastAsia="Calibri" w:cs="Arial"/>
          <w:i/>
          <w:iCs/>
          <w:sz w:val="20"/>
          <w:szCs w:val="20"/>
          <w:lang w:val="es-ES"/>
        </w:rPr>
      </w:pPr>
    </w:p>
    <w:p w14:paraId="096B8463" w14:textId="77777777" w:rsidR="00714C0A" w:rsidRPr="00714C0A" w:rsidRDefault="00714C0A" w:rsidP="00714C0A">
      <w:pPr>
        <w:numPr>
          <w:ilvl w:val="0"/>
          <w:numId w:val="14"/>
        </w:numPr>
        <w:suppressAutoHyphens/>
        <w:autoSpaceDN w:val="0"/>
        <w:spacing w:after="0" w:line="240" w:lineRule="auto"/>
        <w:ind w:left="567" w:hanging="567"/>
        <w:contextualSpacing/>
        <w:jc w:val="both"/>
        <w:textAlignment w:val="baseline"/>
        <w:rPr>
          <w:rFonts w:eastAsia="Calibri" w:cs="Arial"/>
          <w:lang w:val="es-ES"/>
        </w:rPr>
      </w:pPr>
      <w:r w:rsidRPr="00714C0A">
        <w:rPr>
          <w:rFonts w:eastAsia="Calibri" w:cs="Arial"/>
          <w:color w:val="000000" w:themeColor="text1"/>
          <w:lang w:val="es-ES"/>
        </w:rPr>
        <w:lastRenderedPageBreak/>
        <w:t xml:space="preserve">Para cumplir con </w:t>
      </w:r>
      <w:r w:rsidRPr="00714C0A">
        <w:rPr>
          <w:rFonts w:eastAsia="Calibri" w:cs="Arial"/>
          <w:lang w:val="es-ES"/>
        </w:rPr>
        <w:t xml:space="preserve">este mandato, el Programa de Trabajo para el período intersesional entre la COP13 y la COP14 (dispuesto en el </w:t>
      </w:r>
      <w:hyperlink r:id="rId15" w:history="1">
        <w:r w:rsidRPr="00714C0A">
          <w:rPr>
            <w:rFonts w:eastAsia="Calibri" w:cs="Arial"/>
            <w:color w:val="0563C1"/>
            <w:u w:val="single"/>
            <w:lang w:val="es-ES"/>
          </w:rPr>
          <w:t>Anexo 6 de la Resolución 13.2</w:t>
        </w:r>
      </w:hyperlink>
      <w:r w:rsidRPr="00714C0A">
        <w:rPr>
          <w:rFonts w:eastAsia="Calibri" w:cs="Arial"/>
          <w:color w:val="000000" w:themeColor="text1"/>
          <w:u w:val="single"/>
          <w:lang w:val="es-ES"/>
        </w:rPr>
        <w:t>)</w:t>
      </w:r>
      <w:r w:rsidRPr="00714C0A">
        <w:rPr>
          <w:rFonts w:eastAsia="Calibri" w:cs="Arial"/>
          <w:color w:val="0563C1"/>
          <w:lang w:val="es-ES"/>
        </w:rPr>
        <w:t xml:space="preserve"> </w:t>
      </w:r>
      <w:r w:rsidRPr="00714C0A">
        <w:rPr>
          <w:rFonts w:eastAsia="Calibri" w:cs="Arial"/>
          <w:color w:val="000000" w:themeColor="text1"/>
          <w:lang w:val="es-ES"/>
        </w:rPr>
        <w:t>incluía el desarrollo ulterior</w:t>
      </w:r>
      <w:r w:rsidRPr="00714C0A">
        <w:rPr>
          <w:rFonts w:eastAsia="Calibri" w:cs="Arial"/>
          <w:lang w:val="es-ES"/>
        </w:rPr>
        <w:t xml:space="preserve"> de los indicadores, la identificación de lagunas de datos, y estudios de caso relacionados, y la evaluación completa de la implementación del Plan Estratégico.</w:t>
      </w:r>
    </w:p>
    <w:p w14:paraId="7CC28FA5" w14:textId="77777777" w:rsidR="00714C0A" w:rsidRPr="00714C0A" w:rsidRDefault="00714C0A" w:rsidP="00714C0A">
      <w:pPr>
        <w:spacing w:after="0" w:line="240" w:lineRule="auto"/>
        <w:rPr>
          <w:lang w:val="es-ES"/>
        </w:rPr>
      </w:pPr>
    </w:p>
    <w:p w14:paraId="4F0DAA4C" w14:textId="77777777" w:rsidR="00714C0A" w:rsidRPr="00714C0A" w:rsidRDefault="00714C0A" w:rsidP="00714C0A">
      <w:pPr>
        <w:spacing w:after="0" w:line="240" w:lineRule="auto"/>
        <w:rPr>
          <w:u w:val="single"/>
          <w:lang w:val="es-ES"/>
        </w:rPr>
      </w:pPr>
      <w:r w:rsidRPr="00714C0A">
        <w:rPr>
          <w:u w:val="single"/>
          <w:lang w:val="es-ES"/>
        </w:rPr>
        <w:t>Actividades para implementar la Decisión 13.1</w:t>
      </w:r>
    </w:p>
    <w:p w14:paraId="5A4AFB1A" w14:textId="77777777" w:rsidR="00714C0A" w:rsidRPr="00714C0A" w:rsidRDefault="00714C0A" w:rsidP="00714C0A">
      <w:pPr>
        <w:spacing w:after="0" w:line="240" w:lineRule="auto"/>
        <w:rPr>
          <w:lang w:val="es-ES"/>
        </w:rPr>
      </w:pPr>
    </w:p>
    <w:p w14:paraId="098FF7F4" w14:textId="77777777" w:rsidR="00714C0A" w:rsidRPr="00714C0A" w:rsidRDefault="00714C0A" w:rsidP="00714C0A">
      <w:pPr>
        <w:numPr>
          <w:ilvl w:val="0"/>
          <w:numId w:val="14"/>
        </w:numPr>
        <w:spacing w:after="0" w:line="240" w:lineRule="auto"/>
        <w:ind w:left="567" w:hanging="567"/>
        <w:contextualSpacing/>
        <w:jc w:val="both"/>
        <w:rPr>
          <w:lang w:val="es-ES"/>
        </w:rPr>
      </w:pPr>
      <w:r w:rsidRPr="00714C0A">
        <w:rPr>
          <w:color w:val="000000" w:themeColor="text1"/>
          <w:lang w:val="es-ES"/>
        </w:rPr>
        <w:t xml:space="preserve">De acuerdo con la </w:t>
      </w:r>
      <w:r w:rsidRPr="00714C0A">
        <w:rPr>
          <w:lang w:val="es-ES"/>
        </w:rPr>
        <w:t>Decisión 13.1(a) a (c), de la 52.</w:t>
      </w:r>
      <w:r w:rsidRPr="00714C0A">
        <w:rPr>
          <w:vertAlign w:val="superscript"/>
          <w:lang w:val="es-ES"/>
        </w:rPr>
        <w:t>ª</w:t>
      </w:r>
      <w:r w:rsidRPr="00714C0A">
        <w:rPr>
          <w:lang w:val="es-ES"/>
        </w:rPr>
        <w:t xml:space="preserve"> reunión del Comité Permanente (StC52, 2021), la Secretaría presentó una «evaluación de la implementación del SPMS 2015-2023 y sus opciones de seguimiento» (</w:t>
      </w:r>
      <w:hyperlink r:id="rId16" w:history="1">
        <w:r w:rsidRPr="00714C0A">
          <w:rPr>
            <w:color w:val="0563C1"/>
            <w:u w:val="single"/>
            <w:lang w:val="es-ES"/>
          </w:rPr>
          <w:t>UNEP/CMS/StC52/Doc.10</w:t>
        </w:r>
      </w:hyperlink>
      <w:r w:rsidRPr="00714C0A">
        <w:rPr>
          <w:lang w:val="es-ES"/>
        </w:rPr>
        <w:t>). La Secretaría constató que la implementación de algunos de los objetivos previstos por la Decisión, como el desarrollo ulterior de los indicadores identificados en el Plan Estratégico, que aún no eran operables, o la realización de estudios de caso y de evaluación únicos, ya no eran realistas debido a la falta de recursos. Por lo tanto, la Secretaría sugirió centrar los esfuerzos en los aspectos de la Decisión que aún se podían alcanzar, como la evaluación de los indicadores que ya eran plenamente operables y la identificación de los estudios de caso ya disponibles (</w:t>
      </w:r>
      <w:hyperlink r:id="rId17" w:history="1">
        <w:r w:rsidRPr="00714C0A">
          <w:rPr>
            <w:color w:val="0563C1"/>
            <w:u w:val="single"/>
            <w:lang w:val="es-ES"/>
          </w:rPr>
          <w:t>UNEP/CMS/StC52/Doc.10</w:t>
        </w:r>
      </w:hyperlink>
      <w:r w:rsidRPr="00714C0A">
        <w:rPr>
          <w:lang w:val="es-ES"/>
        </w:rPr>
        <w:t>). La StC52 apoyó la propuesta de la Secretaría (</w:t>
      </w:r>
      <w:hyperlink r:id="rId18" w:history="1">
        <w:r w:rsidRPr="00714C0A">
          <w:rPr>
            <w:color w:val="0563C1"/>
            <w:u w:val="single"/>
            <w:lang w:val="es-ES"/>
          </w:rPr>
          <w:t>UNEP/CMS/StC52/Informe</w:t>
        </w:r>
      </w:hyperlink>
      <w:r w:rsidRPr="00714C0A">
        <w:rPr>
          <w:lang w:val="es-ES"/>
        </w:rPr>
        <w:t>).</w:t>
      </w:r>
    </w:p>
    <w:p w14:paraId="73280781" w14:textId="77777777" w:rsidR="00714C0A" w:rsidRPr="00714C0A" w:rsidRDefault="00714C0A" w:rsidP="00714C0A">
      <w:pPr>
        <w:spacing w:after="0" w:line="240" w:lineRule="auto"/>
        <w:ind w:left="567"/>
        <w:contextualSpacing/>
        <w:jc w:val="both"/>
        <w:rPr>
          <w:lang w:val="es-ES"/>
        </w:rPr>
      </w:pPr>
    </w:p>
    <w:p w14:paraId="61B4E516" w14:textId="77777777" w:rsidR="00714C0A" w:rsidRPr="00714C0A" w:rsidRDefault="00714C0A" w:rsidP="00714C0A">
      <w:pPr>
        <w:numPr>
          <w:ilvl w:val="0"/>
          <w:numId w:val="14"/>
        </w:numPr>
        <w:spacing w:after="0" w:line="240" w:lineRule="auto"/>
        <w:ind w:left="567" w:hanging="567"/>
        <w:contextualSpacing/>
        <w:jc w:val="both"/>
        <w:rPr>
          <w:lang w:val="es-ES"/>
        </w:rPr>
      </w:pPr>
      <w:r w:rsidRPr="00714C0A">
        <w:rPr>
          <w:lang w:val="es-ES"/>
        </w:rPr>
        <w:t>En su 53.</w:t>
      </w:r>
      <w:r w:rsidRPr="00714C0A">
        <w:rPr>
          <w:vertAlign w:val="superscript"/>
          <w:lang w:val="es-ES"/>
        </w:rPr>
        <w:t>ª</w:t>
      </w:r>
      <w:r w:rsidRPr="00714C0A">
        <w:rPr>
          <w:lang w:val="es-ES"/>
        </w:rPr>
        <w:t xml:space="preserve"> reunión (StC53, 2022), el Comité Permanente siguió considerando la implementación del SPMS 2015-2023 y las opciones para el seguimiento del Plan Estratégico. Debido a la falta de recursos, y al hecho de que los Informes Nacionales para la COP14 no estarían disponibles hasta después de la reunión, la Secretaría no pudo proporcionar a la StC53 una evaluación completa de la implementación. Sin embargo, la Secretaría preparó un documento para la StC53 en el que se proporcionaba una evaluación de la implementación hasta la fecha, así como las reflexiones sobre el impacto del SPMS en su conjunto (</w:t>
      </w:r>
      <w:hyperlink r:id="rId19" w:history="1">
        <w:r w:rsidRPr="00714C0A">
          <w:rPr>
            <w:color w:val="0563C1"/>
            <w:u w:val="single"/>
            <w:lang w:val="es-ES"/>
          </w:rPr>
          <w:t>UNEP/CMS/StC53/Doc.11</w:t>
        </w:r>
      </w:hyperlink>
      <w:r w:rsidRPr="00714C0A">
        <w:rPr>
          <w:lang w:val="es-ES"/>
        </w:rPr>
        <w:t xml:space="preserve">). Además, gracias a las contribuciones voluntarias del Gobierno de Malta, la Secretaría facilitó al Comité Permanente un resumen de la implementación de cada una de las metas del SPMS, basándose en el análisis preparado para la COP13, y en otras fuentes (Anexo 2 a </w:t>
      </w:r>
      <w:hyperlink r:id="rId20" w:history="1">
        <w:r w:rsidRPr="00714C0A">
          <w:rPr>
            <w:color w:val="0563C1"/>
            <w:u w:val="single"/>
            <w:lang w:val="es-ES"/>
          </w:rPr>
          <w:t>UNEP/CMS/StC53/Doc.11</w:t>
        </w:r>
      </w:hyperlink>
      <w:r w:rsidRPr="00714C0A">
        <w:rPr>
          <w:lang w:val="es-ES"/>
        </w:rPr>
        <w:t xml:space="preserve">). De acuerdo con la decisión adoptada en la StC52, la Secretaría siguió </w:t>
      </w:r>
      <w:r w:rsidRPr="00714C0A">
        <w:rPr>
          <w:color w:val="000000" w:themeColor="text1"/>
          <w:lang w:val="es-ES"/>
        </w:rPr>
        <w:t xml:space="preserve">evaluando la disponibilidad de indicadores y presentó sus conclusiones </w:t>
      </w:r>
      <w:r w:rsidRPr="00714C0A">
        <w:rPr>
          <w:lang w:val="es-ES"/>
        </w:rPr>
        <w:t xml:space="preserve">al Comité Permanente en la StC53 (Anexo 1 a </w:t>
      </w:r>
      <w:hyperlink r:id="rId21" w:history="1">
        <w:r w:rsidRPr="00714C0A">
          <w:rPr>
            <w:color w:val="0563C1"/>
            <w:u w:val="single"/>
            <w:lang w:val="es-ES"/>
          </w:rPr>
          <w:t>UNEP/CMS/StC53/Doc.11</w:t>
        </w:r>
      </w:hyperlink>
      <w:r w:rsidRPr="00714C0A">
        <w:rPr>
          <w:lang w:val="es-ES"/>
        </w:rPr>
        <w:t>).</w:t>
      </w:r>
    </w:p>
    <w:p w14:paraId="73C55554" w14:textId="77777777" w:rsidR="00714C0A" w:rsidRPr="00714C0A" w:rsidRDefault="00714C0A" w:rsidP="00714C0A">
      <w:pPr>
        <w:spacing w:after="0" w:line="240" w:lineRule="auto"/>
        <w:rPr>
          <w:lang w:val="es-ES"/>
        </w:rPr>
      </w:pPr>
    </w:p>
    <w:p w14:paraId="74677DA2" w14:textId="77777777" w:rsidR="00714C0A" w:rsidRPr="00714C0A" w:rsidRDefault="00714C0A" w:rsidP="00714C0A">
      <w:pPr>
        <w:numPr>
          <w:ilvl w:val="0"/>
          <w:numId w:val="14"/>
        </w:numPr>
        <w:spacing w:after="0" w:line="240" w:lineRule="auto"/>
        <w:ind w:left="567" w:hanging="567"/>
        <w:contextualSpacing/>
        <w:jc w:val="both"/>
        <w:rPr>
          <w:color w:val="000000" w:themeColor="text1"/>
          <w:lang w:val="es-ES"/>
        </w:rPr>
      </w:pPr>
      <w:r w:rsidRPr="00714C0A">
        <w:rPr>
          <w:lang w:val="es-ES"/>
        </w:rPr>
        <w:t xml:space="preserve">El documento y el resumen supusieron una importante aportación para la consideración del Comité Permanente respecto de las opciones para el seguimiento del SPMS 2015-2023, junto con </w:t>
      </w:r>
      <w:hyperlink r:id="rId22" w:history="1">
        <w:r w:rsidRPr="00714C0A">
          <w:rPr>
            <w:color w:val="0563C1"/>
            <w:u w:val="single"/>
            <w:lang w:val="es-ES"/>
          </w:rPr>
          <w:t xml:space="preserve">UNEP/CMS/StC53/Doc.12 </w:t>
        </w:r>
        <w:r w:rsidRPr="00714C0A">
          <w:rPr>
            <w:i/>
            <w:iCs/>
            <w:color w:val="0563C1"/>
            <w:u w:val="single"/>
            <w:lang w:val="es-ES"/>
          </w:rPr>
          <w:t xml:space="preserve">Opciones para el seguimiento del Plan Estratégico para las Especies Migratorias </w:t>
        </w:r>
        <w:r w:rsidRPr="00714C0A">
          <w:rPr>
            <w:color w:val="0563C1"/>
            <w:u w:val="single"/>
            <w:lang w:val="es-ES"/>
          </w:rPr>
          <w:t>2015-2023</w:t>
        </w:r>
      </w:hyperlink>
      <w:r w:rsidRPr="00714C0A">
        <w:rPr>
          <w:lang w:val="es-ES"/>
        </w:rPr>
        <w:t xml:space="preserve"> y </w:t>
      </w:r>
      <w:hyperlink r:id="rId23" w:history="1">
        <w:r w:rsidRPr="00714C0A">
          <w:rPr>
            <w:color w:val="0563C1"/>
            <w:u w:val="single"/>
            <w:lang w:val="es-ES"/>
          </w:rPr>
          <w:t xml:space="preserve">UNEP/CMS/StC53/Doc.12/Add.1 </w:t>
        </w:r>
        <w:r w:rsidRPr="00714C0A">
          <w:rPr>
            <w:i/>
            <w:iCs/>
            <w:color w:val="0563C1"/>
            <w:u w:val="single"/>
            <w:lang w:val="es-ES"/>
          </w:rPr>
          <w:t>Información adicional para apoyar la consideración de opciones de seguimiento del Plan Estratégico para Especies Migratorias 2015-2023</w:t>
        </w:r>
      </w:hyperlink>
      <w:r w:rsidRPr="00714C0A">
        <w:rPr>
          <w:color w:val="000000" w:themeColor="text1"/>
          <w:lang w:val="es-ES"/>
        </w:rPr>
        <w:t>. En un documento separado (UNEP/CMS/COP14/Doc.14.2) se presenta una propuesta del Plan Estratégico para las Especies Migratorias para el período 2024-2032 para su consideración por la COP14.</w:t>
      </w:r>
    </w:p>
    <w:p w14:paraId="414BB573" w14:textId="77777777" w:rsidR="00714C0A" w:rsidRPr="00714C0A" w:rsidRDefault="00714C0A" w:rsidP="00714C0A">
      <w:pPr>
        <w:spacing w:after="0" w:line="240" w:lineRule="auto"/>
        <w:ind w:left="567"/>
        <w:contextualSpacing/>
        <w:jc w:val="both"/>
        <w:rPr>
          <w:lang w:val="es-ES"/>
        </w:rPr>
      </w:pPr>
    </w:p>
    <w:p w14:paraId="107CD186" w14:textId="5D0FEECD" w:rsidR="00714C0A" w:rsidRPr="00714C0A" w:rsidRDefault="00714C0A" w:rsidP="00714C0A">
      <w:pPr>
        <w:numPr>
          <w:ilvl w:val="0"/>
          <w:numId w:val="14"/>
        </w:numPr>
        <w:spacing w:after="0" w:line="240" w:lineRule="auto"/>
        <w:ind w:left="567" w:hanging="567"/>
        <w:contextualSpacing/>
        <w:jc w:val="both"/>
        <w:rPr>
          <w:lang w:val="es-ES"/>
        </w:rPr>
      </w:pPr>
      <w:r w:rsidRPr="00714C0A">
        <w:rPr>
          <w:lang w:val="es-ES"/>
        </w:rPr>
        <w:t>Gracias a las contribuciones voluntarias de los Gobiernos de Alemania y Suiza, la Secretaría pudo encargar al Centro Mundial de Vigilancia de la Conservación del PNUMA (PNUMA-WCMC) una evaluación de los progresos realizados en la consecución de las metas del SPMS. La evaluación figura en el Anexo del presente documento, la cual se llevó a cabo en colaboración con el análisis del PNUMA-WCMC de los Informes Nacionales de la CMS para la COP14 (</w:t>
      </w:r>
      <w:r w:rsidRPr="00714C0A">
        <w:rPr>
          <w:color w:val="000000" w:themeColor="text1"/>
          <w:lang w:val="es-ES"/>
        </w:rPr>
        <w:t xml:space="preserve">contenida en el Anexo 3 a </w:t>
      </w:r>
      <w:r w:rsidRPr="00714C0A">
        <w:rPr>
          <w:lang w:val="es-ES"/>
        </w:rPr>
        <w:t>UNEP/CMS/COP14/Doc.23); por lo tanto, los aspectos de la evaluación de los progresos también pueden encontrarse en el análisis de los Informes Nacionales.</w:t>
      </w:r>
    </w:p>
    <w:p w14:paraId="1F7EC5DE" w14:textId="77777777" w:rsidR="00714C0A" w:rsidRPr="00714C0A" w:rsidRDefault="00714C0A" w:rsidP="00714C0A">
      <w:pPr>
        <w:ind w:left="720"/>
        <w:contextualSpacing/>
        <w:rPr>
          <w:lang w:val="es-ES"/>
        </w:rPr>
      </w:pPr>
    </w:p>
    <w:p w14:paraId="5D79945D" w14:textId="4E5DF94C" w:rsidR="00714C0A" w:rsidRPr="00714C0A" w:rsidRDefault="00714C0A" w:rsidP="00714C0A">
      <w:pPr>
        <w:numPr>
          <w:ilvl w:val="0"/>
          <w:numId w:val="14"/>
        </w:numPr>
        <w:spacing w:after="0" w:line="240" w:lineRule="auto"/>
        <w:ind w:left="567" w:hanging="567"/>
        <w:contextualSpacing/>
        <w:jc w:val="both"/>
        <w:rPr>
          <w:lang w:val="es-ES"/>
        </w:rPr>
      </w:pPr>
      <w:r w:rsidRPr="00714C0A">
        <w:rPr>
          <w:lang w:val="es-ES"/>
        </w:rPr>
        <w:lastRenderedPageBreak/>
        <w:t xml:space="preserve">La evaluación proporciona un resumen de los progresos realizados hacia cada una de las 16 metas del SPMS, sintetizados a partir de la información correspondiente, proporcionada en los Informes Nacionales de las Partes para la COP14, del informe del </w:t>
      </w:r>
      <w:r w:rsidRPr="00714C0A">
        <w:rPr>
          <w:i/>
          <w:iCs/>
          <w:lang w:val="es-ES"/>
        </w:rPr>
        <w:t>Estado mundial de las Especies Migratorias</w:t>
      </w:r>
      <w:r w:rsidRPr="00714C0A">
        <w:rPr>
          <w:lang w:val="es-ES"/>
        </w:rPr>
        <w:t xml:space="preserve"> (UNEP/CMS/COP14/Doc.21</w:t>
      </w:r>
      <w:r w:rsidR="00116CAA">
        <w:rPr>
          <w:lang w:val="es-ES"/>
        </w:rPr>
        <w:t>.1</w:t>
      </w:r>
      <w:r w:rsidRPr="00714C0A">
        <w:rPr>
          <w:lang w:val="es-ES"/>
        </w:rPr>
        <w:t>), y del análisis de otros indicadores prioritarios.</w:t>
      </w:r>
    </w:p>
    <w:p w14:paraId="1C3D8EE7" w14:textId="77777777" w:rsidR="00714C0A" w:rsidRPr="00714C0A" w:rsidRDefault="00714C0A" w:rsidP="00714C0A">
      <w:pPr>
        <w:spacing w:after="0" w:line="240" w:lineRule="auto"/>
        <w:ind w:left="567"/>
        <w:contextualSpacing/>
        <w:jc w:val="both"/>
        <w:rPr>
          <w:highlight w:val="yellow"/>
          <w:lang w:val="es-ES"/>
        </w:rPr>
      </w:pPr>
    </w:p>
    <w:p w14:paraId="009FE29A" w14:textId="77777777" w:rsidR="00714C0A" w:rsidRPr="00714C0A" w:rsidRDefault="00714C0A" w:rsidP="00714C0A">
      <w:pPr>
        <w:numPr>
          <w:ilvl w:val="0"/>
          <w:numId w:val="14"/>
        </w:numPr>
        <w:spacing w:after="0" w:line="240" w:lineRule="auto"/>
        <w:ind w:left="567" w:hanging="567"/>
        <w:contextualSpacing/>
        <w:jc w:val="both"/>
        <w:rPr>
          <w:lang w:val="es-ES"/>
        </w:rPr>
      </w:pPr>
      <w:r w:rsidRPr="00714C0A">
        <w:rPr>
          <w:lang w:val="es-ES"/>
        </w:rPr>
        <w:t xml:space="preserve">El informe final sobre los progresos realizados concluye que se ha avanzado de forma positiva en las acciones dirigidas a integrar las prioridades de las especies migratorias por parte de los gobiernos y la sociedad (Objetivo 1). Sin embargo, las medidas para reducir las presiones directas no han resultado, hasta ahora, suficientes (Objetivo 2). Aunque la mejora del estado de conservación de las especies migratorias y la conectividad y resistencia ecológicas de sus hábitats son fundamentales </w:t>
      </w:r>
      <w:r w:rsidRPr="00714C0A">
        <w:rPr>
          <w:color w:val="000000" w:themeColor="text1"/>
          <w:lang w:val="es-ES"/>
        </w:rPr>
        <w:t xml:space="preserve">para la misión que orienta </w:t>
      </w:r>
      <w:r w:rsidRPr="00714C0A">
        <w:rPr>
          <w:lang w:val="es-ES"/>
        </w:rPr>
        <w:t xml:space="preserve">la implementación del SPMS, muchas especies siguen contando con un estado de conservación desfavorable y una proporción considerable está experimentando descensos en su población (Objetivo 3). Hay que señalar, no obstante, que se han realizado progresos moderados en la mejora de los beneficios </w:t>
      </w:r>
      <w:r w:rsidRPr="00714C0A">
        <w:rPr>
          <w:color w:val="000000" w:themeColor="text1"/>
          <w:lang w:val="es-ES"/>
        </w:rPr>
        <w:t xml:space="preserve">para todo el mundo derivados del estado de conservación favorable de las especies migratorias (Objetivo 4), y en la mejora de la implementación mediante la planificación </w:t>
      </w:r>
      <w:r w:rsidRPr="00714C0A">
        <w:rPr>
          <w:lang w:val="es-ES"/>
        </w:rPr>
        <w:t>participativa, la gestión de conocimientos y la capacitación (Objetivo 5).</w:t>
      </w:r>
    </w:p>
    <w:p w14:paraId="10C4E7A5" w14:textId="77777777" w:rsidR="00714C0A" w:rsidRPr="00714C0A" w:rsidRDefault="00714C0A" w:rsidP="00714C0A">
      <w:pPr>
        <w:spacing w:after="0" w:line="240" w:lineRule="auto"/>
        <w:ind w:left="567"/>
        <w:contextualSpacing/>
        <w:jc w:val="both"/>
        <w:rPr>
          <w:highlight w:val="yellow"/>
          <w:lang w:val="es-ES"/>
        </w:rPr>
      </w:pPr>
    </w:p>
    <w:p w14:paraId="6CF7532C" w14:textId="77777777" w:rsidR="00714C0A" w:rsidRPr="00714C0A" w:rsidRDefault="00714C0A" w:rsidP="00714C0A">
      <w:pPr>
        <w:numPr>
          <w:ilvl w:val="0"/>
          <w:numId w:val="14"/>
        </w:numPr>
        <w:spacing w:after="0" w:line="240" w:lineRule="auto"/>
        <w:ind w:left="567" w:hanging="567"/>
        <w:contextualSpacing/>
        <w:jc w:val="both"/>
        <w:rPr>
          <w:lang w:val="es-ES"/>
        </w:rPr>
      </w:pPr>
      <w:r w:rsidRPr="00714C0A">
        <w:rPr>
          <w:lang w:val="es-ES"/>
        </w:rPr>
        <w:t xml:space="preserve">Es difícil establecer conclusiones sobre si los patrones </w:t>
      </w:r>
      <w:r w:rsidRPr="00714C0A">
        <w:rPr>
          <w:color w:val="000000" w:themeColor="text1"/>
          <w:lang w:val="es-ES"/>
        </w:rPr>
        <w:t>identificados en los</w:t>
      </w:r>
      <w:r w:rsidRPr="00714C0A">
        <w:rPr>
          <w:lang w:val="es-ES"/>
        </w:rPr>
        <w:t xml:space="preserve"> Informes Nacionales son representativos de la implementación mundial, ya que el índice de notificación fue bajo. Aunque los datos disponibles indican destacados progresos, resulta evidente que se necesita una actuación más exhaustiva – por las Partes de forma individual y colaborativa – para alcanzar los objetivos de la Convención, </w:t>
      </w:r>
      <w:r w:rsidRPr="00714C0A">
        <w:rPr>
          <w:color w:val="000000" w:themeColor="text1"/>
          <w:lang w:val="es-ES"/>
        </w:rPr>
        <w:t xml:space="preserve">conjuntamente con </w:t>
      </w:r>
      <w:r w:rsidRPr="00714C0A">
        <w:rPr>
          <w:lang w:val="es-ES"/>
        </w:rPr>
        <w:t>los objetivos globales más amplios de conservación de la biodiversidad y de protección y restauración de los ecosistemas naturales.</w:t>
      </w:r>
    </w:p>
    <w:p w14:paraId="699D3FB9" w14:textId="77777777" w:rsidR="00714C0A" w:rsidRPr="00714C0A" w:rsidRDefault="00714C0A" w:rsidP="00714C0A">
      <w:pPr>
        <w:spacing w:after="0" w:line="240" w:lineRule="auto"/>
        <w:rPr>
          <w:lang w:val="es-ES"/>
        </w:rPr>
      </w:pPr>
    </w:p>
    <w:p w14:paraId="50A28DA6" w14:textId="77777777" w:rsidR="00714C0A" w:rsidRPr="00714C0A" w:rsidRDefault="00714C0A" w:rsidP="00714C0A">
      <w:pPr>
        <w:spacing w:after="0" w:line="240" w:lineRule="auto"/>
        <w:rPr>
          <w:u w:val="single"/>
          <w:lang w:val="es-ES"/>
        </w:rPr>
      </w:pPr>
      <w:r w:rsidRPr="00714C0A">
        <w:rPr>
          <w:u w:val="single"/>
          <w:lang w:val="es-ES"/>
        </w:rPr>
        <w:t>Acciones recomendadas</w:t>
      </w:r>
    </w:p>
    <w:p w14:paraId="0720F34C" w14:textId="77777777" w:rsidR="00714C0A" w:rsidRPr="00714C0A" w:rsidRDefault="00714C0A" w:rsidP="00714C0A">
      <w:pPr>
        <w:spacing w:after="0" w:line="240" w:lineRule="auto"/>
        <w:rPr>
          <w:lang w:val="es-ES"/>
        </w:rPr>
      </w:pPr>
    </w:p>
    <w:p w14:paraId="162263DC" w14:textId="77777777" w:rsidR="00714C0A" w:rsidRPr="00714C0A" w:rsidRDefault="00714C0A" w:rsidP="00714C0A">
      <w:pPr>
        <w:numPr>
          <w:ilvl w:val="0"/>
          <w:numId w:val="14"/>
        </w:numPr>
        <w:spacing w:after="0" w:line="240" w:lineRule="auto"/>
        <w:ind w:left="567" w:hanging="567"/>
        <w:contextualSpacing/>
        <w:rPr>
          <w:lang w:val="es-ES"/>
        </w:rPr>
      </w:pPr>
      <w:r w:rsidRPr="00714C0A">
        <w:rPr>
          <w:lang w:val="es-ES"/>
        </w:rPr>
        <w:t>Se recomienda a la Conferencia de las Partes que:</w:t>
      </w:r>
    </w:p>
    <w:p w14:paraId="405D99B5" w14:textId="77777777" w:rsidR="00714C0A" w:rsidRPr="00714C0A" w:rsidRDefault="00714C0A" w:rsidP="00714C0A">
      <w:pPr>
        <w:spacing w:after="0" w:line="240" w:lineRule="auto"/>
        <w:rPr>
          <w:lang w:val="es-ES"/>
        </w:rPr>
      </w:pPr>
    </w:p>
    <w:p w14:paraId="61DE83BA" w14:textId="12F9192B" w:rsidR="00714C0A" w:rsidRPr="00714C0A" w:rsidRDefault="00714C0A" w:rsidP="00714C0A">
      <w:pPr>
        <w:numPr>
          <w:ilvl w:val="0"/>
          <w:numId w:val="13"/>
        </w:numPr>
        <w:spacing w:after="0" w:line="240" w:lineRule="auto"/>
        <w:ind w:left="1134" w:hanging="567"/>
        <w:contextualSpacing/>
        <w:jc w:val="both"/>
        <w:rPr>
          <w:lang w:val="es-ES"/>
        </w:rPr>
      </w:pPr>
      <w:r w:rsidRPr="00714C0A">
        <w:rPr>
          <w:lang w:val="es-ES"/>
        </w:rPr>
        <w:t>tome nota de la evaluación de los progresos realizados en la consecución de las metas del SPMS, contenidos en el Anexo del presente documento, y</w:t>
      </w:r>
      <w:r w:rsidRPr="00714C0A">
        <w:rPr>
          <w:color w:val="FF0000"/>
          <w:lang w:val="es-ES"/>
        </w:rPr>
        <w:t xml:space="preserve"> </w:t>
      </w:r>
      <w:r w:rsidRPr="00714C0A">
        <w:rPr>
          <w:lang w:val="es-ES"/>
        </w:rPr>
        <w:t>formule las observaciones que considere oportunas;</w:t>
      </w:r>
    </w:p>
    <w:p w14:paraId="307061A5" w14:textId="77777777" w:rsidR="00714C0A" w:rsidRPr="00714C0A" w:rsidRDefault="00714C0A" w:rsidP="00714C0A">
      <w:pPr>
        <w:spacing w:after="0" w:line="240" w:lineRule="auto"/>
        <w:ind w:left="1134"/>
        <w:contextualSpacing/>
        <w:jc w:val="both"/>
        <w:rPr>
          <w:lang w:val="es-ES"/>
        </w:rPr>
      </w:pPr>
    </w:p>
    <w:p w14:paraId="625EC012" w14:textId="77777777" w:rsidR="00714C0A" w:rsidRPr="00714C0A" w:rsidRDefault="00714C0A" w:rsidP="00714C0A">
      <w:pPr>
        <w:numPr>
          <w:ilvl w:val="0"/>
          <w:numId w:val="13"/>
        </w:numPr>
        <w:spacing w:after="0" w:line="240" w:lineRule="auto"/>
        <w:ind w:left="1134" w:hanging="567"/>
        <w:contextualSpacing/>
        <w:jc w:val="both"/>
        <w:rPr>
          <w:lang w:val="es-ES"/>
        </w:rPr>
      </w:pPr>
      <w:r w:rsidRPr="00714C0A">
        <w:rPr>
          <w:lang w:val="es-ES"/>
        </w:rPr>
        <w:t xml:space="preserve">suprima las Decisiones 13.1 a 13.3. </w:t>
      </w:r>
    </w:p>
    <w:p w14:paraId="67FB572A" w14:textId="77777777" w:rsidR="00714C0A" w:rsidRPr="00714C0A" w:rsidRDefault="00714C0A" w:rsidP="00714C0A">
      <w:pPr>
        <w:spacing w:after="0" w:line="240" w:lineRule="auto"/>
        <w:rPr>
          <w:lang w:val="es-ES"/>
        </w:rPr>
      </w:pPr>
    </w:p>
    <w:p w14:paraId="304BE44A" w14:textId="77777777" w:rsidR="00714C0A" w:rsidRPr="00714C0A" w:rsidRDefault="00714C0A" w:rsidP="00714C0A">
      <w:pPr>
        <w:spacing w:after="0" w:line="240" w:lineRule="auto"/>
        <w:rPr>
          <w:lang w:val="es-ES"/>
        </w:rPr>
      </w:pPr>
    </w:p>
    <w:p w14:paraId="630AF1B9" w14:textId="77777777" w:rsidR="00702F6A" w:rsidRDefault="00702F6A">
      <w:pPr>
        <w:rPr>
          <w:rFonts w:eastAsia="Times New Roman" w:cs="Arial"/>
          <w:lang w:val="es-ES" w:eastAsia="es-ES"/>
        </w:rPr>
        <w:sectPr w:rsidR="00702F6A" w:rsidSect="00323406">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20" w:footer="720" w:gutter="0"/>
          <w:cols w:space="720"/>
          <w:titlePg/>
          <w:docGrid w:linePitch="360"/>
        </w:sectPr>
      </w:pPr>
    </w:p>
    <w:p w14:paraId="6F8DDDEA" w14:textId="700B1610" w:rsidR="00323221" w:rsidRDefault="00323221" w:rsidP="00323221">
      <w:pPr>
        <w:spacing w:after="0" w:line="240" w:lineRule="auto"/>
        <w:jc w:val="right"/>
        <w:rPr>
          <w:b/>
          <w:bCs/>
          <w:lang w:val="en-GB"/>
        </w:rPr>
      </w:pPr>
      <w:r>
        <w:rPr>
          <w:b/>
          <w:bCs/>
          <w:lang w:val="en-GB"/>
        </w:rPr>
        <w:lastRenderedPageBreak/>
        <w:t>ANEXO</w:t>
      </w:r>
    </w:p>
    <w:p w14:paraId="30875438" w14:textId="77777777" w:rsidR="00323221" w:rsidRDefault="00323221" w:rsidP="00323221">
      <w:pPr>
        <w:spacing w:after="0" w:line="240" w:lineRule="auto"/>
        <w:jc w:val="right"/>
        <w:rPr>
          <w:b/>
          <w:bCs/>
          <w:lang w:val="en-GB"/>
        </w:rPr>
      </w:pPr>
    </w:p>
    <w:p w14:paraId="52B6A5B6" w14:textId="77777777" w:rsidR="00323221" w:rsidRDefault="00323221" w:rsidP="00323221">
      <w:pPr>
        <w:spacing w:after="0" w:line="240" w:lineRule="auto"/>
        <w:jc w:val="center"/>
        <w:rPr>
          <w:lang w:val="en-GB"/>
        </w:rPr>
      </w:pPr>
    </w:p>
    <w:p w14:paraId="60CF5812" w14:textId="77777777" w:rsidR="00503941" w:rsidRPr="00503941" w:rsidRDefault="00503941" w:rsidP="00503941">
      <w:pPr>
        <w:spacing w:after="0" w:line="240" w:lineRule="auto"/>
        <w:jc w:val="center"/>
        <w:rPr>
          <w:b/>
          <w:bCs/>
          <w:lang w:val="es-ES"/>
        </w:rPr>
      </w:pPr>
      <w:r w:rsidRPr="00503941">
        <w:rPr>
          <w:b/>
          <w:bCs/>
          <w:lang w:val="es-ES"/>
        </w:rPr>
        <w:t>PLAN ESTRATÉGICO PARA LAS ESPECIES MIGRATORIAS 2015-2023</w:t>
      </w:r>
    </w:p>
    <w:p w14:paraId="24A52FC0" w14:textId="0D728B93" w:rsidR="002D5F2A" w:rsidRPr="007412CD" w:rsidRDefault="00503941" w:rsidP="00503941">
      <w:pPr>
        <w:jc w:val="center"/>
        <w:rPr>
          <w:b/>
          <w:bCs/>
          <w:lang w:val="es-ES"/>
        </w:rPr>
      </w:pPr>
      <w:r w:rsidRPr="007412CD">
        <w:rPr>
          <w:b/>
          <w:bCs/>
          <w:lang w:val="es-ES"/>
        </w:rPr>
        <w:t>- INFORME FINAL DE SITUACIÓN</w:t>
      </w:r>
    </w:p>
    <w:p w14:paraId="7F090C41" w14:textId="64014E5B" w:rsidR="00503941" w:rsidRPr="007412CD" w:rsidRDefault="00503941" w:rsidP="00503941">
      <w:pPr>
        <w:jc w:val="center"/>
        <w:rPr>
          <w:rFonts w:eastAsia="Times New Roman" w:cs="Arial"/>
          <w:i/>
          <w:iCs/>
          <w:lang w:val="es-ES" w:eastAsia="es-ES"/>
        </w:rPr>
      </w:pPr>
      <w:r w:rsidRPr="007412CD">
        <w:rPr>
          <w:rFonts w:eastAsia="Times New Roman" w:cs="Arial"/>
          <w:i/>
          <w:iCs/>
          <w:lang w:val="es-ES" w:eastAsia="es-ES"/>
        </w:rPr>
        <w:t>[pendiente de publicación]</w:t>
      </w:r>
    </w:p>
    <w:p w14:paraId="6E10C141" w14:textId="77777777" w:rsidR="002D5F2A" w:rsidRPr="007412CD" w:rsidRDefault="002D5F2A" w:rsidP="00B40E07">
      <w:pPr>
        <w:pStyle w:val="Firstnumbering1"/>
        <w:numPr>
          <w:ilvl w:val="0"/>
          <w:numId w:val="0"/>
        </w:numPr>
        <w:ind w:left="567"/>
      </w:pPr>
    </w:p>
    <w:sectPr w:rsidR="002D5F2A" w:rsidRPr="007412CD" w:rsidSect="00323406">
      <w:headerReference w:type="first" r:id="rId30"/>
      <w:footerReference w:type="first" r:id="rId3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93F9" w14:textId="77777777" w:rsidR="003E239C" w:rsidRDefault="003E239C" w:rsidP="00002A97">
      <w:pPr>
        <w:spacing w:after="0" w:line="240" w:lineRule="auto"/>
      </w:pPr>
      <w:r>
        <w:separator/>
      </w:r>
    </w:p>
  </w:endnote>
  <w:endnote w:type="continuationSeparator" w:id="0">
    <w:p w14:paraId="23BC66F0" w14:textId="77777777" w:rsidR="003E239C" w:rsidRDefault="003E239C"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1042C8F0"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91529"/>
      <w:docPartObj>
        <w:docPartGallery w:val="Page Numbers (Bottom of Page)"/>
        <w:docPartUnique/>
      </w:docPartObj>
    </w:sdtPr>
    <w:sdtEndPr>
      <w:rPr>
        <w:noProof/>
        <w:sz w:val="18"/>
        <w:szCs w:val="18"/>
      </w:rPr>
    </w:sdtEndPr>
    <w:sdtContent>
      <w:p w14:paraId="0A1273F5" w14:textId="020DB5A8" w:rsidR="00503941" w:rsidRPr="00503941" w:rsidRDefault="00503941">
        <w:pPr>
          <w:pStyle w:val="Footer"/>
          <w:jc w:val="center"/>
          <w:rPr>
            <w:sz w:val="18"/>
            <w:szCs w:val="18"/>
          </w:rPr>
        </w:pPr>
        <w:r w:rsidRPr="00503941">
          <w:rPr>
            <w:sz w:val="18"/>
            <w:szCs w:val="18"/>
          </w:rPr>
          <w:fldChar w:fldCharType="begin"/>
        </w:r>
        <w:r w:rsidRPr="00503941">
          <w:rPr>
            <w:sz w:val="18"/>
            <w:szCs w:val="18"/>
          </w:rPr>
          <w:instrText xml:space="preserve"> PAGE   \* MERGEFORMAT </w:instrText>
        </w:r>
        <w:r w:rsidRPr="00503941">
          <w:rPr>
            <w:sz w:val="18"/>
            <w:szCs w:val="18"/>
          </w:rPr>
          <w:fldChar w:fldCharType="separate"/>
        </w:r>
        <w:r w:rsidRPr="00503941">
          <w:rPr>
            <w:noProof/>
            <w:sz w:val="18"/>
            <w:szCs w:val="18"/>
          </w:rPr>
          <w:t>2</w:t>
        </w:r>
        <w:r w:rsidRPr="0050394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DF86" w14:textId="77777777" w:rsidR="003E239C" w:rsidRDefault="003E239C" w:rsidP="00002A97">
      <w:pPr>
        <w:spacing w:after="0" w:line="240" w:lineRule="auto"/>
      </w:pPr>
      <w:r>
        <w:separator/>
      </w:r>
    </w:p>
  </w:footnote>
  <w:footnote w:type="continuationSeparator" w:id="0">
    <w:p w14:paraId="280728C7" w14:textId="77777777" w:rsidR="003E239C" w:rsidRDefault="003E239C" w:rsidP="0000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193D410E" w:rsidR="00D70275" w:rsidRPr="00002A97" w:rsidRDefault="00D70275"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0"/>
    <w:bookmarkEnd w:id="1"/>
    <w:bookmarkEnd w:id="2"/>
    <w:bookmarkEnd w:id="3"/>
    <w:bookmarkEnd w:id="4"/>
    <w:bookmarkEnd w:id="5"/>
    <w:bookmarkEnd w:id="6"/>
    <w:bookmarkEnd w:id="7"/>
    <w:r w:rsidR="00CA45A5">
      <w:rPr>
        <w:rFonts w:eastAsia="Times New Roman" w:cs="Arial"/>
        <w:i/>
        <w:sz w:val="18"/>
        <w:szCs w:val="18"/>
        <w:lang w:val="fr-FR" w:eastAsia="es-ES"/>
      </w:rPr>
      <w:t>14.1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1471C03C" w:rsidR="000F4BDA" w:rsidRPr="00002A97" w:rsidRDefault="000F4BDA"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CA45A5">
      <w:rPr>
        <w:rFonts w:eastAsia="Times New Roman" w:cs="Arial"/>
        <w:i/>
        <w:sz w:val="18"/>
        <w:szCs w:val="18"/>
        <w:lang w:val="fr-FR" w:eastAsia="es-ES"/>
      </w:rPr>
      <w:t>14.1</w:t>
    </w:r>
  </w:p>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36D7" w14:textId="29E12492" w:rsidR="00702F6A" w:rsidRPr="00002A97" w:rsidRDefault="00702F6A" w:rsidP="00702F6A">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14.1/Anexo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67584"/>
    <w:multiLevelType w:val="hybridMultilevel"/>
    <w:tmpl w:val="3912BE68"/>
    <w:lvl w:ilvl="0" w:tplc="1C2C2128">
      <w:start w:val="1"/>
      <w:numFmt w:val="lowerLetter"/>
      <w:lvlText w:val="%1)"/>
      <w:lvlJc w:val="left"/>
      <w:pPr>
        <w:ind w:left="1211"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A192F"/>
    <w:multiLevelType w:val="hybridMultilevel"/>
    <w:tmpl w:val="67DE244A"/>
    <w:lvl w:ilvl="0" w:tplc="1C2C2128">
      <w:start w:val="1"/>
      <w:numFmt w:val="lowerLetter"/>
      <w:lvlText w:val="%1)"/>
      <w:lvlJc w:val="left"/>
      <w:pPr>
        <w:ind w:left="1211" w:hanging="360"/>
      </w:pPr>
      <w:rPr>
        <w:rFonts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7"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9DD1522"/>
    <w:multiLevelType w:val="hybridMultilevel"/>
    <w:tmpl w:val="1A2A008C"/>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B7F98"/>
    <w:multiLevelType w:val="hybridMultilevel"/>
    <w:tmpl w:val="7D4C3856"/>
    <w:lvl w:ilvl="0" w:tplc="1C2C2128">
      <w:start w:val="1"/>
      <w:numFmt w:val="lowerLetter"/>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7A722E96"/>
    <w:multiLevelType w:val="hybridMultilevel"/>
    <w:tmpl w:val="BC5A44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8"/>
  </w:num>
  <w:num w:numId="5" w16cid:durableId="37974177">
    <w:abstractNumId w:val="4"/>
  </w:num>
  <w:num w:numId="6" w16cid:durableId="1958830237">
    <w:abstractNumId w:val="9"/>
  </w:num>
  <w:num w:numId="7" w16cid:durableId="396439182">
    <w:abstractNumId w:val="11"/>
  </w:num>
  <w:num w:numId="8" w16cid:durableId="260603560">
    <w:abstractNumId w:val="7"/>
  </w:num>
  <w:num w:numId="9" w16cid:durableId="1356272424">
    <w:abstractNumId w:val="5"/>
  </w:num>
  <w:num w:numId="10" w16cid:durableId="630594039">
    <w:abstractNumId w:val="16"/>
  </w:num>
  <w:num w:numId="11" w16cid:durableId="2069759870">
    <w:abstractNumId w:val="10"/>
  </w:num>
  <w:num w:numId="12" w16cid:durableId="904724938">
    <w:abstractNumId w:val="12"/>
  </w:num>
  <w:num w:numId="13" w16cid:durableId="600068185">
    <w:abstractNumId w:val="15"/>
  </w:num>
  <w:num w:numId="14" w16cid:durableId="1064140725">
    <w:abstractNumId w:val="13"/>
  </w:num>
  <w:num w:numId="15" w16cid:durableId="1139611686">
    <w:abstractNumId w:val="6"/>
  </w:num>
  <w:num w:numId="16" w16cid:durableId="706492487">
    <w:abstractNumId w:val="3"/>
  </w:num>
  <w:num w:numId="17" w16cid:durableId="731539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D200B"/>
    <w:rsid w:val="000E192F"/>
    <w:rsid w:val="000F4BDA"/>
    <w:rsid w:val="00116CAA"/>
    <w:rsid w:val="00127CCF"/>
    <w:rsid w:val="0013230E"/>
    <w:rsid w:val="00192411"/>
    <w:rsid w:val="001E6CDF"/>
    <w:rsid w:val="0024152C"/>
    <w:rsid w:val="002A40B8"/>
    <w:rsid w:val="002A5ABE"/>
    <w:rsid w:val="002C33AF"/>
    <w:rsid w:val="002D5F2A"/>
    <w:rsid w:val="002F7EC2"/>
    <w:rsid w:val="003133A7"/>
    <w:rsid w:val="00323221"/>
    <w:rsid w:val="00323406"/>
    <w:rsid w:val="003E239C"/>
    <w:rsid w:val="00407B0F"/>
    <w:rsid w:val="00430A25"/>
    <w:rsid w:val="00457C8A"/>
    <w:rsid w:val="004A63B5"/>
    <w:rsid w:val="004C7808"/>
    <w:rsid w:val="00503941"/>
    <w:rsid w:val="005330F7"/>
    <w:rsid w:val="00563598"/>
    <w:rsid w:val="00591364"/>
    <w:rsid w:val="006C2EF5"/>
    <w:rsid w:val="006F22B0"/>
    <w:rsid w:val="00702F6A"/>
    <w:rsid w:val="00714C0A"/>
    <w:rsid w:val="00736E89"/>
    <w:rsid w:val="007412CD"/>
    <w:rsid w:val="00790422"/>
    <w:rsid w:val="007B53CC"/>
    <w:rsid w:val="007C212E"/>
    <w:rsid w:val="007E5A82"/>
    <w:rsid w:val="00800CB3"/>
    <w:rsid w:val="00810C64"/>
    <w:rsid w:val="00904CE4"/>
    <w:rsid w:val="009059D0"/>
    <w:rsid w:val="00943D15"/>
    <w:rsid w:val="00957410"/>
    <w:rsid w:val="00AC09AE"/>
    <w:rsid w:val="00B104EC"/>
    <w:rsid w:val="00B40E07"/>
    <w:rsid w:val="00B87FBC"/>
    <w:rsid w:val="00BC5707"/>
    <w:rsid w:val="00BF7838"/>
    <w:rsid w:val="00C41DAD"/>
    <w:rsid w:val="00C664E8"/>
    <w:rsid w:val="00CA45A5"/>
    <w:rsid w:val="00CB23AC"/>
    <w:rsid w:val="00D70275"/>
    <w:rsid w:val="00D84650"/>
    <w:rsid w:val="00E607BD"/>
    <w:rsid w:val="00E77A9F"/>
    <w:rsid w:val="00E81B4A"/>
    <w:rsid w:val="00EF1D13"/>
    <w:rsid w:val="00F1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spms-companion-volume-online-version" TargetMode="External"/><Relationship Id="rId18" Type="http://schemas.openxmlformats.org/officeDocument/2006/relationships/hyperlink" Target="https://www.cms.int/en/document/report-52nd-meeting-standing-committe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ms.int/en/document/assessment-implementation-strategic-plan-migratory-species-2015-2023-and-options-follow" TargetMode="External"/><Relationship Id="rId7" Type="http://schemas.openxmlformats.org/officeDocument/2006/relationships/settings" Target="settings.xml"/><Relationship Id="rId12" Type="http://schemas.openxmlformats.org/officeDocument/2006/relationships/hyperlink" Target="https://www.cms.int/en/document/strategic-plan-migratory-species-2015-2023-4" TargetMode="External"/><Relationship Id="rId17" Type="http://schemas.openxmlformats.org/officeDocument/2006/relationships/hyperlink" Target="https://www.cms.int/en/document/assessment-implementation-strategic-plan-migratory-species-2015-2023-and-options-follow"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int/en/document/assessment-implementation-strategic-plan-migratory-species-2015-2023-and-options-follow" TargetMode="External"/><Relationship Id="rId20" Type="http://schemas.openxmlformats.org/officeDocument/2006/relationships/hyperlink" Target="https://www.cms.int/en/document/assessment-implementation-strategic-plan-migratory-species-2015-202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ms.int/en/document/programme-work-intersessional-period-between-cop13-and-cop14" TargetMode="External"/><Relationship Id="rId23" Type="http://schemas.openxmlformats.org/officeDocument/2006/relationships/hyperlink" Target="https://www.cms.int/en/document/additional-information-support-consideration-options-follow-strategic-plan-migrator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ms.int/en/document/assessment-implementation-strategic-plan-migratory-species-2015-2023-and-options-follow"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page/decisions-131-133-progress-implementation-strategic-plan-migratory-species-2015-2023" TargetMode="External"/><Relationship Id="rId22" Type="http://schemas.openxmlformats.org/officeDocument/2006/relationships/hyperlink" Target="https://www.cms.int/en/document/options-follow-strategic-plan-migratory-species-2015-2023-1"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2.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4.xml><?xml version="1.0" encoding="utf-8"?>
<ds:datastoreItem xmlns:ds="http://schemas.openxmlformats.org/officeDocument/2006/customXml" ds:itemID="{80024243-A51A-4D7C-BF69-CC7B0477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21</cp:revision>
  <dcterms:created xsi:type="dcterms:W3CDTF">2023-05-17T14:28:00Z</dcterms:created>
  <dcterms:modified xsi:type="dcterms:W3CDTF">2023-10-13T09:45:00Z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