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E028" w14:textId="77777777" w:rsidR="00EC2A58" w:rsidRPr="00EC2A58" w:rsidRDefault="00EC2A58" w:rsidP="00BA33FE">
      <w:pPr>
        <w:widowControl w:val="0"/>
        <w:tabs>
          <w:tab w:val="left" w:pos="-1057"/>
          <w:tab w:val="left" w:pos="-720"/>
        </w:tabs>
        <w:suppressAutoHyphens/>
        <w:autoSpaceDE w:val="0"/>
        <w:autoSpaceDN w:val="0"/>
        <w:textAlignment w:val="baseline"/>
        <w:rPr>
          <w:rFonts w:eastAsia="Times New Roman" w:cs="Arial"/>
          <w:spacing w:val="-8"/>
          <w:sz w:val="12"/>
          <w:szCs w:val="12"/>
          <w:lang w:val="fr-FR"/>
        </w:rPr>
      </w:pPr>
    </w:p>
    <w:tbl>
      <w:tblPr>
        <w:tblW w:w="9648" w:type="dxa"/>
        <w:tblLayout w:type="fixed"/>
        <w:tblCellMar>
          <w:left w:w="10" w:type="dxa"/>
          <w:right w:w="10" w:type="dxa"/>
        </w:tblCellMar>
        <w:tblLook w:val="0000" w:firstRow="0" w:lastRow="0" w:firstColumn="0" w:lastColumn="0" w:noHBand="0" w:noVBand="0"/>
      </w:tblPr>
      <w:tblGrid>
        <w:gridCol w:w="1526"/>
        <w:gridCol w:w="4414"/>
        <w:gridCol w:w="3708"/>
      </w:tblGrid>
      <w:tr w:rsidR="00EC2A58" w:rsidRPr="00EC2A58" w14:paraId="20A3DAA5" w14:textId="77777777" w:rsidTr="008E0BFE">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72ED64D6" w14:textId="77777777" w:rsidR="00EC2A58" w:rsidRPr="00EC2A58" w:rsidRDefault="00EC2A58" w:rsidP="00EC2A58">
            <w:pPr>
              <w:widowControl w:val="0"/>
              <w:suppressAutoHyphens/>
              <w:autoSpaceDE w:val="0"/>
              <w:autoSpaceDN w:val="0"/>
              <w:textAlignment w:val="baseline"/>
              <w:rPr>
                <w:rFonts w:ascii="Calibri" w:eastAsia="Calibri" w:hAnsi="Calibri" w:cs="Times New Roman"/>
              </w:rPr>
            </w:pPr>
            <w:r w:rsidRPr="00EC2A58">
              <w:rPr>
                <w:rFonts w:eastAsia="Times New Roman" w:cs="Arial"/>
                <w:noProof/>
              </w:rPr>
              <w:drawing>
                <wp:inline distT="0" distB="0" distL="0" distR="0" wp14:anchorId="3D89D23E" wp14:editId="6B53593B">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p w14:paraId="1842698B" w14:textId="77777777" w:rsidR="00EC2A58" w:rsidRPr="00EC2A58" w:rsidRDefault="00EC2A58" w:rsidP="00EC2A58">
            <w:pPr>
              <w:widowControl w:val="0"/>
              <w:suppressAutoHyphens/>
              <w:autoSpaceDE w:val="0"/>
              <w:autoSpaceDN w:val="0"/>
              <w:textAlignment w:val="baseline"/>
              <w:rPr>
                <w:rFonts w:eastAsia="Times New Roman" w:cs="Arial"/>
                <w:lang w:val="fr-FR"/>
              </w:rPr>
            </w:pPr>
          </w:p>
        </w:tc>
        <w:tc>
          <w:tcPr>
            <w:tcW w:w="4414" w:type="dxa"/>
            <w:tcBorders>
              <w:top w:val="single" w:sz="12" w:space="0" w:color="000000"/>
              <w:bottom w:val="single" w:sz="12" w:space="0" w:color="000000"/>
            </w:tcBorders>
            <w:shd w:val="clear" w:color="auto" w:fill="auto"/>
            <w:tcMar>
              <w:top w:w="85" w:type="dxa"/>
              <w:left w:w="108" w:type="dxa"/>
              <w:bottom w:w="0" w:type="dxa"/>
              <w:right w:w="108" w:type="dxa"/>
            </w:tcMar>
          </w:tcPr>
          <w:p w14:paraId="46D7C074" w14:textId="77777777" w:rsidR="00EC2A58" w:rsidRPr="00EC2A58" w:rsidRDefault="00EC2A58" w:rsidP="00EC2A58">
            <w:pPr>
              <w:keepNext/>
              <w:widowControl w:val="0"/>
              <w:suppressAutoHyphens/>
              <w:autoSpaceDE w:val="0"/>
              <w:autoSpaceDN w:val="0"/>
              <w:ind w:left="-108"/>
              <w:textAlignment w:val="baseline"/>
              <w:outlineLvl w:val="1"/>
              <w:rPr>
                <w:rFonts w:eastAsia="Times New Roman" w:cs="Arial"/>
                <w:sz w:val="12"/>
                <w:szCs w:val="12"/>
                <w:lang w:val="fr-FR"/>
              </w:rPr>
            </w:pPr>
          </w:p>
          <w:p w14:paraId="5DFEFC81"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CONVENTION SUR</w:t>
            </w:r>
          </w:p>
          <w:p w14:paraId="1A29BCF4"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LES ESPÈCES</w:t>
            </w:r>
          </w:p>
          <w:p w14:paraId="4E42992F"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MIGRATRICES</w:t>
            </w:r>
          </w:p>
        </w:tc>
        <w:tc>
          <w:tcPr>
            <w:tcW w:w="3708" w:type="dxa"/>
            <w:tcBorders>
              <w:top w:val="single" w:sz="12" w:space="0" w:color="000000"/>
              <w:bottom w:val="single" w:sz="12" w:space="0" w:color="000000"/>
            </w:tcBorders>
            <w:shd w:val="clear" w:color="auto" w:fill="auto"/>
            <w:tcMar>
              <w:top w:w="85" w:type="dxa"/>
              <w:left w:w="108" w:type="dxa"/>
              <w:bottom w:w="0" w:type="dxa"/>
              <w:right w:w="108" w:type="dxa"/>
            </w:tcMar>
          </w:tcPr>
          <w:p w14:paraId="2827E733" w14:textId="503A735F" w:rsidR="00EC2A58" w:rsidRPr="00AD2748" w:rsidRDefault="00EC2A58" w:rsidP="00BB2C3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eastAsia="Arial" w:cs="Arial"/>
                <w:lang w:val="fr-FR"/>
              </w:rPr>
            </w:pPr>
            <w:r w:rsidRPr="00EC2A58">
              <w:rPr>
                <w:rFonts w:eastAsia="Arial" w:cs="Arial"/>
                <w:lang w:val="fr-FR"/>
              </w:rPr>
              <w:t>UNEP/CMS/COP1</w:t>
            </w:r>
            <w:r w:rsidR="00BA33FE">
              <w:rPr>
                <w:rFonts w:eastAsia="Arial" w:cs="Arial"/>
                <w:lang w:val="fr-FR"/>
              </w:rPr>
              <w:t>4</w:t>
            </w:r>
            <w:r w:rsidRPr="00EC2A58">
              <w:rPr>
                <w:rFonts w:eastAsia="Arial" w:cs="Arial"/>
                <w:lang w:val="fr-FR"/>
              </w:rPr>
              <w:t>/Doc.</w:t>
            </w:r>
            <w:r w:rsidR="000C013C">
              <w:rPr>
                <w:rFonts w:eastAsia="Arial" w:cs="Arial"/>
                <w:lang w:val="fr-FR"/>
              </w:rPr>
              <w:t>20</w:t>
            </w:r>
          </w:p>
          <w:p w14:paraId="51739494" w14:textId="5C8F172E" w:rsidR="00EC2A58" w:rsidRPr="00AD2748" w:rsidRDefault="000C013C" w:rsidP="00BB2C3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eastAsia="Arial" w:cs="Arial"/>
                <w:lang w:val="fr-FR"/>
              </w:rPr>
            </w:pPr>
            <w:r>
              <w:rPr>
                <w:rFonts w:eastAsia="Arial" w:cs="Arial"/>
                <w:lang w:val="fr-FR"/>
              </w:rPr>
              <w:t xml:space="preserve">7 </w:t>
            </w:r>
            <w:r w:rsidR="00047C7D">
              <w:rPr>
                <w:rFonts w:eastAsia="Arial" w:cs="Arial"/>
                <w:lang w:val="fr-FR"/>
              </w:rPr>
              <w:t>juillet</w:t>
            </w:r>
            <w:r w:rsidR="00EC2A58" w:rsidRPr="00AD2748">
              <w:rPr>
                <w:rFonts w:eastAsia="Arial" w:cs="Arial"/>
                <w:lang w:val="fr-FR"/>
              </w:rPr>
              <w:t xml:space="preserve"> 20</w:t>
            </w:r>
            <w:r w:rsidR="00BA33FE" w:rsidRPr="00AD2748">
              <w:rPr>
                <w:rFonts w:eastAsia="Arial" w:cs="Arial"/>
                <w:lang w:val="fr-FR"/>
              </w:rPr>
              <w:t>23</w:t>
            </w:r>
          </w:p>
          <w:p w14:paraId="5A17DC3D" w14:textId="77777777" w:rsidR="00EC2A58" w:rsidRPr="00EC2A58" w:rsidRDefault="00EC2A58" w:rsidP="00EC2A58">
            <w:pPr>
              <w:widowControl w:val="0"/>
              <w:suppressAutoHyphens/>
              <w:autoSpaceDE w:val="0"/>
              <w:autoSpaceDN w:val="0"/>
              <w:textAlignment w:val="baseline"/>
              <w:rPr>
                <w:rFonts w:ascii="Calibri" w:eastAsia="Calibri" w:hAnsi="Calibri" w:cs="Times New Roman"/>
              </w:rPr>
            </w:pPr>
            <w:r w:rsidRPr="00EC2A58">
              <w:rPr>
                <w:rFonts w:eastAsia="Arial" w:cs="Arial"/>
                <w:lang w:val="fr-FR"/>
              </w:rPr>
              <w:t>Français</w:t>
            </w:r>
          </w:p>
          <w:p w14:paraId="3489AC4D" w14:textId="31404BD7" w:rsidR="00EC2A58" w:rsidRPr="00BB2C32" w:rsidRDefault="00EC2A58" w:rsidP="00BB2C32">
            <w:pPr>
              <w:widowControl w:val="0"/>
              <w:suppressAutoHyphens/>
              <w:autoSpaceDE w:val="0"/>
              <w:autoSpaceDN w:val="0"/>
              <w:spacing w:after="120"/>
              <w:textAlignment w:val="baseline"/>
              <w:rPr>
                <w:rFonts w:ascii="Calibri" w:eastAsia="Calibri" w:hAnsi="Calibri" w:cs="Times New Roman"/>
              </w:rPr>
            </w:pPr>
            <w:r w:rsidRPr="00EC2A58">
              <w:rPr>
                <w:rFonts w:eastAsia="Arial" w:cs="Arial"/>
                <w:lang w:val="fr-FR"/>
              </w:rPr>
              <w:t>Original : Anglais</w:t>
            </w:r>
          </w:p>
        </w:tc>
      </w:tr>
    </w:tbl>
    <w:p w14:paraId="4907A928" w14:textId="77777777" w:rsidR="00EC2A58" w:rsidRPr="00EC2A58" w:rsidRDefault="00EC2A58" w:rsidP="00EC2A58">
      <w:pPr>
        <w:widowControl w:val="0"/>
        <w:tabs>
          <w:tab w:val="left" w:pos="-1057"/>
          <w:tab w:val="left" w:pos="-720"/>
        </w:tabs>
        <w:suppressAutoHyphens/>
        <w:autoSpaceDE w:val="0"/>
        <w:autoSpaceDN w:val="0"/>
        <w:textAlignment w:val="baseline"/>
        <w:rPr>
          <w:rFonts w:eastAsia="Arial" w:cs="Arial"/>
          <w:sz w:val="8"/>
          <w:szCs w:val="8"/>
          <w:lang w:val="fr-FR"/>
        </w:rPr>
      </w:pPr>
    </w:p>
    <w:p w14:paraId="45F14CBB" w14:textId="4FEDA02B" w:rsidR="00EC2A58" w:rsidRPr="00EC2A58" w:rsidRDefault="00EC2A58" w:rsidP="00EC2A58">
      <w:pPr>
        <w:widowControl w:val="0"/>
        <w:tabs>
          <w:tab w:val="left" w:pos="-1057"/>
          <w:tab w:val="left" w:pos="-720"/>
        </w:tabs>
        <w:suppressAutoHyphens/>
        <w:autoSpaceDE w:val="0"/>
        <w:autoSpaceDN w:val="0"/>
        <w:textAlignment w:val="baseline"/>
        <w:rPr>
          <w:rFonts w:ascii="Calibri" w:eastAsia="Calibri" w:hAnsi="Calibri" w:cs="Times New Roman"/>
          <w:lang w:val="fr-FR"/>
        </w:rPr>
      </w:pPr>
      <w:r w:rsidRPr="00EC2A58">
        <w:rPr>
          <w:rFonts w:eastAsia="Arial" w:cs="Arial"/>
          <w:lang w:val="fr-FR"/>
        </w:rPr>
        <w:t>1</w:t>
      </w:r>
      <w:r w:rsidR="00BA33FE">
        <w:rPr>
          <w:rFonts w:eastAsia="Arial" w:cs="Arial"/>
          <w:lang w:val="fr-FR"/>
        </w:rPr>
        <w:t>4</w:t>
      </w:r>
      <w:r w:rsidRPr="00EC2A58">
        <w:rPr>
          <w:rFonts w:eastAsia="Arial" w:cs="Arial"/>
          <w:vertAlign w:val="superscript"/>
          <w:lang w:val="fr-FR"/>
        </w:rPr>
        <w:t>ème</w:t>
      </w:r>
      <w:r w:rsidRPr="00EC2A58">
        <w:rPr>
          <w:rFonts w:eastAsia="Arial" w:cs="Arial"/>
          <w:lang w:val="fr-FR"/>
        </w:rPr>
        <w:t xml:space="preserve"> SESSION DE LA CONFÉRENCE DES PARTIES</w:t>
      </w:r>
    </w:p>
    <w:p w14:paraId="55197CAC" w14:textId="48E9CCFB" w:rsidR="00EC2A58" w:rsidRPr="00EC2A58" w:rsidRDefault="00BA33FE" w:rsidP="00EC2A58">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line="228" w:lineRule="auto"/>
        <w:textAlignment w:val="baseline"/>
        <w:outlineLvl w:val="1"/>
        <w:rPr>
          <w:rFonts w:ascii="Calibri" w:eastAsia="Calibri" w:hAnsi="Calibri" w:cs="Times New Roman"/>
          <w:lang w:val="fr-FR"/>
        </w:rPr>
      </w:pPr>
      <w:r>
        <w:rPr>
          <w:rFonts w:eastAsia="Arial" w:cs="Arial"/>
          <w:bCs/>
          <w:lang w:val="fr-FR"/>
        </w:rPr>
        <w:t xml:space="preserve">Samarcande, Ouzbékistan, </w:t>
      </w:r>
      <w:r w:rsidR="00B459FD">
        <w:rPr>
          <w:rFonts w:eastAsia="Arial" w:cs="Arial"/>
          <w:bCs/>
          <w:lang w:val="fr-FR"/>
        </w:rPr>
        <w:t>12 – 17 février 2024</w:t>
      </w:r>
    </w:p>
    <w:p w14:paraId="4DD0AB0D" w14:textId="5C901DD9" w:rsidR="00EC2A58" w:rsidRPr="00EC2A58" w:rsidRDefault="00EC2A58" w:rsidP="00EC2A58">
      <w:pPr>
        <w:widowControl w:val="0"/>
        <w:suppressAutoHyphens/>
        <w:autoSpaceDE w:val="0"/>
        <w:autoSpaceDN w:val="0"/>
        <w:spacing w:line="228" w:lineRule="auto"/>
        <w:textAlignment w:val="baseline"/>
        <w:rPr>
          <w:rFonts w:ascii="Calibri" w:eastAsia="Calibri" w:hAnsi="Calibri" w:cs="Times New Roman"/>
          <w:lang w:val="fr-FR"/>
        </w:rPr>
      </w:pPr>
      <w:r w:rsidRPr="00EC2A58">
        <w:rPr>
          <w:rFonts w:eastAsia="Arial" w:cs="Arial"/>
          <w:iCs/>
          <w:lang w:val="fr-FR"/>
        </w:rPr>
        <w:t xml:space="preserve">Point </w:t>
      </w:r>
      <w:r w:rsidR="000C013C">
        <w:rPr>
          <w:rFonts w:eastAsia="Arial" w:cs="Arial"/>
          <w:iCs/>
          <w:lang w:val="fr-FR"/>
        </w:rPr>
        <w:t>20</w:t>
      </w:r>
      <w:r w:rsidRPr="00EC2A58">
        <w:rPr>
          <w:rFonts w:eastAsia="Arial" w:cs="Arial"/>
          <w:iCs/>
          <w:lang w:val="fr-FR"/>
        </w:rPr>
        <w:t xml:space="preserve"> de l’ordre du jour</w:t>
      </w:r>
    </w:p>
    <w:p w14:paraId="593EE006" w14:textId="77777777" w:rsidR="00EC2A58" w:rsidRPr="00EC2A58" w:rsidRDefault="00EC2A58" w:rsidP="00EC2A58">
      <w:pPr>
        <w:widowControl w:val="0"/>
        <w:tabs>
          <w:tab w:val="left" w:pos="7020"/>
        </w:tabs>
        <w:suppressAutoHyphens/>
        <w:autoSpaceDE w:val="0"/>
        <w:autoSpaceDN w:val="0"/>
        <w:textAlignment w:val="baseline"/>
        <w:rPr>
          <w:rFonts w:eastAsia="Times New Roman" w:cs="Arial"/>
          <w:lang w:val="fr-FR"/>
        </w:rPr>
      </w:pPr>
    </w:p>
    <w:p w14:paraId="5C2518E6" w14:textId="77777777" w:rsidR="00EC2A58" w:rsidRPr="00EC2A58" w:rsidRDefault="00EC2A58" w:rsidP="00EC2A58">
      <w:pPr>
        <w:widowControl w:val="0"/>
        <w:tabs>
          <w:tab w:val="left" w:pos="7020"/>
        </w:tabs>
        <w:suppressAutoHyphens/>
        <w:autoSpaceDE w:val="0"/>
        <w:autoSpaceDN w:val="0"/>
        <w:textAlignment w:val="baseline"/>
        <w:rPr>
          <w:rFonts w:eastAsia="Times New Roman" w:cs="Arial"/>
          <w:lang w:val="fr-FR"/>
        </w:rPr>
      </w:pPr>
    </w:p>
    <w:p w14:paraId="6E76ABD1" w14:textId="77777777" w:rsidR="00047C7D" w:rsidRPr="00081045" w:rsidRDefault="00047C7D" w:rsidP="00047C7D">
      <w:pPr>
        <w:widowControl w:val="0"/>
        <w:suppressAutoHyphens/>
        <w:autoSpaceDE w:val="0"/>
        <w:autoSpaceDN w:val="0"/>
        <w:spacing w:after="120"/>
        <w:jc w:val="center"/>
        <w:textAlignment w:val="baseline"/>
        <w:rPr>
          <w:rFonts w:eastAsia="Times New Roman" w:cs="Arial"/>
          <w:b/>
          <w:bCs/>
          <w:lang w:val="fr-FR"/>
        </w:rPr>
      </w:pPr>
      <w:r>
        <w:rPr>
          <w:rFonts w:eastAsia="Times New Roman" w:cs="Arial"/>
          <w:b/>
          <w:bCs/>
          <w:lang w:val="fr-FR"/>
        </w:rPr>
        <w:t>ATLAS SUR LA MIGRATION DES ANIMAUX</w:t>
      </w:r>
    </w:p>
    <w:p w14:paraId="59AA60B8" w14:textId="77777777" w:rsidR="00047C7D" w:rsidRPr="009B3CF3" w:rsidRDefault="00047C7D" w:rsidP="00047C7D">
      <w:pPr>
        <w:widowControl w:val="0"/>
        <w:suppressAutoHyphens/>
        <w:autoSpaceDE w:val="0"/>
        <w:autoSpaceDN w:val="0"/>
        <w:jc w:val="center"/>
        <w:textAlignment w:val="baseline"/>
        <w:rPr>
          <w:rFonts w:ascii="Calibri" w:eastAsia="Calibri" w:hAnsi="Calibri" w:cs="Times New Roman"/>
          <w:lang w:val="fr-FR"/>
        </w:rPr>
      </w:pPr>
      <w:r>
        <w:rPr>
          <w:rFonts w:eastAsia="Times New Roman" w:cs="Arial"/>
          <w:i/>
          <w:lang w:val="fr-FR"/>
        </w:rPr>
        <w:t>(Préparé par le Secrétariat)</w:t>
      </w:r>
    </w:p>
    <w:p w14:paraId="784D5885" w14:textId="77777777" w:rsidR="00047C7D" w:rsidRPr="008C3A4A" w:rsidRDefault="00047C7D" w:rsidP="00047C7D">
      <w:pPr>
        <w:widowControl w:val="0"/>
        <w:tabs>
          <w:tab w:val="left" w:pos="8295"/>
        </w:tabs>
        <w:suppressAutoHyphens/>
        <w:autoSpaceDE w:val="0"/>
        <w:autoSpaceDN w:val="0"/>
        <w:jc w:val="both"/>
        <w:textAlignment w:val="baseline"/>
        <w:rPr>
          <w:rFonts w:eastAsia="Times New Roman" w:cs="Arial"/>
          <w:sz w:val="21"/>
          <w:szCs w:val="21"/>
          <w:lang w:val="fr-FR"/>
        </w:rPr>
      </w:pPr>
    </w:p>
    <w:p w14:paraId="4FF589BA" w14:textId="77777777" w:rsidR="00EC2A58" w:rsidRPr="00EC2A58" w:rsidRDefault="00EC2A58" w:rsidP="00EC2A58">
      <w:pPr>
        <w:widowControl w:val="0"/>
        <w:suppressAutoHyphens/>
        <w:autoSpaceDE w:val="0"/>
        <w:autoSpaceDN w:val="0"/>
        <w:jc w:val="both"/>
        <w:textAlignment w:val="baseline"/>
        <w:rPr>
          <w:rFonts w:eastAsia="Times New Roman" w:cs="Arial"/>
          <w:lang w:val="fr-FR"/>
        </w:rPr>
      </w:pPr>
    </w:p>
    <w:p w14:paraId="19B17186" w14:textId="77777777" w:rsidR="00EC2A58" w:rsidRPr="00EC2A58" w:rsidRDefault="00EC2A58" w:rsidP="00EC2A58">
      <w:pPr>
        <w:widowControl w:val="0"/>
        <w:tabs>
          <w:tab w:val="left" w:pos="8295"/>
        </w:tabs>
        <w:suppressAutoHyphens/>
        <w:autoSpaceDE w:val="0"/>
        <w:autoSpaceDN w:val="0"/>
        <w:jc w:val="both"/>
        <w:textAlignment w:val="baseline"/>
        <w:rPr>
          <w:rFonts w:eastAsia="Times New Roman" w:cs="Arial"/>
          <w:lang w:val="fr-FR"/>
        </w:rPr>
      </w:pPr>
    </w:p>
    <w:p w14:paraId="475CEA0F" w14:textId="77777777" w:rsidR="00EC2A58" w:rsidRPr="00EC2A58" w:rsidRDefault="00EC2A58" w:rsidP="00EC2A58">
      <w:pPr>
        <w:widowControl w:val="0"/>
        <w:suppressAutoHyphens/>
        <w:autoSpaceDE w:val="0"/>
        <w:autoSpaceDN w:val="0"/>
        <w:textAlignment w:val="baseline"/>
        <w:rPr>
          <w:rFonts w:ascii="Calibri" w:eastAsia="Calibri" w:hAnsi="Calibri" w:cs="Times New Roman"/>
          <w:lang w:val="fr-FR"/>
        </w:rPr>
      </w:pPr>
      <w:r w:rsidRPr="00EC2A58">
        <w:rPr>
          <w:rFonts w:eastAsia="Times New Roman" w:cs="Arial"/>
          <w:noProof/>
        </w:rPr>
        <mc:AlternateContent>
          <mc:Choice Requires="wps">
            <w:drawing>
              <wp:anchor distT="0" distB="0" distL="114300" distR="114300" simplePos="0" relativeHeight="251659264" behindDoc="0" locked="0" layoutInCell="1" allowOverlap="1" wp14:anchorId="77931BEC" wp14:editId="61A337BA">
                <wp:simplePos x="0" y="0"/>
                <wp:positionH relativeFrom="column">
                  <wp:posOffset>780412</wp:posOffset>
                </wp:positionH>
                <wp:positionV relativeFrom="paragraph">
                  <wp:posOffset>145417</wp:posOffset>
                </wp:positionV>
                <wp:extent cx="4304666" cy="1952628"/>
                <wp:effectExtent l="0" t="0" r="19684" b="28572"/>
                <wp:wrapNone/>
                <wp:docPr id="5" name="Text Box 4"/>
                <wp:cNvGraphicFramePr/>
                <a:graphic xmlns:a="http://schemas.openxmlformats.org/drawingml/2006/main">
                  <a:graphicData uri="http://schemas.microsoft.com/office/word/2010/wordprocessingShape">
                    <wps:wsp>
                      <wps:cNvSpPr txBox="1"/>
                      <wps:spPr>
                        <a:xfrm>
                          <a:off x="0" y="0"/>
                          <a:ext cx="4304666" cy="1952628"/>
                        </a:xfrm>
                        <a:prstGeom prst="rect">
                          <a:avLst/>
                        </a:prstGeom>
                        <a:solidFill>
                          <a:srgbClr val="FFFFFF"/>
                        </a:solidFill>
                        <a:ln w="3172">
                          <a:solidFill>
                            <a:srgbClr val="000000"/>
                          </a:solidFill>
                          <a:prstDash val="solid"/>
                        </a:ln>
                      </wps:spPr>
                      <wps:txbx>
                        <w:txbxContent>
                          <w:p w14:paraId="1663EA6C" w14:textId="77777777" w:rsidR="00EC2A58" w:rsidRPr="00047C7D" w:rsidRDefault="00EC2A58" w:rsidP="00EC2A58">
                            <w:pPr>
                              <w:rPr>
                                <w:lang w:val="fr-FR"/>
                              </w:rPr>
                            </w:pPr>
                            <w:r>
                              <w:rPr>
                                <w:rFonts w:eastAsia="Arial" w:cs="Arial"/>
                                <w:lang w:val="fr-FR"/>
                              </w:rPr>
                              <w:t>Résumé:</w:t>
                            </w:r>
                          </w:p>
                          <w:p w14:paraId="1224F1D3" w14:textId="77777777" w:rsidR="00EC2A58" w:rsidRDefault="00EC2A58" w:rsidP="00EC2A58">
                            <w:pPr>
                              <w:rPr>
                                <w:rFonts w:cs="Arial"/>
                                <w:lang w:val="fr-FR"/>
                              </w:rPr>
                            </w:pPr>
                          </w:p>
                          <w:p w14:paraId="05F817E0" w14:textId="77777777" w:rsidR="00047C7D" w:rsidRDefault="00047C7D" w:rsidP="00047C7D">
                            <w:pPr>
                              <w:pStyle w:val="BodyText2"/>
                              <w:rPr>
                                <w:lang w:val="fr-FR"/>
                              </w:rPr>
                            </w:pPr>
                            <w:r>
                              <w:rPr>
                                <w:lang w:val="fr-FR"/>
                              </w:rPr>
                              <w:t>Le présent document résume le processus d'élaboration d'un atlas sur la migration des animaux, activité prévue dans le Programme de travail 2020-2023 de la CMS.</w:t>
                            </w:r>
                          </w:p>
                          <w:p w14:paraId="19B89297" w14:textId="77777777" w:rsidR="00047C7D" w:rsidRDefault="00047C7D" w:rsidP="00047C7D">
                            <w:pPr>
                              <w:rPr>
                                <w:rFonts w:cs="Arial"/>
                                <w:lang w:val="fr-FR"/>
                              </w:rPr>
                            </w:pPr>
                          </w:p>
                          <w:p w14:paraId="58DC76C2" w14:textId="74D386C9" w:rsidR="00047C7D" w:rsidRDefault="00047C7D" w:rsidP="00047C7D">
                            <w:pPr>
                              <w:pStyle w:val="BodyText2"/>
                              <w:rPr>
                                <w:lang w:val="fr-FR"/>
                              </w:rPr>
                            </w:pPr>
                            <w:r>
                              <w:rPr>
                                <w:lang w:val="fr-FR"/>
                              </w:rPr>
                              <w:t>Il est recommandé à la Conférence des Parties de prendre note des progrès réalisés dans l'élaboration de l'atlas et d'adopter le projet de décision</w:t>
                            </w:r>
                            <w:r w:rsidR="002B6CE2">
                              <w:rPr>
                                <w:lang w:val="fr-FR"/>
                              </w:rPr>
                              <w:t>s</w:t>
                            </w:r>
                            <w:r>
                              <w:rPr>
                                <w:lang w:val="fr-FR"/>
                              </w:rPr>
                              <w:t xml:space="preserve">.  </w:t>
                            </w:r>
                          </w:p>
                          <w:p w14:paraId="632D4326" w14:textId="77777777" w:rsidR="00233921" w:rsidRDefault="00233921" w:rsidP="00EC2A58">
                            <w:pPr>
                              <w:rPr>
                                <w:rFonts w:cs="Arial"/>
                                <w:lang w:val="fr-FR"/>
                              </w:rPr>
                            </w:pPr>
                          </w:p>
                        </w:txbxContent>
                      </wps:txbx>
                      <wps:bodyPr vert="horz" wrap="square" lIns="91440" tIns="45720" rIns="91440" bIns="45720" anchor="t" anchorCtr="0" compatLnSpc="0">
                        <a:noAutofit/>
                      </wps:bodyPr>
                    </wps:wsp>
                  </a:graphicData>
                </a:graphic>
              </wp:anchor>
            </w:drawing>
          </mc:Choice>
          <mc:Fallback>
            <w:pict>
              <v:shapetype w14:anchorId="77931BEC" id="_x0000_t202" coordsize="21600,21600" o:spt="202" path="m,l,21600r21600,l21600,xe">
                <v:stroke joinstyle="miter"/>
                <v:path gradientshapeok="t" o:connecttype="rect"/>
              </v:shapetype>
              <v:shape id="Text Box 4" o:spid="_x0000_s1026" type="#_x0000_t202" style="position:absolute;margin-left:61.45pt;margin-top:11.45pt;width:338.95pt;height:15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" strokeweight=".08811mm">
                <v:textbox>
                  <w:txbxContent>
                    <w:p w14:paraId="1663EA6C" w14:textId="77777777" w:rsidR="00EC2A58" w:rsidRPr="00047C7D" w:rsidRDefault="00EC2A58" w:rsidP="00EC2A58">
                      <w:pPr>
                        <w:rPr>
                          <w:lang w:val="fr-FR"/>
                        </w:rPr>
                      </w:pPr>
                      <w:r>
                        <w:rPr>
                          <w:rFonts w:eastAsia="Arial" w:cs="Arial"/>
                          <w:lang w:val="fr-FR"/>
                        </w:rPr>
                        <w:t>Résumé:</w:t>
                      </w:r>
                    </w:p>
                    <w:p w14:paraId="1224F1D3" w14:textId="77777777" w:rsidR="00EC2A58" w:rsidRDefault="00EC2A58" w:rsidP="00EC2A58">
                      <w:pPr>
                        <w:rPr>
                          <w:rFonts w:cs="Arial"/>
                          <w:lang w:val="fr-FR"/>
                        </w:rPr>
                      </w:pPr>
                    </w:p>
                    <w:p w14:paraId="05F817E0" w14:textId="77777777" w:rsidR="00047C7D" w:rsidRDefault="00047C7D" w:rsidP="00047C7D">
                      <w:pPr>
                        <w:pStyle w:val="BodyText2"/>
                        <w:rPr>
                          <w:lang w:val="fr-FR"/>
                        </w:rPr>
                      </w:pPr>
                      <w:r>
                        <w:rPr>
                          <w:lang w:val="fr-FR"/>
                        </w:rPr>
                        <w:t>Le présent document résume le processus d'élaboration d'un atlas sur la migration des animaux, activité prévue dans le Programme de travail 2020-2023 de la CMS.</w:t>
                      </w:r>
                    </w:p>
                    <w:p w14:paraId="19B89297" w14:textId="77777777" w:rsidR="00047C7D" w:rsidRDefault="00047C7D" w:rsidP="00047C7D">
                      <w:pPr>
                        <w:rPr>
                          <w:rFonts w:cs="Arial"/>
                          <w:lang w:val="fr-FR"/>
                        </w:rPr>
                      </w:pPr>
                    </w:p>
                    <w:p w14:paraId="58DC76C2" w14:textId="74D386C9" w:rsidR="00047C7D" w:rsidRDefault="00047C7D" w:rsidP="00047C7D">
                      <w:pPr>
                        <w:pStyle w:val="BodyText2"/>
                        <w:rPr>
                          <w:lang w:val="fr-FR"/>
                        </w:rPr>
                      </w:pPr>
                      <w:r>
                        <w:rPr>
                          <w:lang w:val="fr-FR"/>
                        </w:rPr>
                        <w:t>Il est recommandé à la Conférence des Parties de prendre note des progrès réalisés dans l'élaboration de l'atlas et d'adopter le projet de décision</w:t>
                      </w:r>
                      <w:r w:rsidR="002B6CE2">
                        <w:rPr>
                          <w:lang w:val="fr-FR"/>
                        </w:rPr>
                        <w:t>s</w:t>
                      </w:r>
                      <w:r>
                        <w:rPr>
                          <w:lang w:val="fr-FR"/>
                        </w:rPr>
                        <w:t xml:space="preserve">.  </w:t>
                      </w:r>
                    </w:p>
                    <w:p w14:paraId="632D4326" w14:textId="77777777" w:rsidR="00233921" w:rsidRDefault="00233921" w:rsidP="00EC2A58">
                      <w:pPr>
                        <w:rPr>
                          <w:rFonts w:cs="Arial"/>
                          <w:lang w:val="fr-FR"/>
                        </w:rPr>
                      </w:pPr>
                    </w:p>
                  </w:txbxContent>
                </v:textbox>
              </v:shape>
            </w:pict>
          </mc:Fallback>
        </mc:AlternateContent>
      </w:r>
    </w:p>
    <w:p w14:paraId="528C2D1F"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6ABD8C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9A80DF3"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F2C244D"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B7995F0"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5279C452"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46D571B"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11B36E12"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B92520D"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7628854"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A14BC8F"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58927CB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6C725E4"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1055227"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42D7017"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3E321EF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3DA9FD5" w14:textId="77777777" w:rsidR="005330F7" w:rsidRPr="00EC2A58" w:rsidRDefault="005330F7" w:rsidP="00EC2A58">
      <w:pPr>
        <w:rPr>
          <w:lang w:val="fr-FR"/>
        </w:rPr>
      </w:pPr>
    </w:p>
    <w:p w14:paraId="15326767" w14:textId="77777777" w:rsidR="00EC2A58" w:rsidRPr="00EC2A58" w:rsidRDefault="00EC2A58" w:rsidP="00EC2A58">
      <w:pPr>
        <w:rPr>
          <w:lang w:val="fr-FR"/>
        </w:rPr>
      </w:pPr>
    </w:p>
    <w:p w14:paraId="235A9F02" w14:textId="77777777" w:rsidR="0023109C" w:rsidRDefault="0023109C" w:rsidP="00EC2A58">
      <w:pPr>
        <w:rPr>
          <w:lang w:val="fr-FR"/>
        </w:rPr>
        <w:sectPr w:rsidR="0023109C" w:rsidSect="003C3870">
          <w:headerReference w:type="even" r:id="rId12"/>
          <w:headerReference w:type="default" r:id="rId13"/>
          <w:footerReference w:type="even" r:id="rId14"/>
          <w:footerReference w:type="default" r:id="rId15"/>
          <w:headerReference w:type="first" r:id="rId16"/>
          <w:pgSz w:w="11906" w:h="16838" w:code="9"/>
          <w:pgMar w:top="1440" w:right="1440" w:bottom="1440" w:left="1440" w:header="567" w:footer="720" w:gutter="0"/>
          <w:cols w:space="720"/>
          <w:titlePg/>
          <w:docGrid w:linePitch="360"/>
        </w:sectPr>
      </w:pPr>
    </w:p>
    <w:p w14:paraId="14741AF4" w14:textId="77777777" w:rsidR="002B6CE2" w:rsidRPr="00081045" w:rsidRDefault="002B6CE2" w:rsidP="002B6CE2">
      <w:pPr>
        <w:widowControl w:val="0"/>
        <w:suppressAutoHyphens/>
        <w:autoSpaceDE w:val="0"/>
        <w:autoSpaceDN w:val="0"/>
        <w:jc w:val="center"/>
        <w:textAlignment w:val="baseline"/>
        <w:rPr>
          <w:rFonts w:eastAsia="Times New Roman" w:cs="Arial"/>
          <w:b/>
          <w:bCs/>
          <w:lang w:val="fr-FR"/>
        </w:rPr>
      </w:pPr>
      <w:r>
        <w:rPr>
          <w:rFonts w:eastAsia="Times New Roman" w:cs="Arial"/>
          <w:b/>
          <w:bCs/>
          <w:lang w:val="fr-FR"/>
        </w:rPr>
        <w:lastRenderedPageBreak/>
        <w:t>ATLAS SUR LA MIGRATION DES ANIMAUX</w:t>
      </w:r>
    </w:p>
    <w:p w14:paraId="38E07FBC" w14:textId="77777777" w:rsidR="00BA33FE" w:rsidRDefault="00BA33FE" w:rsidP="0023109C">
      <w:pPr>
        <w:widowControl w:val="0"/>
        <w:pBdr>
          <w:top w:val="single" w:sz="6" w:space="0" w:color="FFFFFF"/>
          <w:left w:val="single" w:sz="6" w:space="0" w:color="FFFFFF"/>
          <w:bottom w:val="single" w:sz="6" w:space="0" w:color="FFFFFF"/>
          <w:right w:val="single" w:sz="6" w:space="0" w:color="FFFFFF"/>
        </w:pBdr>
        <w:suppressAutoHyphens/>
        <w:autoSpaceDE w:val="0"/>
        <w:autoSpaceDN w:val="0"/>
        <w:textAlignment w:val="baseline"/>
        <w:outlineLvl w:val="1"/>
        <w:rPr>
          <w:rFonts w:eastAsia="Arial" w:cs="Arial"/>
          <w:caps/>
          <w:lang w:val="fr-FR"/>
        </w:rPr>
      </w:pPr>
    </w:p>
    <w:p w14:paraId="6A70812E" w14:textId="77777777" w:rsidR="002B6CE2" w:rsidRPr="0023109C" w:rsidRDefault="002B6CE2" w:rsidP="0023109C">
      <w:pPr>
        <w:widowControl w:val="0"/>
        <w:pBdr>
          <w:top w:val="single" w:sz="6" w:space="0" w:color="FFFFFF"/>
          <w:left w:val="single" w:sz="6" w:space="0" w:color="FFFFFF"/>
          <w:bottom w:val="single" w:sz="6" w:space="0" w:color="FFFFFF"/>
          <w:right w:val="single" w:sz="6" w:space="0" w:color="FFFFFF"/>
        </w:pBdr>
        <w:suppressAutoHyphens/>
        <w:autoSpaceDE w:val="0"/>
        <w:autoSpaceDN w:val="0"/>
        <w:textAlignment w:val="baseline"/>
        <w:outlineLvl w:val="1"/>
        <w:rPr>
          <w:rFonts w:eastAsia="Arial" w:cs="Arial"/>
          <w:caps/>
          <w:lang w:val="fr-FR"/>
        </w:rPr>
      </w:pPr>
    </w:p>
    <w:p w14:paraId="194A260F" w14:textId="77777777" w:rsidR="002B6CE2" w:rsidRPr="00BE54DD" w:rsidRDefault="002B6CE2" w:rsidP="002B6CE2">
      <w:pPr>
        <w:widowControl w:val="0"/>
        <w:suppressAutoHyphens/>
        <w:autoSpaceDE w:val="0"/>
        <w:autoSpaceDN w:val="0"/>
        <w:textAlignment w:val="baseline"/>
        <w:rPr>
          <w:u w:val="single"/>
          <w:lang w:val="fr-FR"/>
        </w:rPr>
      </w:pPr>
      <w:r>
        <w:rPr>
          <w:u w:val="single"/>
          <w:lang w:val="fr-FR"/>
        </w:rPr>
        <w:t>Contexte général</w:t>
      </w:r>
    </w:p>
    <w:p w14:paraId="4CA2BE87" w14:textId="77777777" w:rsidR="002B6CE2" w:rsidRDefault="002B6CE2" w:rsidP="002B6CE2">
      <w:pPr>
        <w:jc w:val="both"/>
        <w:rPr>
          <w:iCs/>
          <w:lang w:val="fr-FR"/>
        </w:rPr>
      </w:pPr>
    </w:p>
    <w:p w14:paraId="1A7419E9" w14:textId="77777777" w:rsidR="002B6CE2" w:rsidRDefault="002B6CE2" w:rsidP="002B6CE2">
      <w:pPr>
        <w:pStyle w:val="BodyText"/>
        <w:widowControl w:val="0"/>
        <w:numPr>
          <w:ilvl w:val="0"/>
          <w:numId w:val="3"/>
        </w:numPr>
        <w:kinsoku w:val="0"/>
        <w:overflowPunct w:val="0"/>
        <w:autoSpaceDE w:val="0"/>
        <w:autoSpaceDN w:val="0"/>
        <w:spacing w:after="0"/>
        <w:ind w:left="567" w:hanging="567"/>
        <w:jc w:val="both"/>
        <w:rPr>
          <w:b/>
          <w:lang w:val="fr-FR"/>
        </w:rPr>
      </w:pPr>
      <w:r>
        <w:rPr>
          <w:color w:val="000000"/>
          <w:lang w:val="fr-FR" w:eastAsia="en-GB"/>
        </w:rPr>
        <w:t xml:space="preserve">Lors de sa 11e Session (COP11, 2014), la Conférence des Parties a inscrit l'élaboration d'un atlas sur la migration des animaux parmi les activités à réaliser dans le cadre du Programme de travail de la CMS pour la période 2015-2017. La production de cet atlas a été prévue comme une initiative à long terme, qui devrait se poursuivre au cours des prochaines périodes triennales et être menée à bien au moyen d'une approche modulaire. </w:t>
      </w:r>
    </w:p>
    <w:p w14:paraId="7312C374" w14:textId="77777777" w:rsidR="002B6CE2" w:rsidRDefault="002B6CE2" w:rsidP="002B6CE2">
      <w:pPr>
        <w:pStyle w:val="BodyText"/>
        <w:widowControl w:val="0"/>
        <w:kinsoku w:val="0"/>
        <w:overflowPunct w:val="0"/>
        <w:autoSpaceDE w:val="0"/>
        <w:autoSpaceDN w:val="0"/>
        <w:spacing w:after="0"/>
        <w:ind w:left="567" w:hanging="567"/>
        <w:rPr>
          <w:b/>
          <w:lang w:val="fr-FR"/>
        </w:rPr>
      </w:pPr>
    </w:p>
    <w:p w14:paraId="31E121BE" w14:textId="77777777" w:rsidR="002B6CE2" w:rsidRPr="005A4C3F" w:rsidRDefault="002B6CE2" w:rsidP="002B6CE2">
      <w:pPr>
        <w:pStyle w:val="BodyText"/>
        <w:widowControl w:val="0"/>
        <w:numPr>
          <w:ilvl w:val="0"/>
          <w:numId w:val="3"/>
        </w:numPr>
        <w:kinsoku w:val="0"/>
        <w:overflowPunct w:val="0"/>
        <w:autoSpaceDE w:val="0"/>
        <w:autoSpaceDN w:val="0"/>
        <w:spacing w:after="0"/>
        <w:ind w:left="567" w:hanging="567"/>
        <w:jc w:val="both"/>
        <w:rPr>
          <w:b/>
          <w:lang w:val="fr-FR"/>
        </w:rPr>
      </w:pPr>
      <w:r>
        <w:rPr>
          <w:lang w:val="fr-FR"/>
        </w:rPr>
        <w:t xml:space="preserve">Un mandat permettant la poursuite des travaux sur l'atlas a été inclus dans les </w:t>
      </w:r>
      <w:r>
        <w:rPr>
          <w:color w:val="000000"/>
          <w:lang w:val="fr-FR" w:eastAsia="en-GB"/>
        </w:rPr>
        <w:t>programmes de travail de la CMS pour les périodes intersessions séparant la COP12 et la COP13 ainsi que la COP13 et la COP14. Le présent document résume les progrès réalisés dans l'élaboration de quatre modules.</w:t>
      </w:r>
    </w:p>
    <w:p w14:paraId="24D83F61" w14:textId="77777777" w:rsidR="002B6CE2" w:rsidRDefault="002B6CE2" w:rsidP="002B6CE2">
      <w:pPr>
        <w:pStyle w:val="BodyText"/>
        <w:widowControl w:val="0"/>
        <w:kinsoku w:val="0"/>
        <w:overflowPunct w:val="0"/>
        <w:autoSpaceDE w:val="0"/>
        <w:autoSpaceDN w:val="0"/>
        <w:spacing w:after="0"/>
        <w:ind w:left="567" w:hanging="567"/>
        <w:rPr>
          <w:b/>
          <w:lang w:val="fr-FR"/>
        </w:rPr>
      </w:pPr>
    </w:p>
    <w:p w14:paraId="17043F69" w14:textId="77777777" w:rsidR="002B6CE2" w:rsidRDefault="002B6CE2" w:rsidP="002B6CE2">
      <w:pPr>
        <w:pStyle w:val="BodyText"/>
        <w:widowControl w:val="0"/>
        <w:kinsoku w:val="0"/>
        <w:overflowPunct w:val="0"/>
        <w:autoSpaceDE w:val="0"/>
        <w:autoSpaceDN w:val="0"/>
        <w:spacing w:after="0"/>
        <w:ind w:left="567" w:hanging="567"/>
        <w:rPr>
          <w:b/>
          <w:u w:val="single"/>
          <w:lang w:val="fr-FR"/>
        </w:rPr>
      </w:pPr>
      <w:r>
        <w:rPr>
          <w:u w:val="single"/>
          <w:lang w:val="fr-FR"/>
        </w:rPr>
        <w:t>Atlas des mammifères migrateurs de la région d'Asie centrale</w:t>
      </w:r>
    </w:p>
    <w:p w14:paraId="19016A73" w14:textId="77777777" w:rsidR="002B6CE2" w:rsidRDefault="002B6CE2" w:rsidP="002B6CE2">
      <w:pPr>
        <w:pStyle w:val="BodyText"/>
        <w:widowControl w:val="0"/>
        <w:kinsoku w:val="0"/>
        <w:overflowPunct w:val="0"/>
        <w:autoSpaceDE w:val="0"/>
        <w:autoSpaceDN w:val="0"/>
        <w:spacing w:after="0"/>
        <w:ind w:left="567" w:hanging="567"/>
        <w:rPr>
          <w:b/>
          <w:lang w:val="fr-FR"/>
        </w:rPr>
      </w:pPr>
    </w:p>
    <w:p w14:paraId="665D864E" w14:textId="77777777" w:rsidR="002B6CE2" w:rsidRDefault="002B6CE2" w:rsidP="002B6CE2">
      <w:pPr>
        <w:pStyle w:val="BodyText"/>
        <w:widowControl w:val="0"/>
        <w:numPr>
          <w:ilvl w:val="0"/>
          <w:numId w:val="3"/>
        </w:numPr>
        <w:kinsoku w:val="0"/>
        <w:overflowPunct w:val="0"/>
        <w:autoSpaceDE w:val="0"/>
        <w:autoSpaceDN w:val="0"/>
        <w:spacing w:after="0"/>
        <w:ind w:left="567" w:hanging="567"/>
        <w:jc w:val="both"/>
        <w:rPr>
          <w:b/>
          <w:lang w:val="fr-FR"/>
        </w:rPr>
      </w:pPr>
      <w:r>
        <w:rPr>
          <w:lang w:val="fr-FR"/>
        </w:rPr>
        <w:t xml:space="preserve">La Résolution 11.24 </w:t>
      </w:r>
      <w:r>
        <w:rPr>
          <w:i/>
          <w:lang w:val="fr-FR"/>
        </w:rPr>
        <w:t>Initiative pour les mammifères d'Asie centrale</w:t>
      </w:r>
      <w:r>
        <w:rPr>
          <w:lang w:val="fr-FR"/>
        </w:rPr>
        <w:t xml:space="preserve"> (CAMI) a approuvé le concept de la CAMI et adopté un programme de travail complet, présenté en annexe de la Résolution. Elle a également officialisé l'adoption de </w:t>
      </w:r>
      <w:r>
        <w:rPr>
          <w:i/>
          <w:lang w:val="fr-FR"/>
        </w:rPr>
        <w:t>Lignes directrices relatives aux impacts des infrastructures linéaires sur les grands mammifères migrateurs d’Asie centrale</w:t>
      </w:r>
      <w:r>
        <w:rPr>
          <w:lang w:val="fr-FR"/>
        </w:rPr>
        <w:t xml:space="preserve">.   </w:t>
      </w:r>
    </w:p>
    <w:p w14:paraId="2CF657F2" w14:textId="77777777" w:rsidR="002B6CE2" w:rsidRDefault="002B6CE2" w:rsidP="002B6CE2">
      <w:pPr>
        <w:pStyle w:val="BodyText"/>
        <w:widowControl w:val="0"/>
        <w:kinsoku w:val="0"/>
        <w:overflowPunct w:val="0"/>
        <w:autoSpaceDE w:val="0"/>
        <w:autoSpaceDN w:val="0"/>
        <w:spacing w:after="0"/>
        <w:ind w:left="567" w:hanging="567"/>
        <w:rPr>
          <w:b/>
          <w:lang w:val="fr-FR"/>
        </w:rPr>
      </w:pPr>
    </w:p>
    <w:p w14:paraId="0198B131" w14:textId="77777777" w:rsidR="002B6CE2" w:rsidRDefault="002B6CE2" w:rsidP="002B6CE2">
      <w:pPr>
        <w:pStyle w:val="BodyText"/>
        <w:widowControl w:val="0"/>
        <w:numPr>
          <w:ilvl w:val="0"/>
          <w:numId w:val="3"/>
        </w:numPr>
        <w:kinsoku w:val="0"/>
        <w:overflowPunct w:val="0"/>
        <w:autoSpaceDE w:val="0"/>
        <w:autoSpaceDN w:val="0"/>
        <w:spacing w:after="0"/>
        <w:ind w:left="567" w:hanging="567"/>
        <w:jc w:val="both"/>
        <w:rPr>
          <w:b/>
          <w:lang w:val="fr-FR"/>
        </w:rPr>
      </w:pPr>
      <w:r>
        <w:rPr>
          <w:lang w:val="fr-FR"/>
        </w:rPr>
        <w:t xml:space="preserve">Dans le cadre de la mise en œuvre du Programme de travail, un Atlas des migrations et des infrastructures linéaires des mammifères d’Asie centrale a été élaboré, avec le soutien financier du Ministère fédéral allemand de l'environnement, de la protection de la nature et de la sûreté nucléaire (BMU) et du Gouvernement suisse, sous la direction de la Société pour la conservation de la vie sauvage (WCS).  Cet atlas vise à cartographier la répartition et les corridors de déplacement des mammifères migrateurs ainsi que les menaces liées aux infrastructures linéaires, telles que les chemins de fer, les routes, les pipelines et les clôtures frontalières, dans l'ensemble de la région d'Asie centrale. Il présente la répartition de dix des espèces les plus touchées par ces menaces dans dix pays, ainsi que les infrastructures construites et prévues. L'atlas a été finalisé en 2019 et publié sous la cote </w:t>
      </w:r>
      <w:hyperlink r:id="rId17" w:history="1">
        <w:r>
          <w:rPr>
            <w:rStyle w:val="Hyperlink"/>
            <w:lang w:val="fr-FR"/>
          </w:rPr>
          <w:t>CMS Technical Series Publication No. 41</w:t>
        </w:r>
      </w:hyperlink>
      <w:r>
        <w:rPr>
          <w:lang w:val="fr-FR"/>
        </w:rPr>
        <w:t xml:space="preserve"> en 2019.</w:t>
      </w:r>
    </w:p>
    <w:p w14:paraId="59D242D9" w14:textId="77777777" w:rsidR="002B6CE2" w:rsidRPr="00C82C33" w:rsidRDefault="002B6CE2" w:rsidP="002B6CE2">
      <w:pPr>
        <w:pStyle w:val="BodyText"/>
        <w:widowControl w:val="0"/>
        <w:kinsoku w:val="0"/>
        <w:overflowPunct w:val="0"/>
        <w:autoSpaceDE w:val="0"/>
        <w:autoSpaceDN w:val="0"/>
        <w:spacing w:after="0"/>
        <w:rPr>
          <w:b/>
          <w:lang w:val="fr-FR"/>
        </w:rPr>
      </w:pPr>
    </w:p>
    <w:p w14:paraId="725B5273" w14:textId="77777777" w:rsidR="002B6CE2" w:rsidRPr="00A0081C" w:rsidRDefault="002B6CE2" w:rsidP="002B6CE2">
      <w:pPr>
        <w:pStyle w:val="BodyText"/>
        <w:widowControl w:val="0"/>
        <w:numPr>
          <w:ilvl w:val="0"/>
          <w:numId w:val="3"/>
        </w:numPr>
        <w:kinsoku w:val="0"/>
        <w:overflowPunct w:val="0"/>
        <w:autoSpaceDE w:val="0"/>
        <w:autoSpaceDN w:val="0"/>
        <w:spacing w:after="0"/>
        <w:ind w:left="567" w:hanging="567"/>
        <w:jc w:val="both"/>
        <w:rPr>
          <w:b/>
          <w:lang w:val="fr-FR"/>
        </w:rPr>
      </w:pPr>
      <w:r>
        <w:rPr>
          <w:lang w:val="fr-FR"/>
        </w:rPr>
        <w:t>Cet atlas est actuellement mis à jour dans le cadre du projet « Central Asian Mammals and Climate Adaptation » (CAMCA), financé par l'Initiative internationale pour la protection du climat (IKI) du Gouvernement allemand. La mise à jour de l'atlas de la CAMI devrait être lancée en 2024 sous la forme d'un outil Web interactif en ligne afin d'en faciliter l'accessibilité et l'utilisation pour les parties prenantes ; cet outil intégrera en partie des données sur les effets du changement climatique sur certaines espèces migratrices dans la région.</w:t>
      </w:r>
    </w:p>
    <w:p w14:paraId="3477065B" w14:textId="77777777" w:rsidR="002B6CE2" w:rsidRDefault="002B6CE2" w:rsidP="002B6CE2">
      <w:pPr>
        <w:pStyle w:val="BodyText"/>
        <w:widowControl w:val="0"/>
        <w:kinsoku w:val="0"/>
        <w:overflowPunct w:val="0"/>
        <w:autoSpaceDE w:val="0"/>
        <w:autoSpaceDN w:val="0"/>
        <w:spacing w:after="0"/>
        <w:rPr>
          <w:b/>
          <w:lang w:val="fr-FR"/>
        </w:rPr>
      </w:pPr>
    </w:p>
    <w:p w14:paraId="553B9F35" w14:textId="77777777" w:rsidR="002B6CE2" w:rsidRDefault="002B6CE2" w:rsidP="002B6CE2">
      <w:pPr>
        <w:pStyle w:val="BodyText"/>
        <w:widowControl w:val="0"/>
        <w:kinsoku w:val="0"/>
        <w:overflowPunct w:val="0"/>
        <w:autoSpaceDE w:val="0"/>
        <w:autoSpaceDN w:val="0"/>
        <w:spacing w:after="0"/>
        <w:ind w:left="567" w:hanging="567"/>
        <w:rPr>
          <w:b/>
          <w:u w:val="single"/>
          <w:lang w:val="fr-FR"/>
        </w:rPr>
      </w:pPr>
      <w:r>
        <w:rPr>
          <w:u w:val="single"/>
          <w:lang w:val="fr-FR"/>
        </w:rPr>
        <w:t>Atlas sur la migration des oiseaux dans la région Eurasie-Afrique</w:t>
      </w:r>
    </w:p>
    <w:p w14:paraId="6B579F66" w14:textId="77777777" w:rsidR="002B6CE2" w:rsidRDefault="002B6CE2" w:rsidP="002B6CE2">
      <w:pPr>
        <w:pStyle w:val="BodyText"/>
        <w:widowControl w:val="0"/>
        <w:kinsoku w:val="0"/>
        <w:overflowPunct w:val="0"/>
        <w:autoSpaceDE w:val="0"/>
        <w:autoSpaceDN w:val="0"/>
        <w:spacing w:after="0"/>
        <w:ind w:left="567" w:hanging="567"/>
        <w:rPr>
          <w:b/>
          <w:lang w:val="fr-FR"/>
        </w:rPr>
      </w:pPr>
    </w:p>
    <w:p w14:paraId="1B8B0285" w14:textId="77777777" w:rsidR="002B6CE2" w:rsidRPr="00FF04C2" w:rsidRDefault="002B6CE2" w:rsidP="002B6CE2">
      <w:pPr>
        <w:pStyle w:val="ListParagraph"/>
        <w:numPr>
          <w:ilvl w:val="0"/>
          <w:numId w:val="3"/>
        </w:numPr>
        <w:ind w:left="567" w:hanging="567"/>
        <w:contextualSpacing w:val="0"/>
        <w:jc w:val="both"/>
        <w:rPr>
          <w:rFonts w:cs="Arial"/>
          <w:lang w:val="fr-FR"/>
        </w:rPr>
      </w:pPr>
      <w:r>
        <w:rPr>
          <w:lang w:val="fr-FR"/>
        </w:rPr>
        <w:t xml:space="preserve">L'élaboration de ce module, financée par le Ministère de l'environnement et de la protection du territoire et de la mer du Gouvernement italien et réalisée par l'Union européenne du baguage ornithologique (EURING) en collaboration avec le </w:t>
      </w:r>
      <w:hyperlink r:id="rId18" w:history="1">
        <w:r>
          <w:rPr>
            <w:rStyle w:val="Hyperlink"/>
            <w:lang w:val="fr-FR"/>
          </w:rPr>
          <w:t>Max Planck Institute of Animal Behavior</w:t>
        </w:r>
      </w:hyperlink>
      <w:r>
        <w:rPr>
          <w:lang w:val="fr-FR"/>
        </w:rPr>
        <w:t xml:space="preserve"> dans le cadre d'un accord avec le Secrétariat de la CMS, a été achevée. Cet atlas a été lancé lors d'un événement organisé au Musée des migrations, sur l'île italienne de Ventotene, en mai 2022 (un communiqué de presse concernant ce lancement peut être consulté </w:t>
      </w:r>
      <w:hyperlink r:id="rId19" w:history="1">
        <w:r>
          <w:rPr>
            <w:rStyle w:val="Hyperlink"/>
            <w:lang w:val="fr-FR"/>
          </w:rPr>
          <w:t>ici</w:t>
        </w:r>
      </w:hyperlink>
      <w:r>
        <w:rPr>
          <w:lang w:val="fr-FR"/>
        </w:rPr>
        <w:t xml:space="preserve">). L'atlas interactif est accessible au public à l'adresse Web suivante : </w:t>
      </w:r>
      <w:hyperlink r:id="rId20" w:history="1">
        <w:r>
          <w:rPr>
            <w:rStyle w:val="Hyperlink"/>
            <w:lang w:val="fr-FR"/>
          </w:rPr>
          <w:t>Atlas sur la migration des oiseaux</w:t>
        </w:r>
      </w:hyperlink>
      <w:r>
        <w:rPr>
          <w:lang w:val="fr-FR"/>
        </w:rPr>
        <w:t xml:space="preserve">.  </w:t>
      </w:r>
    </w:p>
    <w:p w14:paraId="0D8D00C8" w14:textId="77777777" w:rsidR="002B6CE2" w:rsidRDefault="002B6CE2" w:rsidP="002B6CE2">
      <w:pPr>
        <w:pStyle w:val="ListParagraph"/>
        <w:numPr>
          <w:ilvl w:val="0"/>
          <w:numId w:val="3"/>
        </w:numPr>
        <w:ind w:left="567" w:hanging="567"/>
        <w:contextualSpacing w:val="0"/>
        <w:jc w:val="both"/>
        <w:rPr>
          <w:rFonts w:cs="Arial"/>
          <w:lang w:val="fr-FR"/>
        </w:rPr>
      </w:pPr>
      <w:r>
        <w:rPr>
          <w:rFonts w:cs="Arial"/>
          <w:lang w:val="fr-FR"/>
        </w:rPr>
        <w:lastRenderedPageBreak/>
        <w:t>Des chercheurs de 10 institutions différentes et des données recueillies par plus de 50 organisations différentes ont contribué à l'élaboration de l'atlas.  L'un des principaux accomplissements de cet atlas est d'avoir rassemblé, analysé et synthétisé les données de baguage ornithologique recueillies pendant plus de 100 ans sur 300 espèces.  En outre, pour plus de 100 de ces espèces, l'outil de cartographie en ligne superpose les schémas de déplacement identifiés par le baguage des oiseaux avec les traces obtenues grâce à des émetteurs satellites, des balises GPS-GSM ou des géolocalisateurs. Ainsi rassemblées, ces données permettent d'obtenir les informations les plus complètes disponibles sur les itinéraires de migration de ces espèces. </w:t>
      </w:r>
    </w:p>
    <w:p w14:paraId="7563B86B" w14:textId="77777777" w:rsidR="002B6CE2" w:rsidRPr="00AC7B3E" w:rsidRDefault="002B6CE2" w:rsidP="002B6CE2">
      <w:pPr>
        <w:pStyle w:val="ListParagraph"/>
        <w:contextualSpacing w:val="0"/>
        <w:rPr>
          <w:rFonts w:cs="Arial"/>
          <w:lang w:val="fr-FR"/>
        </w:rPr>
      </w:pPr>
    </w:p>
    <w:p w14:paraId="0DA6D0D1" w14:textId="77777777" w:rsidR="002B6CE2" w:rsidRDefault="002B6CE2" w:rsidP="002B6CE2">
      <w:pPr>
        <w:pStyle w:val="NormalWeb"/>
        <w:numPr>
          <w:ilvl w:val="0"/>
          <w:numId w:val="4"/>
        </w:numPr>
        <w:spacing w:before="0" w:beforeAutospacing="0" w:after="0" w:afterAutospacing="0"/>
        <w:ind w:left="567" w:hanging="567"/>
        <w:jc w:val="both"/>
        <w:rPr>
          <w:rFonts w:ascii="Arial" w:hAnsi="Arial" w:cs="Arial"/>
          <w:sz w:val="22"/>
          <w:szCs w:val="22"/>
          <w:lang w:val="fr-FR"/>
        </w:rPr>
      </w:pPr>
      <w:r>
        <w:rPr>
          <w:rFonts w:ascii="Arial" w:hAnsi="Arial" w:cs="Arial"/>
          <w:sz w:val="22"/>
          <w:szCs w:val="22"/>
          <w:lang w:val="fr-FR"/>
        </w:rPr>
        <w:t>L'atlas se caractérise également par ses quatre modules de recherche, qui abordent différents aspects de la migration des oiseaux et des relations entre les oiseaux et les humains. Tous ces modules revêtent une importance cruciale pour la conservation des oiseaux à l'échelle internationale et à l'échelle des voies de migration. Les modules de recherche abordent les thèmes suivants :</w:t>
      </w:r>
    </w:p>
    <w:p w14:paraId="53A5A3C9" w14:textId="77777777" w:rsidR="002B6CE2" w:rsidRPr="000431D2" w:rsidRDefault="002B6CE2" w:rsidP="002B6CE2">
      <w:pPr>
        <w:pStyle w:val="NormalWeb"/>
        <w:spacing w:before="0" w:beforeAutospacing="0" w:after="0" w:afterAutospacing="0"/>
        <w:ind w:left="567"/>
        <w:jc w:val="both"/>
        <w:rPr>
          <w:rFonts w:ascii="Arial" w:hAnsi="Arial" w:cs="Arial"/>
          <w:sz w:val="22"/>
          <w:szCs w:val="22"/>
          <w:lang w:val="fr-FR"/>
        </w:rPr>
      </w:pPr>
    </w:p>
    <w:p w14:paraId="14894943" w14:textId="77777777" w:rsidR="002B6CE2" w:rsidRPr="00CC6B31" w:rsidRDefault="00B459FD" w:rsidP="002B6CE2">
      <w:pPr>
        <w:pStyle w:val="ListParagraph"/>
        <w:numPr>
          <w:ilvl w:val="0"/>
          <w:numId w:val="5"/>
        </w:numPr>
        <w:ind w:left="993" w:hanging="426"/>
        <w:contextualSpacing w:val="0"/>
        <w:jc w:val="both"/>
        <w:rPr>
          <w:rFonts w:cs="Arial"/>
          <w:lang w:val="fr-FR"/>
        </w:rPr>
      </w:pPr>
      <w:hyperlink r:id="rId21" w:history="1">
        <w:r w:rsidR="002B6CE2">
          <w:rPr>
            <w:rStyle w:val="Hyperlink"/>
            <w:rFonts w:cs="Arial"/>
            <w:lang w:val="fr-FR"/>
          </w:rPr>
          <w:t>Changements historiques dans les schémas de migration</w:t>
        </w:r>
      </w:hyperlink>
    </w:p>
    <w:p w14:paraId="71CC50C0" w14:textId="77777777" w:rsidR="002B6CE2" w:rsidRPr="00B3431D" w:rsidRDefault="00B459FD" w:rsidP="002B6CE2">
      <w:pPr>
        <w:pStyle w:val="ListParagraph"/>
        <w:numPr>
          <w:ilvl w:val="0"/>
          <w:numId w:val="6"/>
        </w:numPr>
        <w:ind w:left="993" w:hanging="426"/>
        <w:contextualSpacing w:val="0"/>
        <w:jc w:val="both"/>
        <w:rPr>
          <w:rFonts w:cs="Arial"/>
          <w:lang w:val="fr-FR"/>
        </w:rPr>
      </w:pPr>
      <w:hyperlink r:id="rId22" w:history="1">
        <w:r w:rsidR="002B6CE2">
          <w:rPr>
            <w:rStyle w:val="Hyperlink"/>
            <w:rFonts w:cs="Arial"/>
            <w:lang w:val="fr-FR"/>
          </w:rPr>
          <w:t>Abattage intentionnel d'oiseaux par l'humain</w:t>
        </w:r>
      </w:hyperlink>
    </w:p>
    <w:p w14:paraId="4642C58B" w14:textId="77777777" w:rsidR="002B6CE2" w:rsidRPr="001927DE" w:rsidRDefault="00B459FD" w:rsidP="002B6CE2">
      <w:pPr>
        <w:pStyle w:val="ListParagraph"/>
        <w:numPr>
          <w:ilvl w:val="0"/>
          <w:numId w:val="6"/>
        </w:numPr>
        <w:ind w:left="993" w:hanging="426"/>
        <w:contextualSpacing w:val="0"/>
        <w:jc w:val="both"/>
        <w:rPr>
          <w:rFonts w:cs="Arial"/>
          <w:lang w:val="fr-FR"/>
        </w:rPr>
      </w:pPr>
      <w:hyperlink r:id="rId23" w:history="1">
        <w:r w:rsidR="002B6CE2">
          <w:rPr>
            <w:rStyle w:val="Hyperlink"/>
            <w:rFonts w:cs="Arial"/>
            <w:lang w:val="fr-FR"/>
          </w:rPr>
          <w:t>Saisons de migration des espèces chassées</w:t>
        </w:r>
      </w:hyperlink>
    </w:p>
    <w:p w14:paraId="0AA13FA3" w14:textId="77777777" w:rsidR="002B6CE2" w:rsidRPr="001927DE" w:rsidRDefault="00B459FD" w:rsidP="002B6CE2">
      <w:pPr>
        <w:pStyle w:val="ListParagraph"/>
        <w:numPr>
          <w:ilvl w:val="0"/>
          <w:numId w:val="6"/>
        </w:numPr>
        <w:ind w:left="993" w:hanging="426"/>
        <w:contextualSpacing w:val="0"/>
        <w:jc w:val="both"/>
        <w:rPr>
          <w:rFonts w:cs="Arial"/>
          <w:lang w:val="fr-FR"/>
        </w:rPr>
      </w:pPr>
      <w:hyperlink r:id="rId24" w:history="1">
        <w:r w:rsidR="002B6CE2">
          <w:rPr>
            <w:rStyle w:val="Hyperlink"/>
            <w:rFonts w:cs="Arial"/>
            <w:lang w:val="fr-FR"/>
          </w:rPr>
          <w:t>Connectivité migratoire au sein du système de migration euro-africain</w:t>
        </w:r>
      </w:hyperlink>
    </w:p>
    <w:p w14:paraId="67131765" w14:textId="77777777" w:rsidR="002B6CE2" w:rsidRPr="005216C4" w:rsidRDefault="002B6CE2" w:rsidP="002B6CE2">
      <w:pPr>
        <w:pStyle w:val="ListParagraph"/>
        <w:ind w:left="567"/>
        <w:contextualSpacing w:val="0"/>
        <w:jc w:val="both"/>
        <w:rPr>
          <w:rFonts w:cs="Arial"/>
          <w:lang w:val="fr-FR"/>
        </w:rPr>
      </w:pPr>
    </w:p>
    <w:p w14:paraId="62756CF5" w14:textId="77777777" w:rsidR="002B6CE2" w:rsidRPr="00DC5797" w:rsidRDefault="002B6CE2" w:rsidP="002B6CE2">
      <w:pPr>
        <w:rPr>
          <w:rFonts w:cs="Arial"/>
          <w:u w:val="single"/>
          <w:lang w:val="fr-FR"/>
        </w:rPr>
      </w:pPr>
      <w:r>
        <w:rPr>
          <w:rFonts w:cs="Arial"/>
          <w:u w:val="single"/>
          <w:lang w:val="fr-FR"/>
        </w:rPr>
        <w:t>Atlas de la reproduction et de la migration des tortues marines (TurtleNet)</w:t>
      </w:r>
    </w:p>
    <w:p w14:paraId="4DE1E917" w14:textId="77777777" w:rsidR="002B6CE2" w:rsidRPr="009A2D82" w:rsidRDefault="002B6CE2" w:rsidP="002B6CE2">
      <w:pPr>
        <w:pStyle w:val="ListParagraph"/>
        <w:contextualSpacing w:val="0"/>
        <w:rPr>
          <w:rFonts w:cs="Arial"/>
          <w:lang w:val="fr-FR"/>
        </w:rPr>
      </w:pPr>
    </w:p>
    <w:p w14:paraId="6EB7FB62" w14:textId="77777777" w:rsidR="002B6CE2" w:rsidRDefault="002B6CE2" w:rsidP="002B6CE2">
      <w:pPr>
        <w:pStyle w:val="ListParagraph"/>
        <w:numPr>
          <w:ilvl w:val="0"/>
          <w:numId w:val="3"/>
        </w:numPr>
        <w:ind w:left="567" w:hanging="567"/>
        <w:contextualSpacing w:val="0"/>
        <w:jc w:val="both"/>
        <w:rPr>
          <w:rFonts w:cs="Arial"/>
          <w:lang w:val="fr-FR"/>
        </w:rPr>
      </w:pPr>
      <w:r>
        <w:rPr>
          <w:rFonts w:cs="Arial"/>
          <w:lang w:val="fr-FR"/>
        </w:rPr>
        <w:t xml:space="preserve">Cet atlas interactif en ligne, élaboré par le Ministère de l'environnement et des sciences de l'État australien du Queensland (DES) en collaboration avec la CMS, rassemble plusieurs décennies de données australiennes et mondiales sur les itinéraires de nidification, de parade nuptiale, d'alimentation et de migration des tortues marines. Il a été lancé le 16 juin 2021, à l'occasion de la Journée mondiale des tortues marines 2021. Il peut être consulté </w:t>
      </w:r>
      <w:hyperlink r:id="rId25" w:history="1">
        <w:r>
          <w:rPr>
            <w:rStyle w:val="Hyperlink"/>
            <w:rFonts w:cs="Arial"/>
            <w:lang w:val="fr-FR"/>
          </w:rPr>
          <w:t>ici</w:t>
        </w:r>
      </w:hyperlink>
      <w:r>
        <w:rPr>
          <w:rFonts w:cs="Arial"/>
          <w:lang w:val="fr-FR"/>
        </w:rPr>
        <w:t>. Le Gouvernement australien a accordé un financement qui doit permettre de poursuivre le développement de l'atlas, notamment en augmentant le nombre d'animations sur les migrations. Le Secrétariat reste en contact avec le DES pour suivre la réalisation du projet.</w:t>
      </w:r>
    </w:p>
    <w:p w14:paraId="17D57031" w14:textId="77777777" w:rsidR="002B6CE2" w:rsidRDefault="002B6CE2" w:rsidP="002B6CE2">
      <w:pPr>
        <w:pStyle w:val="ListParagraph"/>
        <w:ind w:left="567"/>
        <w:contextualSpacing w:val="0"/>
        <w:jc w:val="both"/>
        <w:rPr>
          <w:rFonts w:cs="Arial"/>
          <w:lang w:val="fr-FR"/>
        </w:rPr>
      </w:pPr>
    </w:p>
    <w:p w14:paraId="2333CB40" w14:textId="77777777" w:rsidR="002B6CE2" w:rsidRPr="00A67562" w:rsidRDefault="002B6CE2" w:rsidP="002B6CE2">
      <w:pPr>
        <w:rPr>
          <w:u w:val="single"/>
          <w:lang w:val="fr-FR"/>
        </w:rPr>
      </w:pPr>
      <w:r>
        <w:rPr>
          <w:u w:val="single"/>
          <w:lang w:val="fr-FR"/>
        </w:rPr>
        <w:t>Initiative mondiale sur la migration des ongulés (GIUM)</w:t>
      </w:r>
    </w:p>
    <w:p w14:paraId="1509186A" w14:textId="77777777" w:rsidR="002B6CE2" w:rsidRDefault="002B6CE2" w:rsidP="002B6CE2">
      <w:pPr>
        <w:pStyle w:val="ListParagraph"/>
        <w:ind w:left="567"/>
        <w:contextualSpacing w:val="0"/>
        <w:jc w:val="both"/>
        <w:rPr>
          <w:rFonts w:cs="Arial"/>
          <w:lang w:val="fr-FR"/>
        </w:rPr>
      </w:pPr>
    </w:p>
    <w:p w14:paraId="18FA5CE6" w14:textId="77777777" w:rsidR="002B6CE2" w:rsidRPr="007F273E" w:rsidRDefault="002B6CE2" w:rsidP="002B6CE2">
      <w:pPr>
        <w:pStyle w:val="ListParagraph"/>
        <w:numPr>
          <w:ilvl w:val="0"/>
          <w:numId w:val="3"/>
        </w:numPr>
        <w:ind w:left="567" w:hanging="567"/>
        <w:contextualSpacing w:val="0"/>
        <w:jc w:val="both"/>
        <w:rPr>
          <w:rFonts w:cs="Arial"/>
          <w:lang w:val="fr-FR"/>
        </w:rPr>
      </w:pPr>
      <w:r>
        <w:rPr>
          <w:lang w:val="fr-FR"/>
        </w:rPr>
        <w:t xml:space="preserve">Le Secrétariat de la CMS travaille en partenariat avec une équipe internationale de scientifiques et de défenseurs de l'environnement pour créer le tout premier atlas mondial sur la migration des ongulés (mammifères pourvus de sabots). Les cartes détaillées des mouvements saisonniers des hardes dans le monde entier aideront les gouvernements, les populations autochtones et les communautés locales ainsi que les planificateurs et les gestionnaires de la faune sauvage à recenser les menaces actuelles et futures qui pèsent sur les migrations et à proposer des mesures de conservation pour préserver ces migrations face à l'expansion de l'empreinte humaine. L'Initiative mondiale sur la migration des ongulés (GIUM) a été lancée avec la publication d'un commentaire intitulé « Mapping out a future for ungulate migrations » dans le numéro du 7 mai 2021 de la revue </w:t>
      </w:r>
      <w:r>
        <w:rPr>
          <w:i/>
          <w:iCs/>
          <w:lang w:val="fr-FR"/>
        </w:rPr>
        <w:t>Science</w:t>
      </w:r>
      <w:r>
        <w:rPr>
          <w:rStyle w:val="FootnoteReference"/>
          <w:rFonts w:cs="Arial"/>
          <w:vertAlign w:val="superscript"/>
          <w:lang w:val="fr-FR"/>
        </w:rPr>
        <w:footnoteReference w:id="1"/>
      </w:r>
      <w:r>
        <w:rPr>
          <w:lang w:val="fr-FR"/>
        </w:rPr>
        <w:t xml:space="preserve">. En juillet 2023, le Conseil consultatif scientifique de la GIUM a organisé la réunion inaugurale de la GIUM à Jackson, dans l'État du Wyoming (États-Unis). Cette réunion, à laquelle le Secrétariat de la CMS a participé, a réuni plus de 60 experts du monde entier pour leur permettre de réfléchir à la façon dont l'atlas mondial sur la migration des ongulés pourrait être étendu à d'autres régions et espèces ainsi qu'aux mesures à prendre pour que cet atlas demeure un outil utilisable </w:t>
      </w:r>
      <w:r>
        <w:rPr>
          <w:lang w:val="fr-FR"/>
        </w:rPr>
        <w:lastRenderedPageBreak/>
        <w:t>par les décideurs politiques, et à la façon de le promouvoir auprès des décideurs politiques, des financeurs et d'autres acteurs du développement des infrastructures.</w:t>
      </w:r>
    </w:p>
    <w:p w14:paraId="57CA947B" w14:textId="77777777" w:rsidR="002B6CE2" w:rsidRPr="00CA51FC" w:rsidRDefault="002B6CE2" w:rsidP="002B6CE2">
      <w:pPr>
        <w:pStyle w:val="ListParagraph"/>
        <w:ind w:left="567"/>
        <w:contextualSpacing w:val="0"/>
        <w:jc w:val="both"/>
        <w:rPr>
          <w:rFonts w:cs="Arial"/>
          <w:lang w:val="fr-FR"/>
        </w:rPr>
      </w:pPr>
    </w:p>
    <w:p w14:paraId="11AF23FA" w14:textId="77777777" w:rsidR="002B6CE2" w:rsidRDefault="002B6CE2" w:rsidP="002B6CE2">
      <w:pPr>
        <w:pStyle w:val="ListParagraph"/>
        <w:autoSpaceDE w:val="0"/>
        <w:autoSpaceDN w:val="0"/>
        <w:adjustRightInd w:val="0"/>
        <w:ind w:left="567" w:hanging="567"/>
        <w:contextualSpacing w:val="0"/>
        <w:jc w:val="both"/>
        <w:rPr>
          <w:rFonts w:cs="Arial"/>
          <w:u w:val="single"/>
          <w:lang w:val="fr-FR"/>
        </w:rPr>
      </w:pPr>
      <w:r>
        <w:rPr>
          <w:rFonts w:cs="Arial"/>
          <w:u w:val="single"/>
          <w:lang w:val="fr-FR"/>
        </w:rPr>
        <w:t xml:space="preserve">Discussion et analyse </w:t>
      </w:r>
    </w:p>
    <w:p w14:paraId="0703F9E0" w14:textId="77777777" w:rsidR="002B6CE2" w:rsidRDefault="002B6CE2" w:rsidP="002B6CE2">
      <w:pPr>
        <w:pStyle w:val="ListParagraph"/>
        <w:ind w:left="567" w:hanging="567"/>
        <w:contextualSpacing w:val="0"/>
        <w:rPr>
          <w:rFonts w:cs="Arial"/>
          <w:lang w:val="fr-FR"/>
        </w:rPr>
      </w:pPr>
    </w:p>
    <w:p w14:paraId="3E95C7DD" w14:textId="77777777" w:rsidR="002B6CE2" w:rsidRPr="00A1122E" w:rsidRDefault="002B6CE2" w:rsidP="002B6CE2">
      <w:pPr>
        <w:pStyle w:val="BodyText"/>
        <w:widowControl w:val="0"/>
        <w:numPr>
          <w:ilvl w:val="0"/>
          <w:numId w:val="3"/>
        </w:numPr>
        <w:kinsoku w:val="0"/>
        <w:overflowPunct w:val="0"/>
        <w:autoSpaceDE w:val="0"/>
        <w:autoSpaceDN w:val="0"/>
        <w:spacing w:after="0"/>
        <w:ind w:left="567" w:hanging="567"/>
        <w:jc w:val="both"/>
        <w:rPr>
          <w:b/>
          <w:lang w:val="fr-FR"/>
        </w:rPr>
      </w:pPr>
      <w:r>
        <w:rPr>
          <w:color w:val="000000"/>
          <w:lang w:val="fr-FR" w:eastAsia="en-GB"/>
        </w:rPr>
        <w:t xml:space="preserve">Il est plus nécessaire que jamais de cartographier les migrations des animaux. Le recensement des sites importants pour les espèces migratrices et la compréhension des schémas de migration contribueront directement à la réalisation des objectifs de la Convention et d'autres priorités stratégiques mondiales, notamment le Cadre Mondial de la biodiversité de Kunming à Montréal. De nouvelles recherches sur les espèces migratrices et le changement climatique, présentées sous la forme d'un document d'information pour la ScC-SC6, font encore mieux ressortir la nécessité de comprendre les voies de migration et la manière dont elles peuvent évoluer.  </w:t>
      </w:r>
    </w:p>
    <w:p w14:paraId="132139B0" w14:textId="77777777" w:rsidR="002B6CE2" w:rsidRPr="00A1122E" w:rsidRDefault="002B6CE2" w:rsidP="002B6CE2">
      <w:pPr>
        <w:pStyle w:val="BodyText"/>
        <w:widowControl w:val="0"/>
        <w:kinsoku w:val="0"/>
        <w:overflowPunct w:val="0"/>
        <w:autoSpaceDE w:val="0"/>
        <w:autoSpaceDN w:val="0"/>
        <w:spacing w:after="0"/>
        <w:ind w:left="567"/>
        <w:rPr>
          <w:b/>
          <w:lang w:val="fr-FR"/>
        </w:rPr>
      </w:pPr>
    </w:p>
    <w:p w14:paraId="7CAEC497" w14:textId="77777777" w:rsidR="002B6CE2" w:rsidRDefault="002B6CE2" w:rsidP="002B6CE2">
      <w:pPr>
        <w:pStyle w:val="BodyText"/>
        <w:widowControl w:val="0"/>
        <w:numPr>
          <w:ilvl w:val="0"/>
          <w:numId w:val="3"/>
        </w:numPr>
        <w:kinsoku w:val="0"/>
        <w:overflowPunct w:val="0"/>
        <w:autoSpaceDE w:val="0"/>
        <w:autoSpaceDN w:val="0"/>
        <w:spacing w:after="0"/>
        <w:ind w:left="567" w:hanging="567"/>
        <w:jc w:val="both"/>
        <w:rPr>
          <w:b/>
          <w:lang w:val="fr-FR"/>
        </w:rPr>
      </w:pPr>
      <w:r>
        <w:rPr>
          <w:color w:val="000000"/>
          <w:lang w:val="fr-FR" w:eastAsia="en-GB"/>
        </w:rPr>
        <w:t xml:space="preserve">Le mandat pour l'élaboration d'un atlas était auparavant prévu dans le cadre du programme de travail adopté conjointement avec le budget. Toutefois, il est proposé, en accord avec les démarches adoptées dans d'autres axes de travail, d'établir ce mandat dans une décision de la COP. Des projets de décision sont présentés à l'annexe 1 pour examen par la COP14. </w:t>
      </w:r>
    </w:p>
    <w:p w14:paraId="661511C0" w14:textId="77777777" w:rsidR="002B6CE2" w:rsidRDefault="002B6CE2" w:rsidP="002B6CE2">
      <w:pPr>
        <w:autoSpaceDE w:val="0"/>
        <w:autoSpaceDN w:val="0"/>
        <w:adjustRightInd w:val="0"/>
        <w:jc w:val="both"/>
        <w:rPr>
          <w:rFonts w:cs="Arial"/>
          <w:lang w:val="fr-FR"/>
        </w:rPr>
      </w:pPr>
    </w:p>
    <w:p w14:paraId="5156DB33" w14:textId="48D18E28" w:rsidR="002B6CE2" w:rsidRDefault="002B6CE2" w:rsidP="002B6CE2">
      <w:pPr>
        <w:autoSpaceDE w:val="0"/>
        <w:autoSpaceDN w:val="0"/>
        <w:adjustRightInd w:val="0"/>
        <w:ind w:left="567" w:hanging="567"/>
        <w:jc w:val="both"/>
        <w:rPr>
          <w:rFonts w:cs="Arial"/>
          <w:u w:val="single"/>
          <w:lang w:val="fr-FR"/>
        </w:rPr>
      </w:pPr>
      <w:r>
        <w:rPr>
          <w:rFonts w:cs="Arial"/>
          <w:u w:val="single"/>
          <w:lang w:val="fr-FR"/>
        </w:rPr>
        <w:t>Actions recommandées</w:t>
      </w:r>
    </w:p>
    <w:p w14:paraId="1278D7A4" w14:textId="77777777" w:rsidR="002B6CE2" w:rsidRDefault="002B6CE2" w:rsidP="002B6CE2">
      <w:pPr>
        <w:autoSpaceDE w:val="0"/>
        <w:autoSpaceDN w:val="0"/>
        <w:adjustRightInd w:val="0"/>
        <w:ind w:left="567" w:hanging="567"/>
        <w:jc w:val="both"/>
        <w:rPr>
          <w:rFonts w:cs="Arial"/>
          <w:lang w:val="fr-FR"/>
        </w:rPr>
      </w:pPr>
    </w:p>
    <w:p w14:paraId="0C241550" w14:textId="77777777" w:rsidR="002B6CE2" w:rsidRDefault="002B6CE2" w:rsidP="002B6CE2">
      <w:pPr>
        <w:widowControl w:val="0"/>
        <w:numPr>
          <w:ilvl w:val="0"/>
          <w:numId w:val="3"/>
        </w:numPr>
        <w:autoSpaceDE w:val="0"/>
        <w:autoSpaceDN w:val="0"/>
        <w:adjustRightInd w:val="0"/>
        <w:ind w:left="567" w:hanging="567"/>
        <w:jc w:val="both"/>
        <w:rPr>
          <w:rFonts w:cs="Arial"/>
          <w:lang w:val="fr-FR"/>
        </w:rPr>
      </w:pPr>
      <w:r>
        <w:rPr>
          <w:rFonts w:cs="Arial"/>
          <w:lang w:val="fr-FR" w:eastAsia="en-GB"/>
        </w:rPr>
        <w:t>Il est recommandé à la Conférence des Parties</w:t>
      </w:r>
      <w:r>
        <w:rPr>
          <w:rFonts w:cs="Arial"/>
          <w:lang w:val="fr-FR"/>
        </w:rPr>
        <w:t xml:space="preserve"> :</w:t>
      </w:r>
    </w:p>
    <w:p w14:paraId="5F52531C" w14:textId="77777777" w:rsidR="002B6CE2" w:rsidRDefault="002B6CE2" w:rsidP="002B6CE2">
      <w:pPr>
        <w:widowControl w:val="0"/>
        <w:autoSpaceDE w:val="0"/>
        <w:autoSpaceDN w:val="0"/>
        <w:adjustRightInd w:val="0"/>
        <w:ind w:left="426"/>
        <w:jc w:val="both"/>
        <w:rPr>
          <w:rFonts w:cs="Arial"/>
          <w:lang w:val="fr-FR"/>
        </w:rPr>
      </w:pPr>
    </w:p>
    <w:p w14:paraId="744B4A16" w14:textId="77777777" w:rsidR="002B6CE2" w:rsidRDefault="002B6CE2" w:rsidP="002B6CE2">
      <w:pPr>
        <w:numPr>
          <w:ilvl w:val="0"/>
          <w:numId w:val="2"/>
        </w:numPr>
        <w:autoSpaceDN w:val="0"/>
        <w:ind w:left="1134" w:hanging="567"/>
        <w:jc w:val="both"/>
        <w:rPr>
          <w:rFonts w:cs="Arial"/>
          <w:lang w:val="fr-FR"/>
        </w:rPr>
      </w:pPr>
      <w:r>
        <w:rPr>
          <w:rFonts w:cs="Arial"/>
          <w:lang w:val="fr-FR"/>
        </w:rPr>
        <w:t>de prendre note du présent rapport ;</w:t>
      </w:r>
    </w:p>
    <w:p w14:paraId="076623EF" w14:textId="77777777" w:rsidR="002B6CE2" w:rsidRDefault="002B6CE2" w:rsidP="002B6CE2">
      <w:pPr>
        <w:autoSpaceDN w:val="0"/>
        <w:ind w:left="1134" w:hanging="567"/>
        <w:jc w:val="both"/>
        <w:rPr>
          <w:rFonts w:cs="Arial"/>
          <w:lang w:val="fr-FR"/>
        </w:rPr>
      </w:pPr>
    </w:p>
    <w:p w14:paraId="747D37B3" w14:textId="67823843" w:rsidR="002B6CE2" w:rsidRDefault="002B6CE2" w:rsidP="002B6CE2">
      <w:pPr>
        <w:numPr>
          <w:ilvl w:val="0"/>
          <w:numId w:val="2"/>
        </w:numPr>
        <w:autoSpaceDN w:val="0"/>
        <w:ind w:left="1134" w:hanging="567"/>
        <w:jc w:val="both"/>
        <w:rPr>
          <w:rFonts w:cs="Arial"/>
          <w:lang w:val="fr-FR"/>
        </w:rPr>
      </w:pPr>
      <w:r>
        <w:rPr>
          <w:rFonts w:cs="Arial"/>
          <w:lang w:val="fr-FR"/>
        </w:rPr>
        <w:t>d'adopter le projet de décisions figurant à l'Annexe 1 du présent document.</w:t>
      </w:r>
    </w:p>
    <w:p w14:paraId="3173DD71" w14:textId="544CC68D" w:rsidR="0023109C" w:rsidRDefault="0023109C" w:rsidP="002B6CE2">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1134"/>
        <w:textAlignment w:val="baseline"/>
        <w:outlineLvl w:val="1"/>
        <w:rPr>
          <w:rFonts w:eastAsia="Arial" w:cs="Arial"/>
          <w:b/>
          <w:bCs/>
          <w:caps/>
          <w:lang w:val="fr-FR"/>
        </w:rPr>
      </w:pPr>
    </w:p>
    <w:p w14:paraId="368ED8A5" w14:textId="77777777" w:rsidR="002B6CE2" w:rsidRDefault="002B6CE2" w:rsidP="002B6CE2">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1134"/>
        <w:textAlignment w:val="baseline"/>
        <w:outlineLvl w:val="1"/>
        <w:rPr>
          <w:rFonts w:eastAsia="Arial" w:cs="Arial"/>
          <w:caps/>
          <w:lang w:val="fr-FR"/>
        </w:rPr>
        <w:sectPr w:rsidR="002B6CE2" w:rsidSect="002B6CE2">
          <w:headerReference w:type="even" r:id="rId26"/>
          <w:headerReference w:type="default" r:id="rId27"/>
          <w:headerReference w:type="first" r:id="rId28"/>
          <w:footerReference w:type="first" r:id="rId29"/>
          <w:pgSz w:w="11906" w:h="16838" w:code="9"/>
          <w:pgMar w:top="1440" w:right="1440" w:bottom="1440" w:left="1440" w:header="568" w:footer="720" w:gutter="0"/>
          <w:cols w:space="720"/>
          <w:titlePg/>
          <w:docGrid w:linePitch="360"/>
        </w:sectPr>
      </w:pPr>
    </w:p>
    <w:p w14:paraId="0984E12F" w14:textId="77777777" w:rsidR="002B6CE2" w:rsidRDefault="002B6CE2" w:rsidP="002B6CE2">
      <w:pPr>
        <w:pStyle w:val="Heading3"/>
        <w:rPr>
          <w:lang w:val="fr-FR"/>
        </w:rPr>
      </w:pPr>
      <w:r>
        <w:rPr>
          <w:lang w:val="fr-FR"/>
        </w:rPr>
        <w:lastRenderedPageBreak/>
        <w:t>ANNEXE 1</w:t>
      </w:r>
    </w:p>
    <w:p w14:paraId="49BF8B96" w14:textId="5900CB1B" w:rsidR="002B6CE2" w:rsidRDefault="002B6CE2" w:rsidP="002B6CE2">
      <w:pPr>
        <w:jc w:val="center"/>
        <w:rPr>
          <w:lang w:val="fr-FR"/>
        </w:rPr>
      </w:pPr>
      <w:r>
        <w:rPr>
          <w:lang w:val="fr-FR"/>
        </w:rPr>
        <w:t>PROJET DE DÉCISIONS</w:t>
      </w:r>
    </w:p>
    <w:p w14:paraId="61322A0A" w14:textId="77777777" w:rsidR="002B6CE2" w:rsidRDefault="002B6CE2" w:rsidP="002B6CE2">
      <w:pPr>
        <w:jc w:val="center"/>
        <w:rPr>
          <w:lang w:val="fr-FR"/>
        </w:rPr>
      </w:pPr>
    </w:p>
    <w:p w14:paraId="545AC638" w14:textId="77777777" w:rsidR="002B6CE2" w:rsidRDefault="002B6CE2" w:rsidP="002B6CE2">
      <w:pPr>
        <w:pStyle w:val="Heading4"/>
        <w:rPr>
          <w:lang w:val="fr-FR"/>
        </w:rPr>
      </w:pPr>
      <w:r>
        <w:rPr>
          <w:lang w:val="fr-FR"/>
        </w:rPr>
        <w:t>ATLAS SUR LA MIGRATION DES ANIMAUX</w:t>
      </w:r>
    </w:p>
    <w:p w14:paraId="39732C2F" w14:textId="77777777" w:rsidR="002B6CE2" w:rsidRDefault="002B6CE2" w:rsidP="002B6CE2">
      <w:pPr>
        <w:jc w:val="both"/>
        <w:rPr>
          <w:lang w:val="fr-FR"/>
        </w:rPr>
      </w:pPr>
    </w:p>
    <w:p w14:paraId="4473CEA4" w14:textId="77777777" w:rsidR="002B6CE2" w:rsidRDefault="002B6CE2" w:rsidP="002B6CE2">
      <w:pPr>
        <w:jc w:val="both"/>
        <w:rPr>
          <w:lang w:val="fr-FR"/>
        </w:rPr>
      </w:pPr>
    </w:p>
    <w:p w14:paraId="1272D8C0" w14:textId="77777777" w:rsidR="002B6CE2" w:rsidRPr="003A697E" w:rsidRDefault="002B6CE2" w:rsidP="002B6CE2">
      <w:pPr>
        <w:pStyle w:val="Heading5"/>
        <w:ind w:left="0"/>
        <w:rPr>
          <w:lang w:val="fr-FR"/>
        </w:rPr>
      </w:pPr>
      <w:r>
        <w:rPr>
          <w:lang w:val="fr-FR"/>
        </w:rPr>
        <w:t>À l'attention des Parties</w:t>
      </w:r>
    </w:p>
    <w:p w14:paraId="5AF1F0C6" w14:textId="77777777" w:rsidR="002B6CE2" w:rsidRDefault="002B6CE2" w:rsidP="002B6CE2">
      <w:pPr>
        <w:ind w:left="360"/>
        <w:jc w:val="both"/>
        <w:rPr>
          <w:lang w:val="fr-FR"/>
        </w:rPr>
      </w:pPr>
    </w:p>
    <w:p w14:paraId="0EAED085" w14:textId="77777777" w:rsidR="002B6CE2" w:rsidRDefault="002B6CE2" w:rsidP="002B6CE2">
      <w:pPr>
        <w:ind w:left="851" w:hanging="851"/>
        <w:jc w:val="both"/>
        <w:rPr>
          <w:lang w:val="fr-FR"/>
        </w:rPr>
      </w:pPr>
      <w:r>
        <w:rPr>
          <w:lang w:val="fr-FR"/>
        </w:rPr>
        <w:t>14.AA</w:t>
      </w:r>
      <w:r>
        <w:rPr>
          <w:lang w:val="fr-FR"/>
        </w:rPr>
        <w:tab/>
        <w:t>Les Parties sont encouragées à :</w:t>
      </w:r>
    </w:p>
    <w:p w14:paraId="63824A11" w14:textId="77777777" w:rsidR="002B6CE2" w:rsidRDefault="002B6CE2" w:rsidP="002B6CE2">
      <w:pPr>
        <w:ind w:left="993" w:hanging="993"/>
        <w:jc w:val="both"/>
        <w:rPr>
          <w:lang w:val="fr-FR"/>
        </w:rPr>
      </w:pPr>
    </w:p>
    <w:p w14:paraId="18606085" w14:textId="77777777" w:rsidR="002B6CE2" w:rsidRDefault="002B6CE2" w:rsidP="002B6CE2">
      <w:pPr>
        <w:pStyle w:val="ListParagraph"/>
        <w:numPr>
          <w:ilvl w:val="0"/>
          <w:numId w:val="7"/>
        </w:numPr>
        <w:ind w:left="1418" w:hanging="567"/>
        <w:jc w:val="both"/>
        <w:rPr>
          <w:lang w:val="fr-FR"/>
        </w:rPr>
      </w:pPr>
      <w:r>
        <w:rPr>
          <w:lang w:val="fr-FR"/>
        </w:rPr>
        <w:t>utiliser, le cas échéant, les nombreux modules de l'atlas sur la migration des animaux préparés jusqu'à présent dans leurs politiques, leurs processus décisionnels et leur gestion, ainsi que dans la mise en œuvre des dispositions, résolutions et décisions de la Convention sur la conservation des espèces migratrices ;</w:t>
      </w:r>
    </w:p>
    <w:p w14:paraId="446388D6" w14:textId="77777777" w:rsidR="002B6CE2" w:rsidRDefault="002B6CE2" w:rsidP="002B6CE2">
      <w:pPr>
        <w:pStyle w:val="ListParagraph"/>
        <w:ind w:left="1418"/>
        <w:jc w:val="both"/>
        <w:rPr>
          <w:lang w:val="fr-FR"/>
        </w:rPr>
      </w:pPr>
    </w:p>
    <w:p w14:paraId="4A1835FC" w14:textId="051B062C" w:rsidR="002B6CE2" w:rsidRPr="002B6CE2" w:rsidRDefault="002B6CE2" w:rsidP="002B6CE2">
      <w:pPr>
        <w:pStyle w:val="ListParagraph"/>
        <w:numPr>
          <w:ilvl w:val="0"/>
          <w:numId w:val="7"/>
        </w:numPr>
        <w:ind w:left="1418" w:hanging="567"/>
        <w:jc w:val="both"/>
        <w:rPr>
          <w:lang w:val="fr-FR"/>
        </w:rPr>
      </w:pPr>
      <w:r>
        <w:rPr>
          <w:lang w:val="fr-FR"/>
        </w:rPr>
        <w:t>faire rapport à la Conférence des Parties, lors de sa 15</w:t>
      </w:r>
      <w:r>
        <w:rPr>
          <w:vertAlign w:val="superscript"/>
          <w:lang w:val="fr-FR"/>
        </w:rPr>
        <w:t>e</w:t>
      </w:r>
      <w:r>
        <w:rPr>
          <w:lang w:val="fr-FR"/>
        </w:rPr>
        <w:t xml:space="preserve"> Session, sur leur expérience en matière d'utilisation des modules de l'atlas.  </w:t>
      </w:r>
    </w:p>
    <w:p w14:paraId="1DDBCFA1" w14:textId="77777777" w:rsidR="002B6CE2" w:rsidRDefault="002B6CE2" w:rsidP="002B6CE2">
      <w:pPr>
        <w:jc w:val="both"/>
        <w:rPr>
          <w:lang w:val="fr-FR"/>
        </w:rPr>
      </w:pPr>
    </w:p>
    <w:p w14:paraId="14B9071E" w14:textId="77777777" w:rsidR="002B6CE2" w:rsidRDefault="002B6CE2" w:rsidP="002B6CE2">
      <w:pPr>
        <w:ind w:left="360"/>
        <w:jc w:val="both"/>
        <w:rPr>
          <w:lang w:val="fr-FR"/>
        </w:rPr>
      </w:pPr>
    </w:p>
    <w:p w14:paraId="1952C325" w14:textId="77777777" w:rsidR="002B6CE2" w:rsidRDefault="002B6CE2" w:rsidP="002B6CE2">
      <w:pPr>
        <w:pStyle w:val="Heading5"/>
        <w:ind w:left="0"/>
        <w:rPr>
          <w:lang w:val="fr-FR"/>
        </w:rPr>
      </w:pPr>
      <w:r>
        <w:rPr>
          <w:lang w:val="fr-FR"/>
        </w:rPr>
        <w:t>À l'attention du Secrétariat</w:t>
      </w:r>
    </w:p>
    <w:p w14:paraId="17153397" w14:textId="77777777" w:rsidR="002B6CE2" w:rsidRDefault="002B6CE2" w:rsidP="002B6CE2">
      <w:pPr>
        <w:ind w:left="360"/>
        <w:jc w:val="both"/>
        <w:rPr>
          <w:lang w:val="fr-FR"/>
        </w:rPr>
      </w:pPr>
    </w:p>
    <w:p w14:paraId="2368F6D5" w14:textId="77777777" w:rsidR="002B6CE2" w:rsidRDefault="002B6CE2" w:rsidP="002B6CE2">
      <w:pPr>
        <w:pStyle w:val="BodyTextIndent"/>
        <w:ind w:left="851" w:hanging="851"/>
        <w:rPr>
          <w:lang w:val="fr-FR"/>
        </w:rPr>
      </w:pPr>
      <w:r>
        <w:rPr>
          <w:lang w:val="fr-FR"/>
        </w:rPr>
        <w:t>14.BB</w:t>
      </w:r>
      <w:r>
        <w:rPr>
          <w:lang w:val="fr-FR"/>
        </w:rPr>
        <w:tab/>
        <w:t>Le Secrétariat devrait, sous réserve de la disponibilité de ressources externes et en coopération avec le Conseil scientifique :</w:t>
      </w:r>
    </w:p>
    <w:p w14:paraId="0CD20E17" w14:textId="77777777" w:rsidR="002B6CE2" w:rsidRDefault="002B6CE2" w:rsidP="002B6CE2">
      <w:pPr>
        <w:ind w:left="993" w:hanging="993"/>
        <w:jc w:val="both"/>
        <w:rPr>
          <w:lang w:val="fr-FR"/>
        </w:rPr>
      </w:pPr>
    </w:p>
    <w:p w14:paraId="7173517C" w14:textId="77777777" w:rsidR="002B6CE2" w:rsidRDefault="002B6CE2" w:rsidP="002B6CE2">
      <w:pPr>
        <w:pStyle w:val="ListParagraph"/>
        <w:numPr>
          <w:ilvl w:val="0"/>
          <w:numId w:val="8"/>
        </w:numPr>
        <w:ind w:left="1418" w:hanging="567"/>
        <w:jc w:val="both"/>
        <w:rPr>
          <w:lang w:val="fr-FR"/>
        </w:rPr>
      </w:pPr>
      <w:r>
        <w:rPr>
          <w:lang w:val="fr-FR"/>
        </w:rPr>
        <w:t xml:space="preserve">poursuivre l'élaboration des modules en préparation ;  </w:t>
      </w:r>
    </w:p>
    <w:p w14:paraId="7009E6AC" w14:textId="77777777" w:rsidR="002B6CE2" w:rsidRDefault="002B6CE2" w:rsidP="002B6CE2">
      <w:pPr>
        <w:pStyle w:val="ListParagraph"/>
        <w:ind w:left="1418"/>
        <w:jc w:val="both"/>
        <w:rPr>
          <w:lang w:val="fr-FR"/>
        </w:rPr>
      </w:pPr>
    </w:p>
    <w:p w14:paraId="46E35297" w14:textId="77777777" w:rsidR="002B6CE2" w:rsidRDefault="002B6CE2" w:rsidP="002B6CE2">
      <w:pPr>
        <w:pStyle w:val="ListParagraph"/>
        <w:numPr>
          <w:ilvl w:val="0"/>
          <w:numId w:val="8"/>
        </w:numPr>
        <w:ind w:left="1418" w:hanging="567"/>
        <w:jc w:val="both"/>
        <w:rPr>
          <w:lang w:val="fr-FR"/>
        </w:rPr>
      </w:pPr>
      <w:r>
        <w:rPr>
          <w:lang w:val="fr-FR"/>
        </w:rPr>
        <w:t>promouvoir la connaissance et l'utilisation des modules existants par des moyens appropriés, tels que des webinaires ;</w:t>
      </w:r>
    </w:p>
    <w:p w14:paraId="19E4394F" w14:textId="77777777" w:rsidR="002B6CE2" w:rsidRPr="00347A2A" w:rsidRDefault="002B6CE2" w:rsidP="002B6CE2">
      <w:pPr>
        <w:pStyle w:val="ListParagraph"/>
        <w:ind w:left="1418"/>
        <w:rPr>
          <w:lang w:val="fr-FR"/>
        </w:rPr>
      </w:pPr>
    </w:p>
    <w:p w14:paraId="637745FE" w14:textId="77777777" w:rsidR="002B6CE2" w:rsidRDefault="002B6CE2" w:rsidP="002B6CE2">
      <w:pPr>
        <w:pStyle w:val="ListParagraph"/>
        <w:numPr>
          <w:ilvl w:val="0"/>
          <w:numId w:val="8"/>
        </w:numPr>
        <w:ind w:left="1418" w:hanging="567"/>
        <w:jc w:val="both"/>
        <w:rPr>
          <w:lang w:val="fr-FR"/>
        </w:rPr>
      </w:pPr>
      <w:r>
        <w:rPr>
          <w:lang w:val="fr-FR"/>
        </w:rPr>
        <w:t>examiner la nécessité de mettre à jour les modules existants et d'améliorer leur facilité d'utilisation ;</w:t>
      </w:r>
    </w:p>
    <w:p w14:paraId="71C50740" w14:textId="77777777" w:rsidR="002B6CE2" w:rsidRDefault="002B6CE2" w:rsidP="002B6CE2">
      <w:pPr>
        <w:pStyle w:val="ListParagraph"/>
        <w:ind w:left="1418"/>
        <w:jc w:val="both"/>
        <w:rPr>
          <w:lang w:val="fr-FR"/>
        </w:rPr>
      </w:pPr>
    </w:p>
    <w:p w14:paraId="2EB40442" w14:textId="77777777" w:rsidR="002B6CE2" w:rsidRDefault="002B6CE2" w:rsidP="002B6CE2">
      <w:pPr>
        <w:pStyle w:val="ListParagraph"/>
        <w:numPr>
          <w:ilvl w:val="0"/>
          <w:numId w:val="8"/>
        </w:numPr>
        <w:ind w:left="1418" w:hanging="567"/>
        <w:jc w:val="both"/>
        <w:rPr>
          <w:lang w:val="fr-FR"/>
        </w:rPr>
      </w:pPr>
      <w:r>
        <w:rPr>
          <w:lang w:val="fr-FR"/>
        </w:rPr>
        <w:t xml:space="preserve">étudier les possibilités d'élaborer des modules supplémentaires, en consultation avec le Conseil scientifique ; </w:t>
      </w:r>
    </w:p>
    <w:p w14:paraId="4B1421EE" w14:textId="77777777" w:rsidR="002B6CE2" w:rsidRPr="00A7081A" w:rsidRDefault="002B6CE2" w:rsidP="002B6CE2">
      <w:pPr>
        <w:pStyle w:val="ListParagraph"/>
        <w:ind w:left="1418"/>
        <w:rPr>
          <w:lang w:val="fr-FR"/>
        </w:rPr>
      </w:pPr>
    </w:p>
    <w:p w14:paraId="5E668C03" w14:textId="77777777" w:rsidR="002B6CE2" w:rsidRPr="006338FB" w:rsidRDefault="002B6CE2" w:rsidP="002B6CE2">
      <w:pPr>
        <w:pStyle w:val="ListParagraph"/>
        <w:numPr>
          <w:ilvl w:val="0"/>
          <w:numId w:val="8"/>
        </w:numPr>
        <w:ind w:left="1418" w:hanging="567"/>
        <w:jc w:val="both"/>
        <w:rPr>
          <w:lang w:val="fr-FR"/>
        </w:rPr>
      </w:pPr>
      <w:r>
        <w:rPr>
          <w:lang w:val="fr-FR"/>
        </w:rPr>
        <w:t>examiner les possibilités d'améliorer la disponibilité des différents modules de l'atlas, par exemple au moyen d'une base de données mondiale.</w:t>
      </w:r>
    </w:p>
    <w:p w14:paraId="42FDFE60" w14:textId="77777777" w:rsidR="002B6CE2" w:rsidRPr="002B6CE2" w:rsidRDefault="002B6CE2" w:rsidP="002B6CE2">
      <w:pPr>
        <w:widowControl w:val="0"/>
        <w:pBdr>
          <w:top w:val="single" w:sz="6" w:space="0" w:color="FFFFFF"/>
          <w:left w:val="single" w:sz="6" w:space="0" w:color="FFFFFF"/>
          <w:bottom w:val="single" w:sz="6" w:space="0" w:color="FFFFFF"/>
          <w:right w:val="single" w:sz="6" w:space="0" w:color="FFFFFF"/>
        </w:pBdr>
        <w:suppressAutoHyphens/>
        <w:autoSpaceDE w:val="0"/>
        <w:autoSpaceDN w:val="0"/>
        <w:textAlignment w:val="baseline"/>
        <w:outlineLvl w:val="1"/>
        <w:rPr>
          <w:rFonts w:eastAsia="Arial" w:cs="Arial"/>
          <w:caps/>
          <w:lang w:val="fr-FR"/>
        </w:rPr>
      </w:pPr>
    </w:p>
    <w:sectPr w:rsidR="002B6CE2" w:rsidRPr="002B6CE2" w:rsidSect="005357EB">
      <w:headerReference w:type="default" r:id="rId30"/>
      <w:headerReference w:type="first" r:id="rId3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34916" w14:textId="77777777" w:rsidR="00EC2A58" w:rsidRDefault="00EC2A58" w:rsidP="00EC2A58">
      <w:r>
        <w:separator/>
      </w:r>
    </w:p>
  </w:endnote>
  <w:endnote w:type="continuationSeparator" w:id="0">
    <w:p w14:paraId="5316F22D" w14:textId="77777777" w:rsidR="00EC2A58" w:rsidRDefault="00EC2A58" w:rsidP="00EC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637487"/>
      <w:docPartObj>
        <w:docPartGallery w:val="Page Numbers (Bottom of Page)"/>
        <w:docPartUnique/>
      </w:docPartObj>
    </w:sdtPr>
    <w:sdtEndPr>
      <w:rPr>
        <w:noProof/>
        <w:sz w:val="18"/>
        <w:szCs w:val="18"/>
      </w:rPr>
    </w:sdtEndPr>
    <w:sdtContent>
      <w:p w14:paraId="5C085032" w14:textId="77777777" w:rsidR="00EC2A58" w:rsidRPr="00EC2A58" w:rsidRDefault="00EC2A58">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59031"/>
      <w:docPartObj>
        <w:docPartGallery w:val="Page Numbers (Bottom of Page)"/>
        <w:docPartUnique/>
      </w:docPartObj>
    </w:sdtPr>
    <w:sdtEndPr>
      <w:rPr>
        <w:noProof/>
        <w:sz w:val="18"/>
        <w:szCs w:val="18"/>
      </w:rPr>
    </w:sdtEndPr>
    <w:sdtContent>
      <w:p w14:paraId="51023055" w14:textId="412373D8" w:rsidR="00EC2A58" w:rsidRPr="00EC2A58" w:rsidRDefault="00EC2A58" w:rsidP="002B6CE2">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721626793"/>
      <w:docPartObj>
        <w:docPartGallery w:val="Page Numbers (Bottom of Page)"/>
        <w:docPartUnique/>
      </w:docPartObj>
    </w:sdtPr>
    <w:sdtEndPr>
      <w:rPr>
        <w:noProof/>
      </w:rPr>
    </w:sdtEndPr>
    <w:sdtContent>
      <w:p w14:paraId="572B8E9C" w14:textId="5DA8CBFA" w:rsidR="002B6CE2" w:rsidRPr="002B6CE2" w:rsidRDefault="002B6CE2" w:rsidP="002B6CE2">
        <w:pPr>
          <w:pStyle w:val="Footer"/>
          <w:jc w:val="center"/>
          <w:rPr>
            <w:sz w:val="18"/>
            <w:szCs w:val="18"/>
          </w:rPr>
        </w:pPr>
        <w:r w:rsidRPr="002B6CE2">
          <w:rPr>
            <w:sz w:val="18"/>
            <w:szCs w:val="18"/>
          </w:rPr>
          <w:fldChar w:fldCharType="begin"/>
        </w:r>
        <w:r w:rsidRPr="002B6CE2">
          <w:rPr>
            <w:sz w:val="18"/>
            <w:szCs w:val="18"/>
          </w:rPr>
          <w:instrText xml:space="preserve"> PAGE   \* MERGEFORMAT </w:instrText>
        </w:r>
        <w:r w:rsidRPr="002B6CE2">
          <w:rPr>
            <w:sz w:val="18"/>
            <w:szCs w:val="18"/>
          </w:rPr>
          <w:fldChar w:fldCharType="separate"/>
        </w:r>
        <w:r w:rsidRPr="002B6CE2">
          <w:rPr>
            <w:noProof/>
            <w:sz w:val="18"/>
            <w:szCs w:val="18"/>
          </w:rPr>
          <w:t>2</w:t>
        </w:r>
        <w:r w:rsidRPr="002B6CE2">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B250" w14:textId="77777777" w:rsidR="00EC2A58" w:rsidRDefault="00EC2A58" w:rsidP="00EC2A58">
      <w:r>
        <w:separator/>
      </w:r>
    </w:p>
  </w:footnote>
  <w:footnote w:type="continuationSeparator" w:id="0">
    <w:p w14:paraId="4C7C2360" w14:textId="77777777" w:rsidR="00EC2A58" w:rsidRDefault="00EC2A58" w:rsidP="00EC2A58">
      <w:r>
        <w:continuationSeparator/>
      </w:r>
    </w:p>
  </w:footnote>
  <w:footnote w:id="1">
    <w:p w14:paraId="02CED0DB" w14:textId="77777777" w:rsidR="002B6CE2" w:rsidRPr="002B6CE2" w:rsidRDefault="002B6CE2" w:rsidP="002B6CE2">
      <w:pPr>
        <w:pStyle w:val="FootnoteText"/>
        <w:rPr>
          <w:rFonts w:ascii="Arial" w:hAnsi="Arial" w:cs="Arial"/>
          <w:sz w:val="16"/>
          <w:szCs w:val="16"/>
          <w:lang w:val="fr-FR"/>
        </w:rPr>
      </w:pPr>
      <w:r w:rsidRPr="002B6CE2">
        <w:rPr>
          <w:rStyle w:val="FootnoteReference"/>
          <w:rFonts w:ascii="Arial" w:hAnsi="Arial" w:cs="Arial"/>
          <w:sz w:val="16"/>
          <w:szCs w:val="16"/>
          <w:lang w:val="fr-FR"/>
        </w:rPr>
        <w:footnoteRef/>
      </w:r>
      <w:r w:rsidRPr="002B6CE2">
        <w:rPr>
          <w:rFonts w:ascii="Arial" w:hAnsi="Arial" w:cs="Arial"/>
          <w:sz w:val="16"/>
          <w:szCs w:val="16"/>
        </w:rPr>
        <w:t xml:space="preserve"> Matthew J. Kauffman, et autres, </w:t>
      </w:r>
      <w:r w:rsidRPr="002B6CE2">
        <w:rPr>
          <w:rFonts w:ascii="Arial" w:hAnsi="Arial" w:cs="Arial"/>
          <w:i/>
          <w:iCs/>
          <w:sz w:val="16"/>
          <w:szCs w:val="16"/>
        </w:rPr>
        <w:t>Mapping out a future for ungulate migrations</w:t>
      </w:r>
      <w:r w:rsidRPr="002B6CE2">
        <w:rPr>
          <w:rFonts w:ascii="Arial" w:hAnsi="Arial" w:cs="Arial"/>
          <w:sz w:val="16"/>
          <w:szCs w:val="16"/>
        </w:rPr>
        <w:t xml:space="preserve">. </w:t>
      </w:r>
      <w:r w:rsidRPr="002B6CE2">
        <w:rPr>
          <w:rFonts w:ascii="Arial" w:hAnsi="Arial" w:cs="Arial"/>
          <w:sz w:val="16"/>
          <w:szCs w:val="16"/>
          <w:lang w:val="fr-FR"/>
        </w:rPr>
        <w:t xml:space="preserve">Science 372, 566-569 (2021). DOI: </w:t>
      </w:r>
      <w:hyperlink r:id="rId1" w:history="1">
        <w:r w:rsidRPr="002B6CE2">
          <w:rPr>
            <w:rStyle w:val="Hyperlink"/>
            <w:rFonts w:ascii="Arial" w:hAnsi="Arial" w:cs="Arial"/>
            <w:sz w:val="16"/>
            <w:szCs w:val="16"/>
            <w:lang w:val="fr-FR"/>
          </w:rPr>
          <w:t>10.1126/science.abf0998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B020" w14:textId="040AD4E2" w:rsidR="00EC2A58" w:rsidRPr="00EC2A58" w:rsidRDefault="00EC2A5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textAlignment w:val="baseline"/>
      <w:rPr>
        <w:rFonts w:ascii="Calibri" w:eastAsia="Calibri" w:hAnsi="Calibri" w:cs="Times New Roman"/>
        <w:i/>
        <w:sz w:val="18"/>
        <w:szCs w:val="18"/>
        <w:lang w:val="fr-FR"/>
      </w:rPr>
    </w:pPr>
    <w:r w:rsidRPr="00EC2A58">
      <w:rPr>
        <w:rFonts w:eastAsia="Arial" w:cs="Arial"/>
        <w:i/>
        <w:sz w:val="18"/>
        <w:szCs w:val="18"/>
        <w:lang w:val="fr-FR"/>
      </w:rPr>
      <w:t>UNEP/CMS/COP1</w:t>
    </w:r>
    <w:r w:rsidR="00BA33FE">
      <w:rPr>
        <w:rFonts w:eastAsia="Arial" w:cs="Arial"/>
        <w:i/>
        <w:sz w:val="18"/>
        <w:szCs w:val="18"/>
        <w:lang w:val="fr-FR"/>
      </w:rPr>
      <w:t>4</w:t>
    </w:r>
    <w:r w:rsidRPr="00EC2A58">
      <w:rPr>
        <w:rFonts w:eastAsia="Arial" w:cs="Arial"/>
        <w:i/>
        <w:sz w:val="18"/>
        <w:szCs w:val="18"/>
        <w:lang w:val="fr-FR"/>
      </w:rPr>
      <w:t>/Doc.</w:t>
    </w:r>
    <w:r w:rsidRPr="00EC2A58">
      <w:rPr>
        <w:rFonts w:eastAsia="Arial" w:cs="Arial"/>
        <w:i/>
        <w:sz w:val="18"/>
        <w:szCs w:val="18"/>
        <w:shd w:val="clear" w:color="auto" w:fill="FFFF00"/>
        <w:lang w:val="fr-FR"/>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38BB" w14:textId="1924C7FE" w:rsidR="00EC2A58" w:rsidRPr="00EC2A58" w:rsidRDefault="00EC2A5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jc w:val="right"/>
      <w:textAlignment w:val="baseline"/>
      <w:rPr>
        <w:rFonts w:ascii="Calibri" w:eastAsia="Calibri" w:hAnsi="Calibri" w:cs="Times New Roman"/>
        <w:i/>
        <w:sz w:val="18"/>
        <w:szCs w:val="18"/>
        <w:lang w:val="fr-FR"/>
      </w:rPr>
    </w:pPr>
    <w:r w:rsidRPr="00EC2A58">
      <w:rPr>
        <w:rFonts w:eastAsia="Arial" w:cs="Arial"/>
        <w:i/>
        <w:sz w:val="18"/>
        <w:szCs w:val="18"/>
        <w:lang w:val="fr-FR"/>
      </w:rPr>
      <w:t>UNEP/CMS/COP</w:t>
    </w:r>
    <w:r w:rsidR="00BA33FE">
      <w:rPr>
        <w:rFonts w:eastAsia="Arial" w:cs="Arial"/>
        <w:i/>
        <w:sz w:val="18"/>
        <w:szCs w:val="18"/>
        <w:lang w:val="fr-FR"/>
      </w:rPr>
      <w:t>14</w:t>
    </w:r>
    <w:r w:rsidRPr="00EC2A58">
      <w:rPr>
        <w:rFonts w:eastAsia="Arial" w:cs="Arial"/>
        <w:i/>
        <w:sz w:val="18"/>
        <w:szCs w:val="18"/>
        <w:lang w:val="fr-FR"/>
      </w:rPr>
      <w:t>/Doc.</w:t>
    </w:r>
    <w:r w:rsidRPr="00EC2A58">
      <w:rPr>
        <w:rFonts w:eastAsia="Arial" w:cs="Arial"/>
        <w:i/>
        <w:sz w:val="18"/>
        <w:szCs w:val="18"/>
        <w:shd w:val="clear" w:color="auto" w:fill="FFFF00"/>
        <w:lang w:val="fr-FR"/>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249F" w14:textId="169E0A9A" w:rsidR="00EC2A58" w:rsidRPr="00EC2A58" w:rsidRDefault="00BA33FE" w:rsidP="00EC2A58">
    <w:pPr>
      <w:widowControl w:val="0"/>
      <w:tabs>
        <w:tab w:val="center" w:pos="4153"/>
        <w:tab w:val="right" w:pos="8306"/>
      </w:tabs>
      <w:suppressAutoHyphens/>
      <w:autoSpaceDE w:val="0"/>
      <w:autoSpaceDN w:val="0"/>
      <w:ind w:right="-547"/>
      <w:jc w:val="right"/>
      <w:textAlignment w:val="baseline"/>
      <w:rPr>
        <w:rFonts w:eastAsia="Times New Roman" w:cs="Times New Roman"/>
        <w:sz w:val="18"/>
        <w:szCs w:val="20"/>
        <w:lang w:val="en-GB"/>
      </w:rPr>
    </w:pPr>
    <w:r>
      <w:rPr>
        <w:noProof/>
      </w:rPr>
      <w:drawing>
        <wp:anchor distT="0" distB="0" distL="114300" distR="114300" simplePos="0" relativeHeight="251662336" behindDoc="0" locked="0" layoutInCell="1" allowOverlap="1" wp14:anchorId="4809611B" wp14:editId="42B1BC04">
          <wp:simplePos x="0" y="0"/>
          <wp:positionH relativeFrom="column">
            <wp:posOffset>38100</wp:posOffset>
          </wp:positionH>
          <wp:positionV relativeFrom="paragraph">
            <wp:posOffset>-85725</wp:posOffset>
          </wp:positionV>
          <wp:extent cx="714375" cy="714375"/>
          <wp:effectExtent l="0" t="0" r="9525" b="9525"/>
          <wp:wrapSquare wrapText="bothSides"/>
          <wp:docPr id="79"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anchor>
      </w:drawing>
    </w:r>
    <w:r w:rsidR="00EC2A58" w:rsidRPr="00EC2A58">
      <w:rPr>
        <w:rFonts w:eastAsia="Times New Roman" w:cs="Times New Roman"/>
        <w:noProof/>
        <w:sz w:val="18"/>
        <w:szCs w:val="20"/>
      </w:rPr>
      <w:drawing>
        <wp:anchor distT="0" distB="0" distL="114300" distR="114300" simplePos="0" relativeHeight="251659264" behindDoc="0" locked="0" layoutInCell="1" allowOverlap="1" wp14:anchorId="7015B685" wp14:editId="0C07FA77">
          <wp:simplePos x="0" y="0"/>
          <wp:positionH relativeFrom="column">
            <wp:posOffset>875666</wp:posOffset>
          </wp:positionH>
          <wp:positionV relativeFrom="paragraph">
            <wp:posOffset>1901</wp:posOffset>
          </wp:positionV>
          <wp:extent cx="431167" cy="440685"/>
          <wp:effectExtent l="0" t="0" r="6983" b="0"/>
          <wp:wrapTight wrapText="bothSides">
            <wp:wrapPolygon edited="0">
              <wp:start x="0" y="0"/>
              <wp:lineTo x="0" y="20542"/>
              <wp:lineTo x="20995" y="20542"/>
              <wp:lineTo x="20995" y="0"/>
              <wp:lineTo x="0" y="0"/>
            </wp:wrapPolygon>
          </wp:wrapTight>
          <wp:docPr id="80"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2780" t="-1236" r="60236" b="48836"/>
                  <a:stretch>
                    <a:fillRect/>
                  </a:stretch>
                </pic:blipFill>
                <pic:spPr>
                  <a:xfrm>
                    <a:off x="0" y="0"/>
                    <a:ext cx="431167" cy="440685"/>
                  </a:xfrm>
                  <a:prstGeom prst="rect">
                    <a:avLst/>
                  </a:prstGeom>
                  <a:noFill/>
                  <a:ln>
                    <a:noFill/>
                    <a:prstDash/>
                  </a:ln>
                </pic:spPr>
              </pic:pic>
            </a:graphicData>
          </a:graphic>
        </wp:anchor>
      </w:drawing>
    </w:r>
    <w:r w:rsidR="00EC2A58" w:rsidRPr="00EC2A58">
      <w:rPr>
        <w:rFonts w:eastAsia="Times New Roman" w:cs="Times New Roman"/>
        <w:noProof/>
        <w:sz w:val="4"/>
        <w:szCs w:val="4"/>
        <w:lang w:val="en-GB"/>
      </w:rPr>
      <w:drawing>
        <wp:anchor distT="0" distB="0" distL="114300" distR="114300" simplePos="0" relativeHeight="251661312" behindDoc="0" locked="0" layoutInCell="1" allowOverlap="1" wp14:anchorId="29205B4F" wp14:editId="595BA264">
          <wp:simplePos x="0" y="0"/>
          <wp:positionH relativeFrom="column">
            <wp:posOffset>5571494</wp:posOffset>
          </wp:positionH>
          <wp:positionV relativeFrom="paragraph">
            <wp:posOffset>161291</wp:posOffset>
          </wp:positionV>
          <wp:extent cx="590546" cy="278133"/>
          <wp:effectExtent l="0" t="0" r="4" b="7617"/>
          <wp:wrapTight wrapText="bothSides">
            <wp:wrapPolygon edited="0">
              <wp:start x="0" y="0"/>
              <wp:lineTo x="0" y="20712"/>
              <wp:lineTo x="20903" y="20712"/>
              <wp:lineTo x="20903" y="0"/>
              <wp:lineTo x="0" y="0"/>
            </wp:wrapPolygon>
          </wp:wrapTight>
          <wp:docPr id="8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590546" cy="278133"/>
                  </a:xfrm>
                  <a:prstGeom prst="rect">
                    <a:avLst/>
                  </a:prstGeom>
                  <a:noFill/>
                  <a:ln>
                    <a:noFill/>
                    <a:prstDash/>
                  </a:ln>
                </pic:spPr>
              </pic:pic>
            </a:graphicData>
          </a:graphic>
        </wp:anchor>
      </w:drawing>
    </w:r>
  </w:p>
  <w:p w14:paraId="1882C2A7" w14:textId="77777777" w:rsidR="00EC2A58" w:rsidRDefault="00EC2A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3B6C" w14:textId="77777777" w:rsidR="002B6CE2" w:rsidRPr="00661875" w:rsidRDefault="002B6CE2" w:rsidP="002B6CE2">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20</w:t>
    </w:r>
  </w:p>
  <w:p w14:paraId="76D10D2D" w14:textId="4CF36FC2" w:rsidR="002B6CE2" w:rsidRPr="002B6CE2" w:rsidRDefault="002B6CE2" w:rsidP="002B6C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C0E8" w14:textId="77777777" w:rsidR="002B6CE2" w:rsidRPr="00661875" w:rsidRDefault="002B6CE2" w:rsidP="002B6CE2">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20</w:t>
    </w:r>
  </w:p>
  <w:p w14:paraId="41B44568" w14:textId="3BD7833E" w:rsidR="002B6CE2" w:rsidRPr="002B6CE2" w:rsidRDefault="002B6CE2" w:rsidP="002B6CE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991A" w14:textId="40686F6C" w:rsidR="0023109C" w:rsidRPr="00661875" w:rsidRDefault="0023109C" w:rsidP="0023109C">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sidR="002B6CE2">
      <w:rPr>
        <w:rFonts w:cs="Arial"/>
        <w:i/>
        <w:sz w:val="18"/>
        <w:szCs w:val="18"/>
        <w:lang w:val="de-DE"/>
      </w:rPr>
      <w:t>20</w:t>
    </w:r>
  </w:p>
  <w:p w14:paraId="2265E9D1" w14:textId="77777777" w:rsidR="0023109C" w:rsidRDefault="0023109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4627" w14:textId="1E9457EF" w:rsidR="00B459FD" w:rsidRPr="002E0DE9" w:rsidRDefault="002B6CE2" w:rsidP="00842B75">
    <w:pPr>
      <w:pStyle w:val="Header"/>
      <w:pBdr>
        <w:bottom w:val="single" w:sz="4" w:space="1" w:color="auto"/>
      </w:pBdr>
      <w:jc w:val="right"/>
      <w:rPr>
        <w:i/>
        <w:sz w:val="18"/>
        <w:szCs w:val="18"/>
      </w:rPr>
    </w:pPr>
    <w:r>
      <w:rPr>
        <w:rFonts w:eastAsia="Times New Roman" w:cs="Arial"/>
        <w:i/>
        <w:sz w:val="18"/>
        <w:szCs w:val="18"/>
        <w:lang w:val="en-GB"/>
      </w:rPr>
      <w:t>UNEP/CMS/COP14/Doc.20/Annexe 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9B719" w14:textId="77777777" w:rsidR="00B459FD" w:rsidRPr="002E0DE9" w:rsidRDefault="00B459FD" w:rsidP="002E0DE9">
    <w:pPr>
      <w:tabs>
        <w:tab w:val="center" w:pos="4680"/>
        <w:tab w:val="right" w:pos="9360"/>
      </w:tabs>
      <w:suppressAutoHyphens/>
      <w:autoSpaceDN w:val="0"/>
      <w:ind w:right="-547"/>
      <w:jc w:val="right"/>
      <w:textAlignment w:val="baseline"/>
      <w:rPr>
        <w:rFonts w:ascii="Calibri" w:eastAsia="Calibri" w:hAnsi="Calibri" w:cs="Times New Roman"/>
        <w:lang w:val="fr-FR"/>
      </w:rPr>
    </w:pPr>
  </w:p>
  <w:p w14:paraId="2C022754" w14:textId="77777777" w:rsidR="00B459FD" w:rsidRPr="003A697E" w:rsidRDefault="002B6CE2" w:rsidP="003A697E">
    <w:pPr>
      <w:pStyle w:val="Heading1"/>
      <w:rPr>
        <w:sz w:val="18"/>
        <w:szCs w:val="18"/>
      </w:rPr>
    </w:pPr>
    <w:r>
      <w:rPr>
        <w:sz w:val="18"/>
        <w:szCs w:val="18"/>
      </w:rPr>
      <w:t>UNEP/CMS/COP14/Doc.20/Annex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2B3C"/>
    <w:multiLevelType w:val="hybridMultilevel"/>
    <w:tmpl w:val="CE424D7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C5C3A71"/>
    <w:multiLevelType w:val="hybridMultilevel"/>
    <w:tmpl w:val="853CD46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06C1200"/>
    <w:multiLevelType w:val="hybridMultilevel"/>
    <w:tmpl w:val="59F2EC9E"/>
    <w:lvl w:ilvl="0" w:tplc="0C6E5A18">
      <w:start w:val="1"/>
      <w:numFmt w:val="decimal"/>
      <w:lvlText w:val="%1."/>
      <w:lvlJc w:val="left"/>
      <w:pPr>
        <w:ind w:left="720" w:hanging="360"/>
      </w:pPr>
      <w:rPr>
        <w:b w:val="0"/>
        <w:bCs/>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28C03F6"/>
    <w:multiLevelType w:val="hybridMultilevel"/>
    <w:tmpl w:val="EBDE275E"/>
    <w:lvl w:ilvl="0" w:tplc="157A68C6">
      <w:start w:val="8"/>
      <w:numFmt w:val="bullet"/>
      <w:lvlText w:val=""/>
      <w:lvlJc w:val="left"/>
      <w:pPr>
        <w:ind w:left="927" w:hanging="360"/>
      </w:pPr>
      <w:rPr>
        <w:rFonts w:ascii="Symbol" w:eastAsiaTheme="minorHAnsi" w:hAnsi="Symbol" w:cs="Arial"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4" w15:restartNumberingAfterBreak="0">
    <w:nsid w:val="54F4688C"/>
    <w:multiLevelType w:val="hybridMultilevel"/>
    <w:tmpl w:val="049C56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5F67805"/>
    <w:multiLevelType w:val="hybridMultilevel"/>
    <w:tmpl w:val="3F00605E"/>
    <w:lvl w:ilvl="0" w:tplc="20000001">
      <w:start w:val="1"/>
      <w:numFmt w:val="bullet"/>
      <w:lvlText w:val=""/>
      <w:lvlJc w:val="left"/>
      <w:pPr>
        <w:ind w:left="927" w:hanging="360"/>
      </w:pPr>
      <w:rPr>
        <w:rFonts w:ascii="Symbol" w:hAnsi="Symbol"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6" w15:restartNumberingAfterBreak="0">
    <w:nsid w:val="7B36076D"/>
    <w:multiLevelType w:val="hybridMultilevel"/>
    <w:tmpl w:val="3AA2A316"/>
    <w:lvl w:ilvl="0" w:tplc="7C3A19F6">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238902923">
    <w:abstractNumId w:val="4"/>
  </w:num>
  <w:num w:numId="2" w16cid:durableId="1835983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42247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1893966">
    <w:abstractNumId w:val="2"/>
  </w:num>
  <w:num w:numId="5" w16cid:durableId="54550226">
    <w:abstractNumId w:val="3"/>
  </w:num>
  <w:num w:numId="6" w16cid:durableId="1537280831">
    <w:abstractNumId w:val="5"/>
  </w:num>
  <w:num w:numId="7" w16cid:durableId="427239303">
    <w:abstractNumId w:val="1"/>
  </w:num>
  <w:num w:numId="8" w16cid:durableId="822618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58"/>
    <w:rsid w:val="00047C7D"/>
    <w:rsid w:val="000C013C"/>
    <w:rsid w:val="000D2642"/>
    <w:rsid w:val="0023109C"/>
    <w:rsid w:val="00233921"/>
    <w:rsid w:val="002B6CE2"/>
    <w:rsid w:val="003831DB"/>
    <w:rsid w:val="003C3870"/>
    <w:rsid w:val="004465FF"/>
    <w:rsid w:val="005330F7"/>
    <w:rsid w:val="00563598"/>
    <w:rsid w:val="005D1E01"/>
    <w:rsid w:val="00870459"/>
    <w:rsid w:val="00871276"/>
    <w:rsid w:val="00896FBB"/>
    <w:rsid w:val="00AD2748"/>
    <w:rsid w:val="00B459FD"/>
    <w:rsid w:val="00BA33FE"/>
    <w:rsid w:val="00BB2C32"/>
    <w:rsid w:val="00E65072"/>
    <w:rsid w:val="00EC2A58"/>
    <w:rsid w:val="00F055E9"/>
    <w:rsid w:val="00F9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22B7ADB"/>
  <w15:chartTrackingRefBased/>
  <w15:docId w15:val="{BB58DAED-ED4B-40F0-A0D1-FB7BD4FA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CE2"/>
    <w:pPr>
      <w:keepNext/>
      <w:pBdr>
        <w:bottom w:val="single" w:sz="4" w:space="1" w:color="auto"/>
      </w:pBdr>
      <w:tabs>
        <w:tab w:val="center" w:pos="4680"/>
        <w:tab w:val="right" w:pos="9360"/>
      </w:tabs>
      <w:suppressAutoHyphens/>
      <w:autoSpaceDN w:val="0"/>
      <w:ind w:right="-547"/>
      <w:textAlignment w:val="baseline"/>
      <w:outlineLvl w:val="0"/>
    </w:pPr>
    <w:rPr>
      <w:i/>
      <w:iCs/>
      <w:lang w:val="en-GB"/>
    </w:rPr>
  </w:style>
  <w:style w:type="paragraph" w:styleId="Heading3">
    <w:name w:val="heading 3"/>
    <w:basedOn w:val="Normal"/>
    <w:next w:val="Normal"/>
    <w:link w:val="Heading3Char"/>
    <w:uiPriority w:val="9"/>
    <w:unhideWhenUsed/>
    <w:qFormat/>
    <w:rsid w:val="002B6CE2"/>
    <w:pPr>
      <w:keepNext/>
      <w:spacing w:after="160" w:line="259" w:lineRule="auto"/>
      <w:jc w:val="right"/>
      <w:outlineLvl w:val="2"/>
    </w:pPr>
    <w:rPr>
      <w:b/>
      <w:bCs/>
      <w:lang w:val="en-GB"/>
    </w:rPr>
  </w:style>
  <w:style w:type="paragraph" w:styleId="Heading4">
    <w:name w:val="heading 4"/>
    <w:basedOn w:val="Normal"/>
    <w:next w:val="Normal"/>
    <w:link w:val="Heading4Char"/>
    <w:uiPriority w:val="9"/>
    <w:unhideWhenUsed/>
    <w:qFormat/>
    <w:rsid w:val="002B6CE2"/>
    <w:pPr>
      <w:keepNext/>
      <w:spacing w:after="160" w:line="259" w:lineRule="auto"/>
      <w:jc w:val="center"/>
      <w:outlineLvl w:val="3"/>
    </w:pPr>
    <w:rPr>
      <w:b/>
      <w:bCs/>
      <w:lang w:val="en-GB"/>
    </w:rPr>
  </w:style>
  <w:style w:type="paragraph" w:styleId="Heading5">
    <w:name w:val="heading 5"/>
    <w:basedOn w:val="Normal"/>
    <w:next w:val="Normal"/>
    <w:link w:val="Heading5Char"/>
    <w:uiPriority w:val="9"/>
    <w:unhideWhenUsed/>
    <w:qFormat/>
    <w:rsid w:val="002B6CE2"/>
    <w:pPr>
      <w:keepNext/>
      <w:ind w:left="360"/>
      <w:jc w:val="both"/>
      <w:outlineLvl w:val="4"/>
    </w:pPr>
    <w:rPr>
      <w:b/>
      <w:bCs/>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A58"/>
    <w:pPr>
      <w:tabs>
        <w:tab w:val="center" w:pos="4680"/>
        <w:tab w:val="right" w:pos="9360"/>
      </w:tabs>
    </w:pPr>
  </w:style>
  <w:style w:type="character" w:customStyle="1" w:styleId="HeaderChar">
    <w:name w:val="Header Char"/>
    <w:basedOn w:val="DefaultParagraphFont"/>
    <w:link w:val="Header"/>
    <w:uiPriority w:val="99"/>
    <w:rsid w:val="00EC2A58"/>
  </w:style>
  <w:style w:type="paragraph" w:styleId="Footer">
    <w:name w:val="footer"/>
    <w:basedOn w:val="Normal"/>
    <w:link w:val="FooterChar"/>
    <w:uiPriority w:val="99"/>
    <w:unhideWhenUsed/>
    <w:rsid w:val="00EC2A58"/>
    <w:pPr>
      <w:tabs>
        <w:tab w:val="center" w:pos="4680"/>
        <w:tab w:val="right" w:pos="9360"/>
      </w:tabs>
    </w:pPr>
  </w:style>
  <w:style w:type="character" w:customStyle="1" w:styleId="FooterChar">
    <w:name w:val="Footer Char"/>
    <w:basedOn w:val="DefaultParagraphFont"/>
    <w:link w:val="Footer"/>
    <w:uiPriority w:val="99"/>
    <w:rsid w:val="00EC2A58"/>
  </w:style>
  <w:style w:type="paragraph" w:styleId="BalloonText">
    <w:name w:val="Balloon Text"/>
    <w:basedOn w:val="Normal"/>
    <w:link w:val="BalloonTextChar"/>
    <w:uiPriority w:val="99"/>
    <w:semiHidden/>
    <w:unhideWhenUsed/>
    <w:rsid w:val="004465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5FF"/>
    <w:rPr>
      <w:rFonts w:ascii="Segoe UI" w:hAnsi="Segoe UI" w:cs="Segoe UI"/>
      <w:sz w:val="18"/>
      <w:szCs w:val="18"/>
    </w:rPr>
  </w:style>
  <w:style w:type="paragraph" w:styleId="ListParagraph">
    <w:name w:val="List Paragraph"/>
    <w:basedOn w:val="Normal"/>
    <w:link w:val="ListParagraphChar"/>
    <w:uiPriority w:val="34"/>
    <w:qFormat/>
    <w:rsid w:val="00BA33FE"/>
    <w:pPr>
      <w:ind w:left="720"/>
      <w:contextualSpacing/>
    </w:pPr>
  </w:style>
  <w:style w:type="paragraph" w:styleId="BodyText2">
    <w:name w:val="Body Text 2"/>
    <w:basedOn w:val="Normal"/>
    <w:link w:val="BodyText2Char"/>
    <w:uiPriority w:val="99"/>
    <w:unhideWhenUsed/>
    <w:rsid w:val="00047C7D"/>
    <w:pPr>
      <w:jc w:val="both"/>
    </w:pPr>
    <w:rPr>
      <w:rFonts w:cs="Arial"/>
    </w:rPr>
  </w:style>
  <w:style w:type="character" w:customStyle="1" w:styleId="BodyText2Char">
    <w:name w:val="Body Text 2 Char"/>
    <w:basedOn w:val="DefaultParagraphFont"/>
    <w:link w:val="BodyText2"/>
    <w:uiPriority w:val="99"/>
    <w:rsid w:val="00047C7D"/>
    <w:rPr>
      <w:rFonts w:cs="Arial"/>
    </w:rPr>
  </w:style>
  <w:style w:type="paragraph" w:styleId="BodyText">
    <w:name w:val="Body Text"/>
    <w:basedOn w:val="Normal"/>
    <w:link w:val="BodyTextChar"/>
    <w:uiPriority w:val="99"/>
    <w:semiHidden/>
    <w:unhideWhenUsed/>
    <w:rsid w:val="002B6CE2"/>
    <w:pPr>
      <w:spacing w:after="120"/>
    </w:pPr>
  </w:style>
  <w:style w:type="character" w:customStyle="1" w:styleId="BodyTextChar">
    <w:name w:val="Body Text Char"/>
    <w:basedOn w:val="DefaultParagraphFont"/>
    <w:link w:val="BodyText"/>
    <w:uiPriority w:val="99"/>
    <w:semiHidden/>
    <w:rsid w:val="002B6CE2"/>
  </w:style>
  <w:style w:type="paragraph" w:styleId="FootnoteText">
    <w:name w:val="footnote text"/>
    <w:basedOn w:val="Normal"/>
    <w:link w:val="FootnoteTextChar"/>
    <w:uiPriority w:val="99"/>
    <w:semiHidden/>
    <w:unhideWhenUsed/>
    <w:rsid w:val="002B6CE2"/>
    <w:pPr>
      <w:widowControl w:val="0"/>
      <w:autoSpaceDE w:val="0"/>
      <w:autoSpaceDN w:val="0"/>
      <w:adjustRightInd w:val="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B6CE2"/>
    <w:rPr>
      <w:rFonts w:ascii="Times New Roman" w:eastAsia="Times New Roman" w:hAnsi="Times New Roman" w:cs="Times New Roman"/>
      <w:sz w:val="20"/>
      <w:szCs w:val="20"/>
    </w:rPr>
  </w:style>
  <w:style w:type="character" w:styleId="FootnoteReference">
    <w:name w:val="footnote reference"/>
    <w:uiPriority w:val="99"/>
    <w:semiHidden/>
    <w:unhideWhenUsed/>
    <w:rsid w:val="002B6CE2"/>
    <w:rPr>
      <w:rFonts w:ascii="Times New Roman" w:hAnsi="Times New Roman" w:cs="Times New Roman" w:hint="default"/>
    </w:rPr>
  </w:style>
  <w:style w:type="character" w:customStyle="1" w:styleId="ListParagraphChar">
    <w:name w:val="List Paragraph Char"/>
    <w:basedOn w:val="DefaultParagraphFont"/>
    <w:link w:val="ListParagraph"/>
    <w:uiPriority w:val="34"/>
    <w:locked/>
    <w:rsid w:val="002B6CE2"/>
  </w:style>
  <w:style w:type="character" w:styleId="Hyperlink">
    <w:name w:val="Hyperlink"/>
    <w:basedOn w:val="DefaultParagraphFont"/>
    <w:uiPriority w:val="99"/>
    <w:unhideWhenUsed/>
    <w:rsid w:val="002B6CE2"/>
    <w:rPr>
      <w:color w:val="0563C1" w:themeColor="hyperlink"/>
      <w:u w:val="single"/>
    </w:rPr>
  </w:style>
  <w:style w:type="paragraph" w:styleId="NormalWeb">
    <w:name w:val="Normal (Web)"/>
    <w:basedOn w:val="Normal"/>
    <w:uiPriority w:val="99"/>
    <w:unhideWhenUsed/>
    <w:rsid w:val="002B6CE2"/>
    <w:pPr>
      <w:spacing w:before="100" w:beforeAutospacing="1" w:after="100" w:afterAutospacing="1"/>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2B6CE2"/>
    <w:pPr>
      <w:spacing w:after="120"/>
      <w:ind w:left="283"/>
    </w:pPr>
  </w:style>
  <w:style w:type="character" w:customStyle="1" w:styleId="BodyTextIndentChar">
    <w:name w:val="Body Text Indent Char"/>
    <w:basedOn w:val="DefaultParagraphFont"/>
    <w:link w:val="BodyTextIndent"/>
    <w:uiPriority w:val="99"/>
    <w:semiHidden/>
    <w:rsid w:val="002B6CE2"/>
  </w:style>
  <w:style w:type="character" w:customStyle="1" w:styleId="Heading1Char">
    <w:name w:val="Heading 1 Char"/>
    <w:basedOn w:val="DefaultParagraphFont"/>
    <w:link w:val="Heading1"/>
    <w:uiPriority w:val="9"/>
    <w:rsid w:val="002B6CE2"/>
    <w:rPr>
      <w:i/>
      <w:iCs/>
      <w:lang w:val="en-GB"/>
    </w:rPr>
  </w:style>
  <w:style w:type="character" w:customStyle="1" w:styleId="Heading3Char">
    <w:name w:val="Heading 3 Char"/>
    <w:basedOn w:val="DefaultParagraphFont"/>
    <w:link w:val="Heading3"/>
    <w:uiPriority w:val="9"/>
    <w:rsid w:val="002B6CE2"/>
    <w:rPr>
      <w:b/>
      <w:bCs/>
      <w:lang w:val="en-GB"/>
    </w:rPr>
  </w:style>
  <w:style w:type="character" w:customStyle="1" w:styleId="Heading4Char">
    <w:name w:val="Heading 4 Char"/>
    <w:basedOn w:val="DefaultParagraphFont"/>
    <w:link w:val="Heading4"/>
    <w:uiPriority w:val="9"/>
    <w:rsid w:val="002B6CE2"/>
    <w:rPr>
      <w:b/>
      <w:bCs/>
      <w:lang w:val="en-GB"/>
    </w:rPr>
  </w:style>
  <w:style w:type="character" w:customStyle="1" w:styleId="Heading5Char">
    <w:name w:val="Heading 5 Char"/>
    <w:basedOn w:val="DefaultParagraphFont"/>
    <w:link w:val="Heading5"/>
    <w:uiPriority w:val="9"/>
    <w:rsid w:val="002B6CE2"/>
    <w:rPr>
      <w:b/>
      <w:bCs/>
      <w:i/>
      <w:i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ab.mpg.de/"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migrationatlas.org/fr/node/1343"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ms.int/fr/node/18554" TargetMode="External"/><Relationship Id="rId25" Type="http://schemas.openxmlformats.org/officeDocument/2006/relationships/hyperlink" Target="https://apps.information.qld.gov.au/TurtleDistributi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migrationatlas.org/fr/node/9316"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migrationatlas.org/fr/node/1344"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migrationatlas.org/fr/node/1346"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cms.int/fr/node/23448"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migrationatlas.org/fr/node/1345" TargetMode="External"/><Relationship Id="rId27" Type="http://schemas.openxmlformats.org/officeDocument/2006/relationships/header" Target="header5.xml"/><Relationship Id="rId30" Type="http://schemas.openxmlformats.org/officeDocument/2006/relationships/header" Target="header7.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126/science.abf0998"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Reviewer xmlns="a7b50396-0b06-45c1-b28e-46f86d566a10" xsi:nil="true"/>
    <MariaJoseOrtiz xmlns="a7b50396-0b06-45c1-b28e-46f86d566a10" xsi:nil="true"/>
    <Notes xmlns="a7b50396-0b06-45c1-b28e-46f86d566a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397C02-198D-456A-9F48-324734114A69}">
  <ds:schemaRefs>
    <ds:schemaRef ds:uri="http://schemas.openxmlformats.org/officeDocument/2006/bibliography"/>
  </ds:schemaRefs>
</ds:datastoreItem>
</file>

<file path=customXml/itemProps2.xml><?xml version="1.0" encoding="utf-8"?>
<ds:datastoreItem xmlns:ds="http://schemas.openxmlformats.org/officeDocument/2006/customXml" ds:itemID="{457FCBDB-AB98-4EB3-A3A5-364868991A28}">
  <ds:schemaRefs>
    <ds:schemaRef ds:uri="http://purl.org/dc/dcmitype/"/>
    <ds:schemaRef ds:uri="http://schemas.openxmlformats.org/package/2006/metadata/core-properties"/>
    <ds:schemaRef ds:uri="http://schemas.microsoft.com/office/2006/documentManagement/types"/>
    <ds:schemaRef ds:uri="a7b50396-0b06-45c1-b28e-46f86d566a10"/>
    <ds:schemaRef ds:uri="http://www.w3.org/XML/1998/namespace"/>
    <ds:schemaRef ds:uri="c15478a5-0be8-4f5d-8383-b307d5ba8bf6"/>
    <ds:schemaRef ds:uri="http://purl.org/dc/elements/1.1/"/>
    <ds:schemaRef ds:uri="http://schemas.microsoft.com/office/infopath/2007/PartnerControls"/>
    <ds:schemaRef ds:uri="http://purl.org/dc/terms/"/>
    <ds:schemaRef ds:uri="985ec44e-1bab-4c0b-9df0-6ba128686fc9"/>
    <ds:schemaRef ds:uri="http://schemas.microsoft.com/office/2006/metadata/properties"/>
  </ds:schemaRefs>
</ds:datastoreItem>
</file>

<file path=customXml/itemProps3.xml><?xml version="1.0" encoding="utf-8"?>
<ds:datastoreItem xmlns:ds="http://schemas.openxmlformats.org/officeDocument/2006/customXml" ds:itemID="{D09F2803-44B3-4A0C-AA36-89D91A27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1F524C-C58C-4646-808B-041F7444B3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4</cp:revision>
  <dcterms:created xsi:type="dcterms:W3CDTF">2023-07-12T11:26:00Z</dcterms:created>
  <dcterms:modified xsi:type="dcterms:W3CDTF">2023-09-28T10:51:00Z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TaxKeyword">
    <vt:lpwstr/>
  </property>
  <property fmtid="{D5CDD505-2E9C-101B-9397-08002B2CF9AE}" pid="4" name="MediaServiceImageTags">
    <vt:lpwstr/>
  </property>
</Properties>
</file>