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69050" w14:textId="3507A2CF" w:rsidR="0013700C" w:rsidRDefault="0013700C" w:rsidP="00343063">
      <w:pPr>
        <w:spacing w:after="0" w:line="240" w:lineRule="auto"/>
        <w:jc w:val="right"/>
        <w:rPr>
          <w:rFonts w:eastAsia="Times New Roman" w:cs="Arial"/>
          <w:b/>
          <w:bCs/>
          <w:caps/>
          <w:lang w:eastAsia="en-GB"/>
        </w:rPr>
      </w:pPr>
      <w:r>
        <w:rPr>
          <w:rFonts w:eastAsia="Times New Roman" w:cs="Arial"/>
          <w:b/>
          <w:bCs/>
          <w:caps/>
          <w:lang w:eastAsia="en-GB"/>
        </w:rPr>
        <w:t>ANNEX 1</w:t>
      </w:r>
    </w:p>
    <w:p w14:paraId="47BEB7E6" w14:textId="77777777" w:rsidR="0013700C" w:rsidRDefault="0013700C" w:rsidP="00DD4F8D">
      <w:pPr>
        <w:spacing w:after="0" w:line="240" w:lineRule="auto"/>
        <w:jc w:val="center"/>
        <w:rPr>
          <w:rFonts w:eastAsia="Times New Roman" w:cs="Arial"/>
          <w:b/>
          <w:bCs/>
          <w:caps/>
          <w:lang w:eastAsia="en-GB"/>
        </w:rPr>
      </w:pPr>
    </w:p>
    <w:p w14:paraId="36B84F7D" w14:textId="77777777" w:rsidR="002829D9" w:rsidRDefault="002829D9" w:rsidP="00DD4F8D">
      <w:pPr>
        <w:spacing w:after="0" w:line="240" w:lineRule="auto"/>
        <w:jc w:val="center"/>
        <w:rPr>
          <w:rFonts w:eastAsia="Times New Roman" w:cs="Arial"/>
          <w:b/>
          <w:bCs/>
          <w:caps/>
          <w:lang w:eastAsia="en-GB"/>
        </w:rPr>
      </w:pPr>
    </w:p>
    <w:p w14:paraId="639D0962" w14:textId="5FB17A93" w:rsidR="00DD4F8D" w:rsidRPr="00DD4F8D" w:rsidRDefault="00DD4F8D" w:rsidP="00DD4F8D">
      <w:pPr>
        <w:spacing w:after="0" w:line="240" w:lineRule="auto"/>
        <w:jc w:val="center"/>
        <w:rPr>
          <w:rFonts w:eastAsia="Times New Roman" w:cs="Arial"/>
          <w:b/>
          <w:bCs/>
          <w:caps/>
          <w:lang w:eastAsia="en-GB"/>
        </w:rPr>
      </w:pPr>
      <w:r w:rsidRPr="00DD4F8D">
        <w:rPr>
          <w:rFonts w:eastAsia="Times New Roman" w:cs="Arial"/>
          <w:b/>
          <w:bCs/>
          <w:caps/>
          <w:lang w:eastAsia="en-GB"/>
        </w:rPr>
        <w:t>An introduction to FADs as a source of marine debris</w:t>
      </w:r>
    </w:p>
    <w:p w14:paraId="1A7DCFDE" w14:textId="77777777" w:rsidR="00DD4F8D" w:rsidRDefault="00DD4F8D" w:rsidP="00DD4F8D">
      <w:pPr>
        <w:spacing w:after="0" w:line="240" w:lineRule="auto"/>
        <w:jc w:val="both"/>
        <w:rPr>
          <w:rFonts w:eastAsia="Times New Roman" w:cs="Arial"/>
          <w:lang w:eastAsia="en-GB"/>
        </w:rPr>
      </w:pPr>
    </w:p>
    <w:p w14:paraId="213D7F56" w14:textId="77777777" w:rsidR="002829D9" w:rsidRPr="009D04F8" w:rsidRDefault="002829D9" w:rsidP="002829D9">
      <w:pPr>
        <w:spacing w:after="0" w:line="240" w:lineRule="auto"/>
        <w:jc w:val="center"/>
        <w:rPr>
          <w:rFonts w:eastAsia="Times New Roman" w:cs="Arial"/>
          <w:lang w:val="en-US" w:eastAsia="en-GB"/>
        </w:rPr>
      </w:pPr>
    </w:p>
    <w:p w14:paraId="2C51C538" w14:textId="2E5783EA" w:rsidR="002829D9" w:rsidRPr="009D04F8" w:rsidRDefault="002829D9" w:rsidP="002829D9">
      <w:pPr>
        <w:spacing w:after="0" w:line="240" w:lineRule="auto"/>
        <w:jc w:val="center"/>
        <w:rPr>
          <w:rFonts w:eastAsia="Times New Roman" w:cs="Arial"/>
          <w:lang w:val="en-US" w:eastAsia="en-GB"/>
        </w:rPr>
      </w:pPr>
      <w:r w:rsidRPr="009D04F8">
        <w:rPr>
          <w:rFonts w:eastAsia="Times New Roman" w:cs="Arial"/>
          <w:lang w:val="en-US" w:eastAsia="en-GB"/>
        </w:rPr>
        <w:t xml:space="preserve">Mark P. Simmonds </w:t>
      </w:r>
      <w:r w:rsidR="00964AB2" w:rsidRPr="009D04F8">
        <w:rPr>
          <w:rFonts w:eastAsia="Times New Roman" w:cs="Arial"/>
          <w:lang w:val="en-US" w:eastAsia="en-GB"/>
        </w:rPr>
        <w:t>and</w:t>
      </w:r>
      <w:r w:rsidRPr="009D04F8">
        <w:rPr>
          <w:rFonts w:eastAsia="Times New Roman" w:cs="Arial"/>
          <w:lang w:val="en-US" w:eastAsia="en-GB"/>
        </w:rPr>
        <w:t xml:space="preserve"> Laetitia Nunny</w:t>
      </w:r>
    </w:p>
    <w:p w14:paraId="06E413E7" w14:textId="77777777" w:rsidR="00260E43" w:rsidRDefault="00260E43" w:rsidP="002829D9">
      <w:pPr>
        <w:spacing w:after="0" w:line="240" w:lineRule="auto"/>
        <w:jc w:val="center"/>
        <w:rPr>
          <w:rFonts w:eastAsia="Times New Roman" w:cs="Arial"/>
          <w:lang w:val="en-US" w:eastAsia="en-GB"/>
        </w:rPr>
      </w:pPr>
    </w:p>
    <w:p w14:paraId="4785C96F" w14:textId="77777777" w:rsidR="006A4684" w:rsidRDefault="006A4684" w:rsidP="002829D9">
      <w:pPr>
        <w:spacing w:after="0" w:line="240" w:lineRule="auto"/>
        <w:jc w:val="center"/>
        <w:rPr>
          <w:rFonts w:eastAsia="Times New Roman" w:cs="Arial"/>
          <w:lang w:val="en-US" w:eastAsia="en-GB"/>
        </w:rPr>
      </w:pPr>
    </w:p>
    <w:p w14:paraId="01B7B8D5" w14:textId="77777777" w:rsidR="006A4684" w:rsidRDefault="006A4684" w:rsidP="002829D9">
      <w:pPr>
        <w:spacing w:after="0" w:line="240" w:lineRule="auto"/>
        <w:jc w:val="center"/>
        <w:rPr>
          <w:rFonts w:eastAsia="Times New Roman" w:cs="Arial"/>
          <w:lang w:val="en-US" w:eastAsia="en-GB"/>
        </w:rPr>
      </w:pPr>
    </w:p>
    <w:p w14:paraId="606CA485" w14:textId="77777777" w:rsidR="006A4684" w:rsidRDefault="006A4684" w:rsidP="002829D9">
      <w:pPr>
        <w:spacing w:after="0" w:line="240" w:lineRule="auto"/>
        <w:jc w:val="center"/>
        <w:rPr>
          <w:rFonts w:eastAsia="Times New Roman" w:cs="Arial"/>
          <w:lang w:val="en-US" w:eastAsia="en-GB"/>
        </w:rPr>
      </w:pPr>
    </w:p>
    <w:p w14:paraId="1E4D7491" w14:textId="77777777" w:rsidR="006A4684" w:rsidRDefault="006A4684" w:rsidP="002829D9">
      <w:pPr>
        <w:spacing w:after="0" w:line="240" w:lineRule="auto"/>
        <w:jc w:val="center"/>
        <w:rPr>
          <w:rFonts w:eastAsia="Times New Roman" w:cs="Arial"/>
          <w:lang w:val="en-US" w:eastAsia="en-GB"/>
        </w:rPr>
      </w:pPr>
    </w:p>
    <w:p w14:paraId="1D4D7AF0" w14:textId="77777777" w:rsidR="006A4684" w:rsidRDefault="006A4684" w:rsidP="002829D9">
      <w:pPr>
        <w:spacing w:after="0" w:line="240" w:lineRule="auto"/>
        <w:jc w:val="center"/>
        <w:rPr>
          <w:rFonts w:eastAsia="Times New Roman" w:cs="Arial"/>
          <w:lang w:val="en-US" w:eastAsia="en-GB"/>
        </w:rPr>
      </w:pPr>
    </w:p>
    <w:p w14:paraId="741E6794" w14:textId="77777777" w:rsidR="006A4684" w:rsidRPr="009D04F8" w:rsidRDefault="006A4684" w:rsidP="002829D9">
      <w:pPr>
        <w:spacing w:after="0" w:line="240" w:lineRule="auto"/>
        <w:jc w:val="center"/>
        <w:rPr>
          <w:rFonts w:eastAsia="Times New Roman" w:cs="Arial"/>
          <w:lang w:val="en-US" w:eastAsia="en-GB"/>
        </w:rPr>
      </w:pPr>
    </w:p>
    <w:p w14:paraId="795B0D23" w14:textId="09261147" w:rsidR="00260E43" w:rsidRPr="009D04F8" w:rsidRDefault="006A4684" w:rsidP="002829D9">
      <w:pPr>
        <w:spacing w:after="0" w:line="240" w:lineRule="auto"/>
        <w:jc w:val="center"/>
        <w:rPr>
          <w:rFonts w:eastAsia="Times New Roman" w:cs="Arial"/>
          <w:lang w:val="en-US" w:eastAsia="en-GB"/>
        </w:rPr>
      </w:pPr>
      <w:r>
        <w:rPr>
          <w:rFonts w:eastAsia="Times New Roman" w:cs="Arial"/>
          <w:noProof/>
          <w:lang w:eastAsia="en-GB"/>
        </w:rPr>
        <w:drawing>
          <wp:inline distT="0" distB="0" distL="0" distR="0" wp14:anchorId="14717F07" wp14:editId="45BBCAC1">
            <wp:extent cx="3714750" cy="557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714750" cy="5572125"/>
                    </a:xfrm>
                    <a:prstGeom prst="rect">
                      <a:avLst/>
                    </a:prstGeom>
                  </pic:spPr>
                </pic:pic>
              </a:graphicData>
            </a:graphic>
          </wp:inline>
        </w:drawing>
      </w:r>
    </w:p>
    <w:p w14:paraId="57FE5C6E" w14:textId="77777777" w:rsidR="00260E43" w:rsidRPr="009D04F8" w:rsidRDefault="00260E43" w:rsidP="002829D9">
      <w:pPr>
        <w:spacing w:after="0" w:line="240" w:lineRule="auto"/>
        <w:jc w:val="center"/>
        <w:rPr>
          <w:rFonts w:eastAsia="Times New Roman" w:cs="Arial"/>
          <w:lang w:val="en-US" w:eastAsia="en-GB"/>
        </w:rPr>
      </w:pPr>
    </w:p>
    <w:p w14:paraId="12003083" w14:textId="77777777" w:rsidR="002829D9" w:rsidRPr="00DD4F8D" w:rsidRDefault="002829D9" w:rsidP="00DD4F8D">
      <w:pPr>
        <w:spacing w:after="0" w:line="240" w:lineRule="auto"/>
        <w:jc w:val="both"/>
        <w:rPr>
          <w:rFonts w:eastAsia="Times New Roman" w:cs="Arial"/>
          <w:lang w:eastAsia="en-GB"/>
        </w:rPr>
      </w:pPr>
    </w:p>
    <w:p w14:paraId="679C3443" w14:textId="0729FFE0" w:rsidR="006A4684" w:rsidRDefault="006A4684">
      <w:pPr>
        <w:rPr>
          <w:rFonts w:eastAsia="Times New Roman" w:cs="Arial"/>
          <w:lang w:eastAsia="en-GB"/>
        </w:rPr>
      </w:pPr>
      <w:r>
        <w:rPr>
          <w:rFonts w:eastAsia="Times New Roman" w:cs="Arial"/>
          <w:lang w:eastAsia="en-GB"/>
        </w:rPr>
        <w:br w:type="page"/>
      </w:r>
    </w:p>
    <w:p w14:paraId="3AD7994F" w14:textId="77777777" w:rsidR="00DD4F8D" w:rsidRPr="00DD4F8D" w:rsidRDefault="00DD4F8D" w:rsidP="00DD4F8D">
      <w:pPr>
        <w:spacing w:after="0" w:line="240" w:lineRule="auto"/>
        <w:jc w:val="both"/>
        <w:rPr>
          <w:rFonts w:eastAsia="Times New Roman" w:cs="Arial"/>
          <w:lang w:eastAsia="en-GB"/>
        </w:rPr>
      </w:pPr>
    </w:p>
    <w:sdt>
      <w:sdtPr>
        <w:rPr>
          <w:rFonts w:ascii="Arial" w:eastAsiaTheme="minorHAnsi" w:hAnsi="Arial" w:cstheme="minorBidi"/>
          <w:color w:val="auto"/>
          <w:sz w:val="22"/>
          <w:szCs w:val="22"/>
          <w:lang w:val="en-GB"/>
        </w:rPr>
        <w:id w:val="1199667640"/>
        <w:docPartObj>
          <w:docPartGallery w:val="Table of Contents"/>
          <w:docPartUnique/>
        </w:docPartObj>
      </w:sdtPr>
      <w:sdtEndPr>
        <w:rPr>
          <w:b/>
          <w:bCs/>
          <w:noProof/>
        </w:rPr>
      </w:sdtEndPr>
      <w:sdtContent>
        <w:p w14:paraId="58812696" w14:textId="01D35718" w:rsidR="00004428" w:rsidRPr="00AD5421" w:rsidRDefault="00004428">
          <w:pPr>
            <w:pStyle w:val="TOCHeading"/>
            <w:rPr>
              <w:rFonts w:ascii="Arial" w:hAnsi="Arial" w:cs="Arial"/>
              <w:color w:val="auto"/>
              <w:sz w:val="22"/>
              <w:szCs w:val="22"/>
            </w:rPr>
          </w:pPr>
          <w:r w:rsidRPr="00AD5421">
            <w:rPr>
              <w:rFonts w:ascii="Arial" w:hAnsi="Arial" w:cs="Arial"/>
              <w:color w:val="auto"/>
              <w:sz w:val="22"/>
              <w:szCs w:val="22"/>
            </w:rPr>
            <w:t>Contents</w:t>
          </w:r>
        </w:p>
        <w:p w14:paraId="6C50A377" w14:textId="77777777" w:rsidR="00004428" w:rsidRPr="00004428" w:rsidRDefault="00004428" w:rsidP="00004428">
          <w:pPr>
            <w:rPr>
              <w:lang w:val="en-US"/>
            </w:rPr>
          </w:pPr>
        </w:p>
        <w:p w14:paraId="311C1B38" w14:textId="0644DAF8" w:rsidR="00004428" w:rsidRDefault="00004428" w:rsidP="00AD5421">
          <w:pPr>
            <w:pStyle w:val="TOC1"/>
          </w:pPr>
          <w:r>
            <w:fldChar w:fldCharType="begin"/>
          </w:r>
          <w:r>
            <w:instrText xml:space="preserve"> TOC \o "1-3" \h \z \u </w:instrText>
          </w:r>
          <w:r>
            <w:fldChar w:fldCharType="separate"/>
          </w:r>
          <w:hyperlink w:anchor="_Toc138240665" w:history="1">
            <w:r w:rsidRPr="005F27D5">
              <w:rPr>
                <w:rStyle w:val="Hyperlink"/>
              </w:rPr>
              <w:t>What are FADs and what are they made of?</w:t>
            </w:r>
            <w:r>
              <w:rPr>
                <w:webHidden/>
              </w:rPr>
              <w:tab/>
            </w:r>
            <w:r>
              <w:rPr>
                <w:webHidden/>
              </w:rPr>
              <w:fldChar w:fldCharType="begin"/>
            </w:r>
            <w:r>
              <w:rPr>
                <w:webHidden/>
              </w:rPr>
              <w:instrText xml:space="preserve"> PAGEREF _Toc138240665 \h </w:instrText>
            </w:r>
            <w:r>
              <w:rPr>
                <w:webHidden/>
              </w:rPr>
            </w:r>
            <w:r>
              <w:rPr>
                <w:webHidden/>
              </w:rPr>
              <w:fldChar w:fldCharType="separate"/>
            </w:r>
            <w:r w:rsidR="006A4684">
              <w:rPr>
                <w:webHidden/>
              </w:rPr>
              <w:t>3</w:t>
            </w:r>
            <w:r>
              <w:rPr>
                <w:webHidden/>
              </w:rPr>
              <w:fldChar w:fldCharType="end"/>
            </w:r>
          </w:hyperlink>
        </w:p>
        <w:p w14:paraId="1E4D0864" w14:textId="14D398A7" w:rsidR="00004428" w:rsidRDefault="000E4301" w:rsidP="00AD5421">
          <w:pPr>
            <w:pStyle w:val="TOC1"/>
          </w:pPr>
          <w:hyperlink w:anchor="_Toc138240666" w:history="1">
            <w:r w:rsidR="00004428" w:rsidRPr="005F27D5">
              <w:rPr>
                <w:rStyle w:val="Hyperlink"/>
              </w:rPr>
              <w:t>How many FADs are there and where are they deployed?</w:t>
            </w:r>
            <w:r w:rsidR="00004428">
              <w:rPr>
                <w:webHidden/>
              </w:rPr>
              <w:tab/>
            </w:r>
            <w:r w:rsidR="00004428">
              <w:rPr>
                <w:webHidden/>
              </w:rPr>
              <w:fldChar w:fldCharType="begin"/>
            </w:r>
            <w:r w:rsidR="00004428">
              <w:rPr>
                <w:webHidden/>
              </w:rPr>
              <w:instrText xml:space="preserve"> PAGEREF _Toc138240666 \h </w:instrText>
            </w:r>
            <w:r w:rsidR="00004428">
              <w:rPr>
                <w:webHidden/>
              </w:rPr>
            </w:r>
            <w:r w:rsidR="00004428">
              <w:rPr>
                <w:webHidden/>
              </w:rPr>
              <w:fldChar w:fldCharType="separate"/>
            </w:r>
            <w:r w:rsidR="006A4684">
              <w:rPr>
                <w:webHidden/>
              </w:rPr>
              <w:t>5</w:t>
            </w:r>
            <w:r w:rsidR="00004428">
              <w:rPr>
                <w:webHidden/>
              </w:rPr>
              <w:fldChar w:fldCharType="end"/>
            </w:r>
          </w:hyperlink>
        </w:p>
        <w:p w14:paraId="0C479E07" w14:textId="731D0893" w:rsidR="00004428" w:rsidRDefault="000E4301" w:rsidP="00AD5421">
          <w:pPr>
            <w:pStyle w:val="TOC1"/>
          </w:pPr>
          <w:hyperlink w:anchor="_Toc138240667" w:history="1">
            <w:r w:rsidR="00004428" w:rsidRPr="005F27D5">
              <w:rPr>
                <w:rStyle w:val="Hyperlink"/>
              </w:rPr>
              <w:t>FADs as marine debris</w:t>
            </w:r>
            <w:r w:rsidR="00004428">
              <w:rPr>
                <w:webHidden/>
              </w:rPr>
              <w:tab/>
            </w:r>
            <w:r w:rsidR="00004428">
              <w:rPr>
                <w:webHidden/>
              </w:rPr>
              <w:fldChar w:fldCharType="begin"/>
            </w:r>
            <w:r w:rsidR="00004428">
              <w:rPr>
                <w:webHidden/>
              </w:rPr>
              <w:instrText xml:space="preserve"> PAGEREF _Toc138240667 \h </w:instrText>
            </w:r>
            <w:r w:rsidR="00004428">
              <w:rPr>
                <w:webHidden/>
              </w:rPr>
            </w:r>
            <w:r w:rsidR="00004428">
              <w:rPr>
                <w:webHidden/>
              </w:rPr>
              <w:fldChar w:fldCharType="separate"/>
            </w:r>
            <w:r w:rsidR="006A4684">
              <w:rPr>
                <w:webHidden/>
              </w:rPr>
              <w:t>6</w:t>
            </w:r>
            <w:r w:rsidR="00004428">
              <w:rPr>
                <w:webHidden/>
              </w:rPr>
              <w:fldChar w:fldCharType="end"/>
            </w:r>
          </w:hyperlink>
        </w:p>
        <w:p w14:paraId="328620C6" w14:textId="3E5BC18D" w:rsidR="00004428" w:rsidRDefault="000E4301" w:rsidP="00AD5421">
          <w:pPr>
            <w:pStyle w:val="TOC1"/>
          </w:pPr>
          <w:hyperlink w:anchor="_Toc138240668" w:history="1">
            <w:r w:rsidR="00004428" w:rsidRPr="005F27D5">
              <w:rPr>
                <w:rStyle w:val="Hyperlink"/>
              </w:rPr>
              <w:t>Generation of microplastics</w:t>
            </w:r>
            <w:r w:rsidR="00004428">
              <w:rPr>
                <w:webHidden/>
              </w:rPr>
              <w:tab/>
            </w:r>
            <w:r w:rsidR="00004428">
              <w:rPr>
                <w:webHidden/>
              </w:rPr>
              <w:fldChar w:fldCharType="begin"/>
            </w:r>
            <w:r w:rsidR="00004428">
              <w:rPr>
                <w:webHidden/>
              </w:rPr>
              <w:instrText xml:space="preserve"> PAGEREF _Toc138240668 \h </w:instrText>
            </w:r>
            <w:r w:rsidR="00004428">
              <w:rPr>
                <w:webHidden/>
              </w:rPr>
            </w:r>
            <w:r w:rsidR="00004428">
              <w:rPr>
                <w:webHidden/>
              </w:rPr>
              <w:fldChar w:fldCharType="separate"/>
            </w:r>
            <w:r w:rsidR="006A4684">
              <w:rPr>
                <w:webHidden/>
              </w:rPr>
              <w:t>7</w:t>
            </w:r>
            <w:r w:rsidR="00004428">
              <w:rPr>
                <w:webHidden/>
              </w:rPr>
              <w:fldChar w:fldCharType="end"/>
            </w:r>
          </w:hyperlink>
        </w:p>
        <w:p w14:paraId="5EA4288A" w14:textId="1DA9F25E" w:rsidR="00004428" w:rsidRDefault="000E4301" w:rsidP="00AD5421">
          <w:pPr>
            <w:pStyle w:val="TOC1"/>
          </w:pPr>
          <w:hyperlink w:anchor="_Toc138240669" w:history="1">
            <w:r w:rsidR="00004428" w:rsidRPr="005F27D5">
              <w:rPr>
                <w:rStyle w:val="Hyperlink"/>
              </w:rPr>
              <w:t>Reducing marine debris from FADs</w:t>
            </w:r>
            <w:r w:rsidR="00004428">
              <w:rPr>
                <w:webHidden/>
              </w:rPr>
              <w:tab/>
            </w:r>
            <w:r w:rsidR="00004428">
              <w:rPr>
                <w:webHidden/>
              </w:rPr>
              <w:fldChar w:fldCharType="begin"/>
            </w:r>
            <w:r w:rsidR="00004428">
              <w:rPr>
                <w:webHidden/>
              </w:rPr>
              <w:instrText xml:space="preserve"> PAGEREF _Toc138240669 \h </w:instrText>
            </w:r>
            <w:r w:rsidR="00004428">
              <w:rPr>
                <w:webHidden/>
              </w:rPr>
            </w:r>
            <w:r w:rsidR="00004428">
              <w:rPr>
                <w:webHidden/>
              </w:rPr>
              <w:fldChar w:fldCharType="separate"/>
            </w:r>
            <w:r w:rsidR="006A4684">
              <w:rPr>
                <w:webHidden/>
              </w:rPr>
              <w:t>7</w:t>
            </w:r>
            <w:r w:rsidR="00004428">
              <w:rPr>
                <w:webHidden/>
              </w:rPr>
              <w:fldChar w:fldCharType="end"/>
            </w:r>
          </w:hyperlink>
        </w:p>
        <w:p w14:paraId="5AB42374" w14:textId="12C36527" w:rsidR="00004428" w:rsidRDefault="000E4301" w:rsidP="00AD5421">
          <w:pPr>
            <w:pStyle w:val="TOC1"/>
          </w:pPr>
          <w:hyperlink w:anchor="_Toc138240670" w:history="1">
            <w:r w:rsidR="00004428" w:rsidRPr="005F27D5">
              <w:rPr>
                <w:rStyle w:val="Hyperlink"/>
              </w:rPr>
              <w:t>Entanglement and ghost fishing</w:t>
            </w:r>
            <w:r w:rsidR="00004428">
              <w:rPr>
                <w:webHidden/>
              </w:rPr>
              <w:tab/>
            </w:r>
            <w:r w:rsidR="00004428">
              <w:rPr>
                <w:webHidden/>
              </w:rPr>
              <w:fldChar w:fldCharType="begin"/>
            </w:r>
            <w:r w:rsidR="00004428">
              <w:rPr>
                <w:webHidden/>
              </w:rPr>
              <w:instrText xml:space="preserve"> PAGEREF _Toc138240670 \h </w:instrText>
            </w:r>
            <w:r w:rsidR="00004428">
              <w:rPr>
                <w:webHidden/>
              </w:rPr>
            </w:r>
            <w:r w:rsidR="00004428">
              <w:rPr>
                <w:webHidden/>
              </w:rPr>
              <w:fldChar w:fldCharType="separate"/>
            </w:r>
            <w:r w:rsidR="006A4684">
              <w:rPr>
                <w:webHidden/>
              </w:rPr>
              <w:t>8</w:t>
            </w:r>
            <w:r w:rsidR="00004428">
              <w:rPr>
                <w:webHidden/>
              </w:rPr>
              <w:fldChar w:fldCharType="end"/>
            </w:r>
          </w:hyperlink>
        </w:p>
        <w:p w14:paraId="4BC0F381" w14:textId="2877BC95" w:rsidR="00004428" w:rsidRDefault="000E4301">
          <w:pPr>
            <w:pStyle w:val="TOC2"/>
            <w:tabs>
              <w:tab w:val="right" w:leader="dot" w:pos="9016"/>
            </w:tabs>
            <w:rPr>
              <w:noProof/>
            </w:rPr>
          </w:pPr>
          <w:hyperlink w:anchor="_Toc138240671" w:history="1">
            <w:r w:rsidR="00004428" w:rsidRPr="005F27D5">
              <w:rPr>
                <w:rStyle w:val="Hyperlink"/>
                <w:rFonts w:cs="Arial"/>
                <w:i/>
                <w:iCs/>
                <w:noProof/>
                <w:lang w:eastAsia="en-GB"/>
              </w:rPr>
              <w:t>Sharks</w:t>
            </w:r>
            <w:r w:rsidR="00004428">
              <w:rPr>
                <w:noProof/>
                <w:webHidden/>
              </w:rPr>
              <w:tab/>
            </w:r>
            <w:r w:rsidR="00004428">
              <w:rPr>
                <w:noProof/>
                <w:webHidden/>
              </w:rPr>
              <w:fldChar w:fldCharType="begin"/>
            </w:r>
            <w:r w:rsidR="00004428">
              <w:rPr>
                <w:noProof/>
                <w:webHidden/>
              </w:rPr>
              <w:instrText xml:space="preserve"> PAGEREF _Toc138240671 \h </w:instrText>
            </w:r>
            <w:r w:rsidR="00004428">
              <w:rPr>
                <w:noProof/>
                <w:webHidden/>
              </w:rPr>
            </w:r>
            <w:r w:rsidR="00004428">
              <w:rPr>
                <w:noProof/>
                <w:webHidden/>
              </w:rPr>
              <w:fldChar w:fldCharType="separate"/>
            </w:r>
            <w:r w:rsidR="006A4684">
              <w:rPr>
                <w:noProof/>
                <w:webHidden/>
              </w:rPr>
              <w:t>8</w:t>
            </w:r>
            <w:r w:rsidR="00004428">
              <w:rPr>
                <w:noProof/>
                <w:webHidden/>
              </w:rPr>
              <w:fldChar w:fldCharType="end"/>
            </w:r>
          </w:hyperlink>
        </w:p>
        <w:p w14:paraId="444A77F3" w14:textId="45C21153" w:rsidR="00004428" w:rsidRDefault="000E4301">
          <w:pPr>
            <w:pStyle w:val="TOC2"/>
            <w:tabs>
              <w:tab w:val="right" w:leader="dot" w:pos="9016"/>
            </w:tabs>
            <w:rPr>
              <w:noProof/>
            </w:rPr>
          </w:pPr>
          <w:hyperlink w:anchor="_Toc138240672" w:history="1">
            <w:r w:rsidR="00004428" w:rsidRPr="005F27D5">
              <w:rPr>
                <w:rStyle w:val="Hyperlink"/>
                <w:rFonts w:cs="Arial"/>
                <w:i/>
                <w:iCs/>
                <w:noProof/>
                <w:lang w:eastAsia="en-GB"/>
              </w:rPr>
              <w:t>Sea turtles</w:t>
            </w:r>
            <w:r w:rsidR="00004428">
              <w:rPr>
                <w:noProof/>
                <w:webHidden/>
              </w:rPr>
              <w:tab/>
            </w:r>
            <w:r w:rsidR="00004428">
              <w:rPr>
                <w:noProof/>
                <w:webHidden/>
              </w:rPr>
              <w:fldChar w:fldCharType="begin"/>
            </w:r>
            <w:r w:rsidR="00004428">
              <w:rPr>
                <w:noProof/>
                <w:webHidden/>
              </w:rPr>
              <w:instrText xml:space="preserve"> PAGEREF _Toc138240672 \h </w:instrText>
            </w:r>
            <w:r w:rsidR="00004428">
              <w:rPr>
                <w:noProof/>
                <w:webHidden/>
              </w:rPr>
            </w:r>
            <w:r w:rsidR="00004428">
              <w:rPr>
                <w:noProof/>
                <w:webHidden/>
              </w:rPr>
              <w:fldChar w:fldCharType="separate"/>
            </w:r>
            <w:r w:rsidR="006A4684">
              <w:rPr>
                <w:noProof/>
                <w:webHidden/>
              </w:rPr>
              <w:t>9</w:t>
            </w:r>
            <w:r w:rsidR="00004428">
              <w:rPr>
                <w:noProof/>
                <w:webHidden/>
              </w:rPr>
              <w:fldChar w:fldCharType="end"/>
            </w:r>
          </w:hyperlink>
        </w:p>
        <w:p w14:paraId="77E8882E" w14:textId="5FB476F0" w:rsidR="00004428" w:rsidRDefault="000E4301">
          <w:pPr>
            <w:pStyle w:val="TOC2"/>
            <w:tabs>
              <w:tab w:val="right" w:leader="dot" w:pos="9016"/>
            </w:tabs>
            <w:rPr>
              <w:noProof/>
            </w:rPr>
          </w:pPr>
          <w:hyperlink w:anchor="_Toc138240673" w:history="1">
            <w:r w:rsidR="00004428" w:rsidRPr="005F27D5">
              <w:rPr>
                <w:rStyle w:val="Hyperlink"/>
                <w:rFonts w:cs="Arial"/>
                <w:i/>
                <w:iCs/>
                <w:noProof/>
                <w:lang w:eastAsia="en-GB"/>
              </w:rPr>
              <w:t>Marine mammals</w:t>
            </w:r>
            <w:r w:rsidR="00004428">
              <w:rPr>
                <w:noProof/>
                <w:webHidden/>
              </w:rPr>
              <w:tab/>
            </w:r>
            <w:r w:rsidR="00004428">
              <w:rPr>
                <w:noProof/>
                <w:webHidden/>
              </w:rPr>
              <w:fldChar w:fldCharType="begin"/>
            </w:r>
            <w:r w:rsidR="00004428">
              <w:rPr>
                <w:noProof/>
                <w:webHidden/>
              </w:rPr>
              <w:instrText xml:space="preserve"> PAGEREF _Toc138240673 \h </w:instrText>
            </w:r>
            <w:r w:rsidR="00004428">
              <w:rPr>
                <w:noProof/>
                <w:webHidden/>
              </w:rPr>
            </w:r>
            <w:r w:rsidR="00004428">
              <w:rPr>
                <w:noProof/>
                <w:webHidden/>
              </w:rPr>
              <w:fldChar w:fldCharType="separate"/>
            </w:r>
            <w:r w:rsidR="006A4684">
              <w:rPr>
                <w:noProof/>
                <w:webHidden/>
              </w:rPr>
              <w:t>10</w:t>
            </w:r>
            <w:r w:rsidR="00004428">
              <w:rPr>
                <w:noProof/>
                <w:webHidden/>
              </w:rPr>
              <w:fldChar w:fldCharType="end"/>
            </w:r>
          </w:hyperlink>
        </w:p>
        <w:p w14:paraId="2EBD43EC" w14:textId="2C76B257" w:rsidR="00004428" w:rsidRDefault="000E4301" w:rsidP="00AD5421">
          <w:pPr>
            <w:pStyle w:val="TOC1"/>
          </w:pPr>
          <w:hyperlink w:anchor="_Toc138240674" w:history="1">
            <w:r w:rsidR="00004428" w:rsidRPr="005F27D5">
              <w:rPr>
                <w:rStyle w:val="Hyperlink"/>
              </w:rPr>
              <w:t>Reducing risk of entanglement</w:t>
            </w:r>
            <w:r w:rsidR="00004428">
              <w:rPr>
                <w:webHidden/>
              </w:rPr>
              <w:tab/>
            </w:r>
            <w:r w:rsidR="00004428">
              <w:rPr>
                <w:webHidden/>
              </w:rPr>
              <w:fldChar w:fldCharType="begin"/>
            </w:r>
            <w:r w:rsidR="00004428">
              <w:rPr>
                <w:webHidden/>
              </w:rPr>
              <w:instrText xml:space="preserve"> PAGEREF _Toc138240674 \h </w:instrText>
            </w:r>
            <w:r w:rsidR="00004428">
              <w:rPr>
                <w:webHidden/>
              </w:rPr>
            </w:r>
            <w:r w:rsidR="00004428">
              <w:rPr>
                <w:webHidden/>
              </w:rPr>
              <w:fldChar w:fldCharType="separate"/>
            </w:r>
            <w:r w:rsidR="006A4684">
              <w:rPr>
                <w:webHidden/>
              </w:rPr>
              <w:t>10</w:t>
            </w:r>
            <w:r w:rsidR="00004428">
              <w:rPr>
                <w:webHidden/>
              </w:rPr>
              <w:fldChar w:fldCharType="end"/>
            </w:r>
          </w:hyperlink>
        </w:p>
        <w:p w14:paraId="2DE38E46" w14:textId="6C1F6E2B" w:rsidR="00004428" w:rsidRDefault="000E4301" w:rsidP="00AD5421">
          <w:pPr>
            <w:pStyle w:val="TOC1"/>
          </w:pPr>
          <w:hyperlink w:anchor="_Toc138240675" w:history="1">
            <w:r w:rsidR="00004428" w:rsidRPr="005F27D5">
              <w:rPr>
                <w:rStyle w:val="Hyperlink"/>
              </w:rPr>
              <w:t>Conclusions</w:t>
            </w:r>
            <w:r w:rsidR="00004428">
              <w:rPr>
                <w:webHidden/>
              </w:rPr>
              <w:tab/>
            </w:r>
            <w:r w:rsidR="00004428">
              <w:rPr>
                <w:webHidden/>
              </w:rPr>
              <w:fldChar w:fldCharType="begin"/>
            </w:r>
            <w:r w:rsidR="00004428">
              <w:rPr>
                <w:webHidden/>
              </w:rPr>
              <w:instrText xml:space="preserve"> PAGEREF _Toc138240675 \h </w:instrText>
            </w:r>
            <w:r w:rsidR="00004428">
              <w:rPr>
                <w:webHidden/>
              </w:rPr>
            </w:r>
            <w:r w:rsidR="00004428">
              <w:rPr>
                <w:webHidden/>
              </w:rPr>
              <w:fldChar w:fldCharType="separate"/>
            </w:r>
            <w:r w:rsidR="006A4684">
              <w:rPr>
                <w:webHidden/>
              </w:rPr>
              <w:t>11</w:t>
            </w:r>
            <w:r w:rsidR="00004428">
              <w:rPr>
                <w:webHidden/>
              </w:rPr>
              <w:fldChar w:fldCharType="end"/>
            </w:r>
          </w:hyperlink>
        </w:p>
        <w:p w14:paraId="0DD5EF98" w14:textId="79337755" w:rsidR="00004428" w:rsidRDefault="000E4301" w:rsidP="00AD5421">
          <w:pPr>
            <w:pStyle w:val="TOC1"/>
          </w:pPr>
          <w:hyperlink w:anchor="_Toc138240676" w:history="1">
            <w:r w:rsidR="00004428" w:rsidRPr="005F27D5">
              <w:rPr>
                <w:rStyle w:val="Hyperlink"/>
              </w:rPr>
              <w:t>Recommendations to CMS</w:t>
            </w:r>
            <w:r w:rsidR="00004428">
              <w:rPr>
                <w:webHidden/>
              </w:rPr>
              <w:tab/>
            </w:r>
            <w:r w:rsidR="00004428">
              <w:rPr>
                <w:webHidden/>
              </w:rPr>
              <w:fldChar w:fldCharType="begin"/>
            </w:r>
            <w:r w:rsidR="00004428">
              <w:rPr>
                <w:webHidden/>
              </w:rPr>
              <w:instrText xml:space="preserve"> PAGEREF _Toc138240676 \h </w:instrText>
            </w:r>
            <w:r w:rsidR="00004428">
              <w:rPr>
                <w:webHidden/>
              </w:rPr>
            </w:r>
            <w:r w:rsidR="00004428">
              <w:rPr>
                <w:webHidden/>
              </w:rPr>
              <w:fldChar w:fldCharType="separate"/>
            </w:r>
            <w:r w:rsidR="006A4684">
              <w:rPr>
                <w:webHidden/>
              </w:rPr>
              <w:t>12</w:t>
            </w:r>
            <w:r w:rsidR="00004428">
              <w:rPr>
                <w:webHidden/>
              </w:rPr>
              <w:fldChar w:fldCharType="end"/>
            </w:r>
          </w:hyperlink>
        </w:p>
        <w:p w14:paraId="63555DBA" w14:textId="19CA87AD" w:rsidR="00004428" w:rsidRPr="00AD5421" w:rsidRDefault="000E4301" w:rsidP="00AD5421">
          <w:pPr>
            <w:pStyle w:val="TOC1"/>
          </w:pPr>
          <w:hyperlink w:anchor="_Toc138240677" w:history="1">
            <w:r w:rsidR="00004428" w:rsidRPr="00AD5421">
              <w:rPr>
                <w:rStyle w:val="Hyperlink"/>
              </w:rPr>
              <w:t>Table 1: Relevant tRFMO Resolutions</w:t>
            </w:r>
            <w:r w:rsidR="00004428" w:rsidRPr="00AD5421">
              <w:rPr>
                <w:webHidden/>
              </w:rPr>
              <w:tab/>
            </w:r>
            <w:r w:rsidR="00004428" w:rsidRPr="00AD5421">
              <w:rPr>
                <w:webHidden/>
              </w:rPr>
              <w:fldChar w:fldCharType="begin"/>
            </w:r>
            <w:r w:rsidR="00004428" w:rsidRPr="00AD5421">
              <w:rPr>
                <w:webHidden/>
              </w:rPr>
              <w:instrText xml:space="preserve"> PAGEREF _Toc138240677 \h </w:instrText>
            </w:r>
            <w:r w:rsidR="00004428" w:rsidRPr="00AD5421">
              <w:rPr>
                <w:webHidden/>
              </w:rPr>
            </w:r>
            <w:r w:rsidR="00004428" w:rsidRPr="00AD5421">
              <w:rPr>
                <w:webHidden/>
              </w:rPr>
              <w:fldChar w:fldCharType="separate"/>
            </w:r>
            <w:r w:rsidR="006A4684">
              <w:rPr>
                <w:webHidden/>
              </w:rPr>
              <w:t>13</w:t>
            </w:r>
            <w:r w:rsidR="00004428" w:rsidRPr="00AD5421">
              <w:rPr>
                <w:webHidden/>
              </w:rPr>
              <w:fldChar w:fldCharType="end"/>
            </w:r>
          </w:hyperlink>
        </w:p>
        <w:p w14:paraId="5CF99BA9" w14:textId="2CA09234" w:rsidR="00004428" w:rsidRDefault="000E4301" w:rsidP="00AD5421">
          <w:pPr>
            <w:pStyle w:val="TOC1"/>
          </w:pPr>
          <w:hyperlink w:anchor="_Toc138240678" w:history="1">
            <w:r w:rsidR="00004428" w:rsidRPr="005F27D5">
              <w:rPr>
                <w:rStyle w:val="Hyperlink"/>
              </w:rPr>
              <w:t>References</w:t>
            </w:r>
            <w:r w:rsidR="00004428">
              <w:rPr>
                <w:webHidden/>
              </w:rPr>
              <w:tab/>
            </w:r>
            <w:r w:rsidR="00004428">
              <w:rPr>
                <w:webHidden/>
              </w:rPr>
              <w:fldChar w:fldCharType="begin"/>
            </w:r>
            <w:r w:rsidR="00004428">
              <w:rPr>
                <w:webHidden/>
              </w:rPr>
              <w:instrText xml:space="preserve"> PAGEREF _Toc138240678 \h </w:instrText>
            </w:r>
            <w:r w:rsidR="00004428">
              <w:rPr>
                <w:webHidden/>
              </w:rPr>
            </w:r>
            <w:r w:rsidR="00004428">
              <w:rPr>
                <w:webHidden/>
              </w:rPr>
              <w:fldChar w:fldCharType="separate"/>
            </w:r>
            <w:r w:rsidR="006A4684">
              <w:rPr>
                <w:webHidden/>
              </w:rPr>
              <w:t>15</w:t>
            </w:r>
            <w:r w:rsidR="00004428">
              <w:rPr>
                <w:webHidden/>
              </w:rPr>
              <w:fldChar w:fldCharType="end"/>
            </w:r>
          </w:hyperlink>
        </w:p>
        <w:p w14:paraId="6DB239C8" w14:textId="0C6B0CB6" w:rsidR="00004428" w:rsidRDefault="00004428">
          <w:r>
            <w:rPr>
              <w:b/>
              <w:bCs/>
              <w:noProof/>
            </w:rPr>
            <w:fldChar w:fldCharType="end"/>
          </w:r>
        </w:p>
      </w:sdtContent>
    </w:sdt>
    <w:p w14:paraId="02F1406E" w14:textId="77777777" w:rsidR="002829D9" w:rsidRDefault="002829D9" w:rsidP="00DD4F8D">
      <w:pPr>
        <w:spacing w:after="0" w:line="240" w:lineRule="auto"/>
        <w:jc w:val="both"/>
        <w:rPr>
          <w:rFonts w:eastAsia="Times New Roman" w:cs="Arial"/>
          <w:u w:val="single"/>
          <w:lang w:eastAsia="en-GB"/>
        </w:rPr>
      </w:pPr>
    </w:p>
    <w:p w14:paraId="32A687C4" w14:textId="30D4DD0C" w:rsidR="00021B8A" w:rsidRDefault="00021B8A">
      <w:pPr>
        <w:rPr>
          <w:rFonts w:eastAsia="Times New Roman" w:cs="Arial"/>
          <w:u w:val="single"/>
          <w:lang w:eastAsia="en-GB"/>
        </w:rPr>
      </w:pPr>
    </w:p>
    <w:p w14:paraId="7941D824" w14:textId="77777777" w:rsidR="00004428" w:rsidRDefault="00004428">
      <w:pPr>
        <w:rPr>
          <w:rFonts w:eastAsiaTheme="majorEastAsia" w:cs="Arial"/>
          <w:u w:val="single"/>
          <w:lang w:eastAsia="en-GB"/>
        </w:rPr>
      </w:pPr>
      <w:r>
        <w:rPr>
          <w:rFonts w:cs="Arial"/>
          <w:u w:val="single"/>
          <w:lang w:eastAsia="en-GB"/>
        </w:rPr>
        <w:br w:type="page"/>
      </w:r>
    </w:p>
    <w:p w14:paraId="6E8DEC84" w14:textId="7130D3FF" w:rsidR="00DD4F8D" w:rsidRPr="00021B8A" w:rsidRDefault="00DD4F8D" w:rsidP="00021B8A">
      <w:pPr>
        <w:pStyle w:val="Heading1"/>
        <w:spacing w:before="0" w:line="240" w:lineRule="auto"/>
        <w:rPr>
          <w:rFonts w:ascii="Arial" w:hAnsi="Arial" w:cs="Arial"/>
          <w:color w:val="auto"/>
          <w:sz w:val="22"/>
          <w:szCs w:val="22"/>
          <w:u w:val="single"/>
          <w:lang w:eastAsia="en-GB"/>
        </w:rPr>
      </w:pPr>
      <w:bookmarkStart w:id="0" w:name="_Toc138240665"/>
      <w:r w:rsidRPr="00021B8A">
        <w:rPr>
          <w:rFonts w:ascii="Arial" w:hAnsi="Arial" w:cs="Arial"/>
          <w:color w:val="auto"/>
          <w:sz w:val="22"/>
          <w:szCs w:val="22"/>
          <w:u w:val="single"/>
          <w:lang w:eastAsia="en-GB"/>
        </w:rPr>
        <w:lastRenderedPageBreak/>
        <w:t>What are FADs and what are they made of?</w:t>
      </w:r>
      <w:bookmarkEnd w:id="0"/>
      <w:r w:rsidRPr="00021B8A">
        <w:rPr>
          <w:rFonts w:ascii="Arial" w:hAnsi="Arial" w:cs="Arial"/>
          <w:color w:val="auto"/>
          <w:sz w:val="22"/>
          <w:szCs w:val="22"/>
          <w:u w:val="single"/>
          <w:lang w:eastAsia="en-GB"/>
        </w:rPr>
        <w:t xml:space="preserve"> </w:t>
      </w:r>
    </w:p>
    <w:p w14:paraId="55B77FA9" w14:textId="77777777" w:rsidR="00DD4F8D" w:rsidRPr="00DD4F8D" w:rsidRDefault="00DD4F8D" w:rsidP="00DD4F8D">
      <w:pPr>
        <w:spacing w:after="0" w:line="240" w:lineRule="auto"/>
        <w:jc w:val="both"/>
        <w:rPr>
          <w:rFonts w:eastAsia="Times New Roman" w:cs="Arial"/>
          <w:lang w:eastAsia="en-GB"/>
        </w:rPr>
      </w:pPr>
    </w:p>
    <w:p w14:paraId="7BA94C09"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According to FAO (2019) a fish aggregating device or FAD is “</w:t>
      </w:r>
      <w:r w:rsidRPr="00DD4F8D">
        <w:rPr>
          <w:rFonts w:eastAsia="Times New Roman" w:cs="Arial"/>
          <w:i/>
          <w:iCs/>
          <w:lang w:eastAsia="en-GB"/>
        </w:rPr>
        <w:t>a permanent, semi-permanent or temporary object, structure or device of any material, man-made or natural, which is deployed, and/or tracked, and used to aggregate fish for subsequent capture. A FAD can be either an anchored FAD (aFAD) or a drifting FAD (dFAD)</w:t>
      </w:r>
      <w:r w:rsidRPr="00DD4F8D">
        <w:rPr>
          <w:rFonts w:eastAsia="Times New Roman" w:cs="Arial"/>
          <w:lang w:eastAsia="en-GB"/>
        </w:rPr>
        <w:t xml:space="preserve">.” </w:t>
      </w:r>
    </w:p>
    <w:p w14:paraId="28D6E6B6" w14:textId="77777777" w:rsidR="00DD4F8D" w:rsidRPr="00DD4F8D" w:rsidRDefault="00DD4F8D" w:rsidP="00DD4F8D">
      <w:pPr>
        <w:spacing w:after="0" w:line="240" w:lineRule="auto"/>
        <w:jc w:val="both"/>
        <w:rPr>
          <w:rFonts w:eastAsia="Times New Roman" w:cs="Arial"/>
          <w:lang w:eastAsia="en-GB"/>
        </w:rPr>
      </w:pPr>
    </w:p>
    <w:p w14:paraId="575DAE41"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FADs have been deployed for centuries (Taquet, 2013). Probably as soon as it was discovered that fish concentrate under floating objects this relationship has been exploited, but now they are used on an industrial scale in some fisheries.</w:t>
      </w:r>
    </w:p>
    <w:p w14:paraId="3FF2E129" w14:textId="77777777" w:rsidR="00DD4F8D" w:rsidRPr="00DD4F8D" w:rsidRDefault="00DD4F8D" w:rsidP="00DD4F8D">
      <w:pPr>
        <w:spacing w:after="0" w:line="240" w:lineRule="auto"/>
        <w:jc w:val="both"/>
        <w:rPr>
          <w:rFonts w:eastAsia="Times New Roman" w:cs="Arial"/>
          <w:lang w:eastAsia="en-GB"/>
        </w:rPr>
      </w:pPr>
    </w:p>
    <w:p w14:paraId="63B4AACC"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Anchored FADs are used in artisanal fisheries and semi-industrial fisheries (Murua et al., 2021). In artisanal fisheries they are usually made from materials such as cork, plastic bottles, inner tubes from tyres and polystyrene, and they are anchored near the coast (Churchill, 2021). In industrial fisheries aFADs are made of steel, aluminium or fibreglass, may be equipped with radar reflectors and solar-powered lights and they tend to be moored in deeper waters offshore. See Figure 1 for a typical aFAD used in the Mediterranean. </w:t>
      </w:r>
    </w:p>
    <w:p w14:paraId="25094A33" w14:textId="77777777" w:rsidR="00DD4F8D" w:rsidRPr="00DD4F8D" w:rsidRDefault="00DD4F8D" w:rsidP="00DD4F8D">
      <w:pPr>
        <w:spacing w:after="0" w:line="240" w:lineRule="auto"/>
        <w:jc w:val="both"/>
        <w:rPr>
          <w:rFonts w:eastAsia="Times New Roman" w:cs="Arial"/>
          <w:lang w:eastAsia="en-GB"/>
        </w:rPr>
      </w:pPr>
    </w:p>
    <w:p w14:paraId="70704431" w14:textId="707DDE9B" w:rsid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Tuna aFADs have a surface float, a mainline connecting them to the seafloor, a subsurface attractor such as palm fronds, and an anchor which is usually made of 25 to 40 concrete blocks or cylinders which are linked together (Proctor et al., 2019). Typical deep-water aFADs in Indonesia have approximately 4km long mooring lines, surface floats made from either steel cylinders, blocks of foam encased in car tyres or bamboo rafts (Gilman et al., 2022). Some of the aFADs with bamboo rafts have a shelter on them where the fishers or caretakers live for weeks or months at a time (Proctor et al., 2019). In the Maldives, aFADs are moored using ropes with wire-core and stainless-steel link chains and steel-reinforced concrete blocks are used as anchors (Adam et al., 2019). The Maldivian aFADs used to have old nets attached to their moorings but, since 2004, a set of floating buoys has been used instead, with netting fixed horizontally under the nets (i.e., it does not hang). See Figure 2. </w:t>
      </w:r>
    </w:p>
    <w:p w14:paraId="27D1CA42" w14:textId="364919D2" w:rsidR="0013700C" w:rsidRDefault="0013700C" w:rsidP="00DD4F8D">
      <w:pPr>
        <w:spacing w:after="0" w:line="240" w:lineRule="auto"/>
        <w:jc w:val="both"/>
        <w:rPr>
          <w:rFonts w:eastAsia="Times New Roman" w:cs="Arial"/>
          <w:lang w:eastAsia="en-GB"/>
        </w:rPr>
      </w:pPr>
    </w:p>
    <w:p w14:paraId="2D7070F2" w14:textId="4DA9BDB8" w:rsidR="0013700C" w:rsidRDefault="0013700C">
      <w:pPr>
        <w:rPr>
          <w:rFonts w:eastAsia="Times New Roman" w:cs="Arial"/>
          <w:lang w:eastAsia="en-GB"/>
        </w:rPr>
      </w:pPr>
      <w:r>
        <w:rPr>
          <w:rFonts w:eastAsia="Times New Roman" w:cs="Arial"/>
          <w:lang w:eastAsia="en-GB"/>
        </w:rPr>
        <w:br w:type="page"/>
      </w:r>
    </w:p>
    <w:tbl>
      <w:tblPr>
        <w:tblStyle w:val="TableGrid1"/>
        <w:tblW w:w="9067" w:type="dxa"/>
        <w:tblBorders>
          <w:insideH w:val="none" w:sz="0" w:space="0" w:color="auto"/>
          <w:insideV w:val="none" w:sz="0" w:space="0" w:color="auto"/>
        </w:tblBorders>
        <w:tblLook w:val="04A0" w:firstRow="1" w:lastRow="0" w:firstColumn="1" w:lastColumn="0" w:noHBand="0" w:noVBand="1"/>
      </w:tblPr>
      <w:tblGrid>
        <w:gridCol w:w="4531"/>
        <w:gridCol w:w="567"/>
        <w:gridCol w:w="3969"/>
      </w:tblGrid>
      <w:tr w:rsidR="00DD4F8D" w:rsidRPr="00DD4F8D" w14:paraId="0A748F9E" w14:textId="77777777" w:rsidTr="00653FD6">
        <w:tc>
          <w:tcPr>
            <w:tcW w:w="4531" w:type="dxa"/>
          </w:tcPr>
          <w:p w14:paraId="59EC15F0" w14:textId="77777777" w:rsidR="00DD4F8D" w:rsidRPr="00DD4F8D" w:rsidRDefault="00DD4F8D" w:rsidP="00DD4F8D">
            <w:pPr>
              <w:jc w:val="both"/>
              <w:rPr>
                <w:rFonts w:eastAsia="Times New Roman" w:cs="Arial"/>
                <w:lang w:eastAsia="en-GB"/>
              </w:rPr>
            </w:pPr>
            <w:r w:rsidRPr="00DD4F8D">
              <w:rPr>
                <w:rFonts w:eastAsia="Times New Roman" w:cs="Arial"/>
                <w:noProof/>
                <w:lang w:eastAsia="en-GB"/>
              </w:rPr>
              <w:lastRenderedPageBreak/>
              <w:drawing>
                <wp:inline distT="0" distB="0" distL="0" distR="0" wp14:anchorId="29C6AB3F" wp14:editId="45A466F4">
                  <wp:extent cx="2520060" cy="3156439"/>
                  <wp:effectExtent l="0" t="0" r="0" b="635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2087" cy="3184028"/>
                          </a:xfrm>
                          <a:prstGeom prst="rect">
                            <a:avLst/>
                          </a:prstGeom>
                        </pic:spPr>
                      </pic:pic>
                    </a:graphicData>
                  </a:graphic>
                </wp:inline>
              </w:drawing>
            </w:r>
          </w:p>
        </w:tc>
        <w:tc>
          <w:tcPr>
            <w:tcW w:w="567" w:type="dxa"/>
          </w:tcPr>
          <w:p w14:paraId="511280F0" w14:textId="77777777" w:rsidR="00DD4F8D" w:rsidRPr="00DD4F8D" w:rsidRDefault="00DD4F8D" w:rsidP="00DD4F8D">
            <w:pPr>
              <w:jc w:val="center"/>
              <w:rPr>
                <w:rFonts w:eastAsia="Times New Roman" w:cs="Arial"/>
                <w:noProof/>
                <w:lang w:eastAsia="en-GB"/>
              </w:rPr>
            </w:pPr>
          </w:p>
        </w:tc>
        <w:tc>
          <w:tcPr>
            <w:tcW w:w="3969" w:type="dxa"/>
          </w:tcPr>
          <w:p w14:paraId="4DE94E7A" w14:textId="77777777" w:rsidR="00DD4F8D" w:rsidRPr="00DD4F8D" w:rsidRDefault="00DD4F8D" w:rsidP="00DD4F8D">
            <w:pPr>
              <w:jc w:val="right"/>
              <w:rPr>
                <w:rFonts w:eastAsia="Times New Roman" w:cs="Arial"/>
                <w:lang w:eastAsia="en-GB"/>
              </w:rPr>
            </w:pPr>
            <w:r w:rsidRPr="00DD4F8D">
              <w:rPr>
                <w:rFonts w:eastAsia="Times New Roman" w:cs="Arial"/>
                <w:noProof/>
                <w:lang w:eastAsia="en-GB"/>
              </w:rPr>
              <w:drawing>
                <wp:inline distT="0" distB="0" distL="0" distR="0" wp14:anchorId="4F0E7B07" wp14:editId="799293F5">
                  <wp:extent cx="2005204" cy="3261947"/>
                  <wp:effectExtent l="0" t="0" r="1905"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9539" cy="3317801"/>
                          </a:xfrm>
                          <a:prstGeom prst="rect">
                            <a:avLst/>
                          </a:prstGeom>
                        </pic:spPr>
                      </pic:pic>
                    </a:graphicData>
                  </a:graphic>
                </wp:inline>
              </w:drawing>
            </w:r>
          </w:p>
        </w:tc>
      </w:tr>
      <w:tr w:rsidR="00DD4F8D" w:rsidRPr="00DD4F8D" w14:paraId="68800498" w14:textId="77777777" w:rsidTr="00653FD6">
        <w:trPr>
          <w:trHeight w:val="567"/>
        </w:trPr>
        <w:tc>
          <w:tcPr>
            <w:tcW w:w="4531" w:type="dxa"/>
          </w:tcPr>
          <w:p w14:paraId="34B64617" w14:textId="77777777" w:rsidR="00DD4F8D" w:rsidRPr="00DD4F8D" w:rsidRDefault="00DD4F8D" w:rsidP="00DD4F8D">
            <w:pPr>
              <w:jc w:val="both"/>
              <w:rPr>
                <w:rFonts w:ascii="Arial" w:eastAsia="Times New Roman" w:hAnsi="Arial" w:cs="Arial"/>
                <w:sz w:val="20"/>
                <w:szCs w:val="20"/>
                <w:lang w:eastAsia="en-GB"/>
              </w:rPr>
            </w:pPr>
          </w:p>
          <w:p w14:paraId="4FABA1D8" w14:textId="77777777" w:rsidR="00DD4F8D" w:rsidRPr="00DD4F8D" w:rsidRDefault="00DD4F8D" w:rsidP="00DD4F8D">
            <w:pPr>
              <w:jc w:val="both"/>
              <w:rPr>
                <w:rFonts w:ascii="Arial" w:eastAsia="Times New Roman" w:hAnsi="Arial" w:cs="Arial"/>
                <w:sz w:val="20"/>
                <w:szCs w:val="20"/>
                <w:lang w:eastAsia="en-GB"/>
              </w:rPr>
            </w:pPr>
            <w:r w:rsidRPr="009D04F8">
              <w:rPr>
                <w:rFonts w:ascii="Arial" w:eastAsia="Times New Roman" w:hAnsi="Arial" w:cs="Arial"/>
                <w:b/>
                <w:bCs/>
                <w:sz w:val="20"/>
                <w:szCs w:val="20"/>
                <w:lang w:eastAsia="en-GB"/>
              </w:rPr>
              <w:t>Figure 1</w:t>
            </w:r>
            <w:r w:rsidRPr="00DD4F8D">
              <w:rPr>
                <w:rFonts w:ascii="Arial" w:eastAsia="Times New Roman" w:hAnsi="Arial" w:cs="Arial"/>
                <w:sz w:val="20"/>
                <w:szCs w:val="20"/>
                <w:lang w:eastAsia="en-GB"/>
              </w:rPr>
              <w:t xml:space="preserve">: Typical anchored FAD deployed in the Mediterranean Sea (from </w:t>
            </w:r>
            <w:proofErr w:type="spellStart"/>
            <w:r w:rsidRPr="00DD4F8D">
              <w:rPr>
                <w:rFonts w:ascii="Arial" w:eastAsia="Times New Roman" w:hAnsi="Arial" w:cs="Arial"/>
                <w:sz w:val="20"/>
                <w:szCs w:val="20"/>
                <w:lang w:eastAsia="en-GB"/>
              </w:rPr>
              <w:t>Consoli</w:t>
            </w:r>
            <w:proofErr w:type="spellEnd"/>
            <w:r w:rsidRPr="00DD4F8D">
              <w:rPr>
                <w:rFonts w:ascii="Arial" w:eastAsia="Times New Roman" w:hAnsi="Arial" w:cs="Arial"/>
                <w:sz w:val="20"/>
                <w:szCs w:val="20"/>
                <w:lang w:eastAsia="en-GB"/>
              </w:rPr>
              <w:t xml:space="preserve"> et al., 2020)</w:t>
            </w:r>
          </w:p>
        </w:tc>
        <w:tc>
          <w:tcPr>
            <w:tcW w:w="567" w:type="dxa"/>
          </w:tcPr>
          <w:p w14:paraId="066CABDF" w14:textId="77777777" w:rsidR="00DD4F8D" w:rsidRPr="00DD4F8D" w:rsidRDefault="00DD4F8D" w:rsidP="00DD4F8D">
            <w:pPr>
              <w:jc w:val="both"/>
              <w:rPr>
                <w:rFonts w:ascii="Arial" w:eastAsia="Times New Roman" w:hAnsi="Arial" w:cs="Arial"/>
                <w:sz w:val="20"/>
                <w:szCs w:val="20"/>
                <w:lang w:eastAsia="en-GB"/>
              </w:rPr>
            </w:pPr>
          </w:p>
        </w:tc>
        <w:tc>
          <w:tcPr>
            <w:tcW w:w="3969" w:type="dxa"/>
          </w:tcPr>
          <w:p w14:paraId="120A39AB" w14:textId="77777777" w:rsidR="00DD4F8D" w:rsidRPr="00DD4F8D" w:rsidRDefault="00DD4F8D" w:rsidP="00DD4F8D">
            <w:pPr>
              <w:jc w:val="both"/>
              <w:rPr>
                <w:rFonts w:ascii="Arial" w:eastAsia="Times New Roman" w:hAnsi="Arial" w:cs="Arial"/>
                <w:sz w:val="20"/>
                <w:szCs w:val="20"/>
                <w:lang w:eastAsia="en-GB"/>
              </w:rPr>
            </w:pPr>
          </w:p>
          <w:p w14:paraId="2D531CAE" w14:textId="77777777" w:rsidR="00DD4F8D" w:rsidRPr="00DD4F8D" w:rsidRDefault="00DD4F8D" w:rsidP="00DD4F8D">
            <w:pPr>
              <w:jc w:val="both"/>
              <w:rPr>
                <w:rFonts w:ascii="Arial" w:eastAsia="Times New Roman" w:hAnsi="Arial" w:cs="Arial"/>
                <w:sz w:val="20"/>
                <w:szCs w:val="20"/>
                <w:lang w:eastAsia="en-GB"/>
              </w:rPr>
            </w:pPr>
            <w:r w:rsidRPr="009D04F8">
              <w:rPr>
                <w:rFonts w:ascii="Arial" w:eastAsia="Times New Roman" w:hAnsi="Arial" w:cs="Arial"/>
                <w:b/>
                <w:bCs/>
                <w:sz w:val="20"/>
                <w:szCs w:val="20"/>
                <w:lang w:eastAsia="en-GB"/>
              </w:rPr>
              <w:t>Figure 2</w:t>
            </w:r>
            <w:r w:rsidRPr="00DD4F8D">
              <w:rPr>
                <w:rFonts w:ascii="Arial" w:eastAsia="Times New Roman" w:hAnsi="Arial" w:cs="Arial"/>
                <w:sz w:val="20"/>
                <w:szCs w:val="20"/>
                <w:lang w:eastAsia="en-GB"/>
              </w:rPr>
              <w:t xml:space="preserve">: Anchored FAD design from the Maldives (Adam et al., 2019) </w:t>
            </w:r>
          </w:p>
        </w:tc>
      </w:tr>
    </w:tbl>
    <w:p w14:paraId="4B5B3EB4" w14:textId="77777777" w:rsidR="0013700C" w:rsidRDefault="0013700C" w:rsidP="00DD4F8D">
      <w:pPr>
        <w:spacing w:after="0" w:line="240" w:lineRule="auto"/>
        <w:jc w:val="both"/>
        <w:rPr>
          <w:rFonts w:eastAsia="Times New Roman" w:cs="Arial"/>
          <w:lang w:eastAsia="en-GB"/>
        </w:rPr>
      </w:pPr>
    </w:p>
    <w:p w14:paraId="31955980" w14:textId="7FE9E74C"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Drifting FADs comprise a floating surface structure or raft and a submerged part with underwater materials such as hanging nets (Murua et al., 2021). See Figure 3. In some fisheries, the rafts themselves are submerged a couple of metres below the water surface (</w:t>
      </w:r>
      <w:proofErr w:type="spellStart"/>
      <w:r w:rsidRPr="00DD4F8D">
        <w:rPr>
          <w:rFonts w:eastAsia="Times New Roman" w:cs="Arial"/>
          <w:lang w:eastAsia="en-GB"/>
        </w:rPr>
        <w:t>Zudaire</w:t>
      </w:r>
      <w:proofErr w:type="spellEnd"/>
      <w:r w:rsidRPr="00DD4F8D">
        <w:rPr>
          <w:rFonts w:eastAsia="Times New Roman" w:cs="Arial"/>
          <w:lang w:eastAsia="en-GB"/>
        </w:rPr>
        <w:t xml:space="preserve"> et al., 2020).  Natural and artificial materials are used to construct dFADs. In the Mediterranean, dFADs used to be made from palm leaves, cork slabs, vegetable fibre ropes and large stones (</w:t>
      </w:r>
      <w:proofErr w:type="spellStart"/>
      <w:r w:rsidRPr="00DD4F8D">
        <w:rPr>
          <w:rFonts w:eastAsia="Times New Roman" w:cs="Arial"/>
          <w:lang w:eastAsia="en-GB"/>
        </w:rPr>
        <w:t>Sinopoli</w:t>
      </w:r>
      <w:proofErr w:type="spellEnd"/>
      <w:r w:rsidRPr="00DD4F8D">
        <w:rPr>
          <w:rFonts w:eastAsia="Times New Roman" w:cs="Arial"/>
          <w:lang w:eastAsia="en-GB"/>
        </w:rPr>
        <w:t xml:space="preserve"> et al., 2020). These natural materials have largely been replaced by plastic sheets, plastic bottles, polystyrene slabs and polyethylene cables. Other materials used in dFAD construction include nylon netting, net corks made from Ethylene Vinyl Acetate (EVA) and pipes made from polyvinyl chloride (PVC) (</w:t>
      </w:r>
      <w:proofErr w:type="spellStart"/>
      <w:r w:rsidRPr="00DD4F8D">
        <w:rPr>
          <w:rFonts w:eastAsia="Times New Roman" w:cs="Arial"/>
          <w:lang w:eastAsia="en-GB"/>
        </w:rPr>
        <w:t>Zudaire</w:t>
      </w:r>
      <w:proofErr w:type="spellEnd"/>
      <w:r w:rsidRPr="00DD4F8D">
        <w:rPr>
          <w:rFonts w:eastAsia="Times New Roman" w:cs="Arial"/>
          <w:lang w:eastAsia="en-GB"/>
        </w:rPr>
        <w:t xml:space="preserve"> et al., 2020). Less than 2% of FADs in the Western and Central Pacific Ocean (WCPO) are made entirely of natural materials, and over one third are made completely of artificial materials (</w:t>
      </w:r>
      <w:proofErr w:type="spellStart"/>
      <w:r w:rsidRPr="00DD4F8D">
        <w:rPr>
          <w:rFonts w:eastAsia="Times New Roman" w:cs="Arial"/>
          <w:lang w:eastAsia="en-GB"/>
        </w:rPr>
        <w:t>Escalle</w:t>
      </w:r>
      <w:proofErr w:type="spellEnd"/>
      <w:r w:rsidRPr="00DD4F8D">
        <w:rPr>
          <w:rFonts w:eastAsia="Times New Roman" w:cs="Arial"/>
          <w:lang w:eastAsia="en-GB"/>
        </w:rPr>
        <w:t xml:space="preserve"> et al., 2018). </w:t>
      </w:r>
    </w:p>
    <w:p w14:paraId="49975193"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noProof/>
          <w:lang w:eastAsia="en-GB"/>
        </w:rPr>
        <w:drawing>
          <wp:inline distT="0" distB="0" distL="0" distR="0" wp14:anchorId="074304BC" wp14:editId="60E6168D">
            <wp:extent cx="3187221" cy="2881423"/>
            <wp:effectExtent l="0" t="0" r="0" b="0"/>
            <wp:docPr id="13" name="Picture 1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2567" cy="2913378"/>
                    </a:xfrm>
                    <a:prstGeom prst="rect">
                      <a:avLst/>
                    </a:prstGeom>
                  </pic:spPr>
                </pic:pic>
              </a:graphicData>
            </a:graphic>
          </wp:inline>
        </w:drawing>
      </w:r>
    </w:p>
    <w:p w14:paraId="4D215895" w14:textId="77777777" w:rsidR="00DD4F8D" w:rsidRPr="00DD4F8D" w:rsidRDefault="00DD4F8D" w:rsidP="00DD4F8D">
      <w:pPr>
        <w:spacing w:after="0" w:line="240" w:lineRule="auto"/>
        <w:jc w:val="both"/>
        <w:rPr>
          <w:rFonts w:eastAsia="Times New Roman" w:cs="Arial"/>
          <w:lang w:eastAsia="en-GB"/>
        </w:rPr>
      </w:pPr>
      <w:r w:rsidRPr="009D04F8">
        <w:rPr>
          <w:rFonts w:eastAsia="Times New Roman" w:cs="Arial"/>
          <w:b/>
          <w:bCs/>
          <w:sz w:val="20"/>
          <w:szCs w:val="20"/>
          <w:lang w:eastAsia="en-GB"/>
        </w:rPr>
        <w:t>Figure 3</w:t>
      </w:r>
      <w:r w:rsidRPr="00DD4F8D">
        <w:rPr>
          <w:rFonts w:eastAsia="Times New Roman" w:cs="Arial"/>
          <w:sz w:val="20"/>
          <w:szCs w:val="20"/>
          <w:lang w:eastAsia="en-GB"/>
        </w:rPr>
        <w:t xml:space="preserve">: A typical drifting FAD (from </w:t>
      </w:r>
      <w:proofErr w:type="spellStart"/>
      <w:r w:rsidRPr="00DD4F8D">
        <w:rPr>
          <w:rFonts w:eastAsia="Times New Roman" w:cs="Arial"/>
          <w:sz w:val="20"/>
          <w:szCs w:val="20"/>
          <w:lang w:eastAsia="en-GB"/>
        </w:rPr>
        <w:t>Curnick</w:t>
      </w:r>
      <w:proofErr w:type="spellEnd"/>
      <w:r w:rsidRPr="00DD4F8D">
        <w:rPr>
          <w:rFonts w:eastAsia="Times New Roman" w:cs="Arial"/>
          <w:sz w:val="20"/>
          <w:szCs w:val="20"/>
          <w:lang w:eastAsia="en-GB"/>
        </w:rPr>
        <w:t xml:space="preserve"> et al., 2020)</w:t>
      </w:r>
    </w:p>
    <w:p w14:paraId="09316ECC"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lastRenderedPageBreak/>
        <w:t>Many dFADs are equipped with satellite buoys so that they can be tracked (Moreno et al., 2016; Murua et al., 2021). Some are tracked by the fishing vessels themselves, so that they can find them, but there is also tracking to monitor these devices more generally. The Indian Ocean Tuna Commission’s Resolution 19/02, for example, requires the use of instrumented buoys on all dFADs (IOTC, 2019). An instrumented buoy is “clearly marked with a unique reference number allowing identification of its owner and equipped with a satellite tracking system to monitor its position”. Nearly all dFADs used in waters managed by the Inter-American Tropical Tuna Commission are tracked using satellite buoys (IATTC, 2014). Sonar buoys or echo-sounders are used in some fisheries to estimate how many fish are under the FADs (Moreno et al., 2016). In 2020, 99% of buoys in the WCPO had echo-sounders (</w:t>
      </w:r>
      <w:proofErr w:type="spellStart"/>
      <w:r w:rsidRPr="00DD4F8D">
        <w:rPr>
          <w:rFonts w:eastAsia="Times New Roman" w:cs="Arial"/>
          <w:lang w:eastAsia="en-GB"/>
        </w:rPr>
        <w:t>Escalle</w:t>
      </w:r>
      <w:proofErr w:type="spellEnd"/>
      <w:r w:rsidRPr="00DD4F8D">
        <w:rPr>
          <w:rFonts w:eastAsia="Times New Roman" w:cs="Arial"/>
          <w:lang w:eastAsia="en-GB"/>
        </w:rPr>
        <w:t xml:space="preserve"> et al., 2020). </w:t>
      </w:r>
    </w:p>
    <w:p w14:paraId="41FEDD5D" w14:textId="77777777" w:rsidR="009D7E04" w:rsidRPr="00DD4F8D" w:rsidRDefault="009D7E04" w:rsidP="00DD4F8D">
      <w:pPr>
        <w:spacing w:after="0" w:line="240" w:lineRule="auto"/>
        <w:jc w:val="both"/>
        <w:rPr>
          <w:rFonts w:eastAsia="Times New Roman" w:cs="Arial"/>
          <w:lang w:eastAsia="en-GB"/>
        </w:rPr>
      </w:pPr>
    </w:p>
    <w:p w14:paraId="2DEAFD7E" w14:textId="77777777" w:rsidR="00DD4F8D" w:rsidRPr="00021B8A" w:rsidRDefault="00DD4F8D" w:rsidP="00021B8A">
      <w:pPr>
        <w:pStyle w:val="Heading1"/>
        <w:spacing w:before="0" w:line="240" w:lineRule="auto"/>
        <w:rPr>
          <w:rFonts w:ascii="Arial" w:hAnsi="Arial" w:cs="Arial"/>
          <w:color w:val="auto"/>
          <w:sz w:val="22"/>
          <w:szCs w:val="22"/>
          <w:u w:val="single"/>
          <w:lang w:eastAsia="en-GB"/>
        </w:rPr>
      </w:pPr>
      <w:bookmarkStart w:id="1" w:name="_Toc138240666"/>
      <w:r w:rsidRPr="00021B8A">
        <w:rPr>
          <w:rFonts w:ascii="Arial" w:hAnsi="Arial" w:cs="Arial"/>
          <w:color w:val="auto"/>
          <w:sz w:val="22"/>
          <w:szCs w:val="22"/>
          <w:u w:val="single"/>
          <w:lang w:eastAsia="en-GB"/>
        </w:rPr>
        <w:t>How many FADs are there and where are they deployed?</w:t>
      </w:r>
      <w:bookmarkEnd w:id="1"/>
      <w:r w:rsidRPr="00021B8A">
        <w:rPr>
          <w:rFonts w:ascii="Arial" w:hAnsi="Arial" w:cs="Arial"/>
          <w:color w:val="auto"/>
          <w:sz w:val="22"/>
          <w:szCs w:val="22"/>
          <w:u w:val="single"/>
          <w:lang w:eastAsia="en-GB"/>
        </w:rPr>
        <w:t xml:space="preserve"> </w:t>
      </w:r>
    </w:p>
    <w:p w14:paraId="2B0BA19E" w14:textId="77777777" w:rsidR="00DD4F8D" w:rsidRPr="00DD4F8D" w:rsidRDefault="00DD4F8D" w:rsidP="00DD4F8D">
      <w:pPr>
        <w:spacing w:after="0" w:line="240" w:lineRule="auto"/>
        <w:jc w:val="both"/>
        <w:rPr>
          <w:rFonts w:eastAsia="Times New Roman" w:cs="Arial"/>
          <w:lang w:eastAsia="en-GB"/>
        </w:rPr>
      </w:pPr>
    </w:p>
    <w:p w14:paraId="7843F1E0"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Data about the scale of FAD deployment is limited but an overview of the available information is provided here. In 2014, it was estimated that globally there were more than 73,000 aFADs in use, with the vast majority (60,000) anchored in the Mediterranean Sea and used for attracting dolphin fish (</w:t>
      </w:r>
      <w:proofErr w:type="spellStart"/>
      <w:r w:rsidRPr="00DD4F8D">
        <w:rPr>
          <w:rFonts w:eastAsia="Times New Roman" w:cs="Arial"/>
          <w:i/>
          <w:iCs/>
          <w:lang w:eastAsia="en-GB"/>
        </w:rPr>
        <w:t>Coryphaena</w:t>
      </w:r>
      <w:proofErr w:type="spellEnd"/>
      <w:r w:rsidRPr="00DD4F8D">
        <w:rPr>
          <w:rFonts w:eastAsia="Times New Roman" w:cs="Arial"/>
          <w:lang w:eastAsia="en-GB"/>
        </w:rPr>
        <w:t xml:space="preserve"> spp.) (Scott and Lopez, 2014). The aFADs deployed in the Mediterranean represent approximately 35% of all the world’s FADs (including anchored and drifting FADs) (</w:t>
      </w:r>
      <w:proofErr w:type="spellStart"/>
      <w:r w:rsidRPr="00DD4F8D">
        <w:rPr>
          <w:rFonts w:eastAsia="Times New Roman" w:cs="Arial"/>
          <w:lang w:eastAsia="en-GB"/>
        </w:rPr>
        <w:t>Sinopoli</w:t>
      </w:r>
      <w:proofErr w:type="spellEnd"/>
      <w:r w:rsidRPr="00DD4F8D">
        <w:rPr>
          <w:rFonts w:eastAsia="Times New Roman" w:cs="Arial"/>
          <w:lang w:eastAsia="en-GB"/>
        </w:rPr>
        <w:t xml:space="preserve"> et al., 2020). </w:t>
      </w:r>
    </w:p>
    <w:p w14:paraId="61A32984" w14:textId="77777777" w:rsidR="00DD4F8D" w:rsidRPr="00DD4F8D" w:rsidRDefault="00DD4F8D" w:rsidP="00DD4F8D">
      <w:pPr>
        <w:spacing w:after="0" w:line="240" w:lineRule="auto"/>
        <w:jc w:val="both"/>
        <w:rPr>
          <w:rFonts w:eastAsia="Times New Roman" w:cs="Arial"/>
          <w:lang w:eastAsia="en-GB"/>
        </w:rPr>
      </w:pPr>
    </w:p>
    <w:p w14:paraId="4B7C92A1"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In 2014, it was estimated that nearly 13,000 aFADs were being used to harvest tuna and related species in tropical and subtropical regions (Scott and Lopez, 2014).  However, it has recently been estimated that tens of thousands of aFADs are fished on by Indonesian tuna purse seine, handline, troll and pole-and-line vessels alone, although there are no accurate estimates for the exact locations of these, nor the total number (Gilman et al., 2022). As the Indonesian aFADs are installed in locations with deep water (1500 – 5000m) and strong currents, the surface floats can change position by as much as 2 nautical miles (</w:t>
      </w:r>
      <w:proofErr w:type="spellStart"/>
      <w:r w:rsidRPr="00DD4F8D">
        <w:rPr>
          <w:rFonts w:eastAsia="Times New Roman" w:cs="Arial"/>
          <w:lang w:eastAsia="en-GB"/>
        </w:rPr>
        <w:t>nmi</w:t>
      </w:r>
      <w:proofErr w:type="spellEnd"/>
      <w:r w:rsidRPr="00DD4F8D">
        <w:rPr>
          <w:rFonts w:eastAsia="Times New Roman" w:cs="Arial"/>
          <w:lang w:eastAsia="en-GB"/>
        </w:rPr>
        <w:t>) or more (Proctor et al., 2019). If insufficient anchor weight is used, the whole aFAD can also move significant distances. In the Maldives, a network of 50 deep water aFADs is managed by the government (Adam et al., 2019). The aFADs are located approximately 12nmi from the atoll reef anchored at depths of approximately 2,000m.</w:t>
      </w:r>
    </w:p>
    <w:p w14:paraId="051216FD" w14:textId="77777777" w:rsidR="00DD4F8D" w:rsidRPr="00DD4F8D" w:rsidRDefault="00DD4F8D" w:rsidP="00DD4F8D">
      <w:pPr>
        <w:spacing w:after="0" w:line="240" w:lineRule="auto"/>
        <w:jc w:val="both"/>
        <w:rPr>
          <w:rFonts w:eastAsia="Times New Roman" w:cs="Arial"/>
          <w:lang w:eastAsia="en-GB"/>
        </w:rPr>
      </w:pPr>
    </w:p>
    <w:p w14:paraId="22089BFD" w14:textId="7ECFECB9"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Drifting FADs are used extensively in industrial tuna fisheries (Gershman et al., 2015). Four tuna regional fisheries management organisations (tRFMOs) manage the world’s tropical tunas and associated species: the Inter-American Tropical Tuna Commission (IATTC) in the eastern Pacific Ocean, the Indian Ocean Tuna Commission (IOTC), the International Commission for the Conservation of Atlantic Tunas (ICCAT) and the Western Central Pacific Fisheries Commission (WCPFC) (Gomez et al., 2020). Another tRFMO - the Commission for the Conservation of Southern Bluefin Tuna (CCSBT) - manages three non-tropical species. The tRFMOs have established limits for the number of active FADs each vessel can use (Murua et al., 2021). See </w:t>
      </w:r>
      <w:r w:rsidR="005F6E8D">
        <w:rPr>
          <w:rFonts w:eastAsia="Times New Roman" w:cs="Arial"/>
          <w:lang w:eastAsia="en-GB"/>
        </w:rPr>
        <w:t>Table 1</w:t>
      </w:r>
      <w:r w:rsidRPr="00DD4F8D">
        <w:rPr>
          <w:rFonts w:eastAsia="Times New Roman" w:cs="Arial"/>
          <w:lang w:eastAsia="en-GB"/>
        </w:rPr>
        <w:t xml:space="preserve"> for relevant resolutions from the tRFMOs. </w:t>
      </w:r>
    </w:p>
    <w:p w14:paraId="3F54F59A" w14:textId="77777777" w:rsidR="00DD4F8D" w:rsidRPr="00DD4F8D" w:rsidRDefault="00DD4F8D" w:rsidP="00DD4F8D">
      <w:pPr>
        <w:spacing w:after="0" w:line="240" w:lineRule="auto"/>
        <w:jc w:val="both"/>
        <w:rPr>
          <w:rFonts w:eastAsia="Times New Roman" w:cs="Arial"/>
          <w:lang w:eastAsia="en-GB"/>
        </w:rPr>
      </w:pPr>
    </w:p>
    <w:p w14:paraId="395EF3BB" w14:textId="731564E1" w:rsidR="00DD4F8D" w:rsidRDefault="00DD4F8D" w:rsidP="00DD4F8D">
      <w:pPr>
        <w:spacing w:after="0" w:line="240" w:lineRule="auto"/>
        <w:jc w:val="both"/>
        <w:rPr>
          <w:rFonts w:eastAsia="Times New Roman" w:cs="Arial"/>
          <w:lang w:eastAsia="en-GB"/>
        </w:rPr>
      </w:pPr>
      <w:r w:rsidRPr="00DD4F8D">
        <w:rPr>
          <w:rFonts w:eastAsia="Times New Roman" w:cs="Arial"/>
          <w:lang w:eastAsia="en-GB"/>
        </w:rPr>
        <w:t>In 2013, between 81,000 and 121,000 dFADs were estimated to be deployed worldwide (Gershman et al., 2015). Regional use of dFADs is varied. In the eastern Pacific Ocean tuna fisheries managed by the IATTC, the number of dFADs set by vessels &gt;363 t carrying capacity, increased from 4,281 in 2005 to 11,549 in 2018 (IATTC, 2021)</w:t>
      </w:r>
      <w:r w:rsidRPr="00DD4F8D">
        <w:rPr>
          <w:rFonts w:eastAsia="Times New Roman" w:cs="Arial"/>
          <w:vertAlign w:val="superscript"/>
          <w:lang w:eastAsia="en-GB"/>
        </w:rPr>
        <w:t xml:space="preserve"> </w:t>
      </w:r>
      <w:r w:rsidRPr="00DD4F8D">
        <w:rPr>
          <w:rFonts w:eastAsia="Times New Roman" w:cs="Arial"/>
          <w:vertAlign w:val="superscript"/>
          <w:lang w:eastAsia="en-GB"/>
        </w:rPr>
        <w:footnoteReference w:id="2"/>
      </w:r>
      <w:r w:rsidRPr="00DD4F8D">
        <w:rPr>
          <w:rFonts w:eastAsia="Times New Roman" w:cs="Arial"/>
          <w:lang w:eastAsia="en-GB"/>
        </w:rPr>
        <w:t xml:space="preserve">. </w:t>
      </w:r>
      <w:proofErr w:type="spellStart"/>
      <w:r w:rsidRPr="00DD4F8D">
        <w:rPr>
          <w:rFonts w:eastAsia="Times New Roman" w:cs="Arial"/>
          <w:lang w:eastAsia="en-GB"/>
        </w:rPr>
        <w:t>Escalle</w:t>
      </w:r>
      <w:proofErr w:type="spellEnd"/>
      <w:r w:rsidRPr="00DD4F8D">
        <w:rPr>
          <w:rFonts w:eastAsia="Times New Roman" w:cs="Arial"/>
          <w:lang w:eastAsia="en-GB"/>
        </w:rPr>
        <w:t xml:space="preserve"> et al. (2021) estimated that between 20,000 and 40,000 dFADs were deployed per year in the WCPO purse seine fishery between 2011 and 2019. In the Indian Ocean, between January and July 2020, there were between 9,516 and 11,583 buoys in operation on dFADs each day (IOTC Secretariat, 2020). </w:t>
      </w:r>
    </w:p>
    <w:p w14:paraId="16CBF1DE" w14:textId="77777777" w:rsidR="005F6E8D" w:rsidRPr="00DD4F8D" w:rsidRDefault="005F6E8D" w:rsidP="00DD4F8D">
      <w:pPr>
        <w:spacing w:after="0" w:line="240" w:lineRule="auto"/>
        <w:jc w:val="both"/>
        <w:rPr>
          <w:rFonts w:eastAsia="Times New Roman" w:cs="Arial"/>
          <w:lang w:eastAsia="en-GB"/>
        </w:rPr>
      </w:pPr>
    </w:p>
    <w:p w14:paraId="7AC6BA79" w14:textId="77777777" w:rsidR="00DD4F8D" w:rsidRPr="00021B8A" w:rsidRDefault="00DD4F8D" w:rsidP="00021B8A">
      <w:pPr>
        <w:pStyle w:val="Heading1"/>
        <w:spacing w:before="0" w:line="240" w:lineRule="auto"/>
        <w:rPr>
          <w:rFonts w:ascii="Arial" w:hAnsi="Arial" w:cs="Arial"/>
          <w:color w:val="auto"/>
          <w:sz w:val="22"/>
          <w:szCs w:val="22"/>
          <w:u w:val="single"/>
          <w:lang w:eastAsia="en-GB"/>
        </w:rPr>
      </w:pPr>
      <w:bookmarkStart w:id="2" w:name="_Toc138240667"/>
      <w:r w:rsidRPr="00021B8A">
        <w:rPr>
          <w:rFonts w:ascii="Arial" w:hAnsi="Arial" w:cs="Arial"/>
          <w:color w:val="auto"/>
          <w:sz w:val="22"/>
          <w:szCs w:val="22"/>
          <w:u w:val="single"/>
          <w:lang w:eastAsia="en-GB"/>
        </w:rPr>
        <w:lastRenderedPageBreak/>
        <w:t>FADs as marine debris</w:t>
      </w:r>
      <w:bookmarkEnd w:id="2"/>
    </w:p>
    <w:p w14:paraId="34EC9AE9" w14:textId="77777777" w:rsidR="00DD4F8D" w:rsidRPr="00DD4F8D" w:rsidRDefault="00DD4F8D" w:rsidP="00DD4F8D">
      <w:pPr>
        <w:spacing w:after="0" w:line="240" w:lineRule="auto"/>
        <w:jc w:val="both"/>
        <w:rPr>
          <w:rFonts w:eastAsia="Times New Roman" w:cs="Arial"/>
          <w:lang w:eastAsia="en-GB"/>
        </w:rPr>
      </w:pPr>
    </w:p>
    <w:p w14:paraId="73FFA64C"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In the Mediterranean, when the fishing season ends, some aFADs near the coast may be recovered, but the vast majority are lost or destroyed by storms or are otherwise abandoned (</w:t>
      </w:r>
      <w:proofErr w:type="spellStart"/>
      <w:r w:rsidRPr="00DD4F8D">
        <w:rPr>
          <w:rFonts w:eastAsia="Times New Roman" w:cs="Arial"/>
          <w:lang w:eastAsia="en-GB"/>
        </w:rPr>
        <w:t>Sinopoli</w:t>
      </w:r>
      <w:proofErr w:type="spellEnd"/>
      <w:r w:rsidRPr="00DD4F8D">
        <w:rPr>
          <w:rFonts w:eastAsia="Times New Roman" w:cs="Arial"/>
          <w:lang w:eastAsia="en-GB"/>
        </w:rPr>
        <w:t xml:space="preserve"> et al., 2020). Approximately 1.6 million FADs were abandoned between 1961 and 2017 in the Mediterranean Sea (905,483 in Tunisia, 359,900 in Sicily, Italy, 277,580 in Malta and 53,555 in Mallorca, Spain). The abandoned materials included palm fronds, cork slabs, plastic bottles, inner tubes, polystyrene slabs, plastic sheets, limestone and concrete blocks, polyethylene cables, nylon cables and sisal rope. </w:t>
      </w:r>
    </w:p>
    <w:p w14:paraId="319BA0A8" w14:textId="77777777" w:rsidR="00DD4F8D" w:rsidRPr="00DD4F8D" w:rsidRDefault="00DD4F8D" w:rsidP="00DD4F8D">
      <w:pPr>
        <w:spacing w:after="0" w:line="240" w:lineRule="auto"/>
        <w:jc w:val="both"/>
        <w:rPr>
          <w:rFonts w:eastAsia="Times New Roman" w:cs="Arial"/>
          <w:lang w:eastAsia="en-GB"/>
        </w:rPr>
      </w:pPr>
    </w:p>
    <w:p w14:paraId="3A6F0800" w14:textId="77777777" w:rsidR="00DD4F8D" w:rsidRDefault="00DD4F8D" w:rsidP="00DD4F8D">
      <w:pPr>
        <w:spacing w:after="0" w:line="240" w:lineRule="auto"/>
        <w:jc w:val="both"/>
        <w:rPr>
          <w:rFonts w:eastAsia="Times New Roman" w:cs="Arial"/>
          <w:lang w:eastAsia="en-GB"/>
        </w:rPr>
      </w:pPr>
      <w:proofErr w:type="spellStart"/>
      <w:r w:rsidRPr="00DD4F8D">
        <w:rPr>
          <w:rFonts w:eastAsia="Times New Roman" w:cs="Arial"/>
          <w:lang w:eastAsia="en-GB"/>
        </w:rPr>
        <w:t>Consoli</w:t>
      </w:r>
      <w:proofErr w:type="spellEnd"/>
      <w:r w:rsidRPr="00DD4F8D">
        <w:rPr>
          <w:rFonts w:eastAsia="Times New Roman" w:cs="Arial"/>
          <w:lang w:eastAsia="en-GB"/>
        </w:rPr>
        <w:t xml:space="preserve"> et al. (2020) surveyed 4,000m</w:t>
      </w:r>
      <w:r w:rsidRPr="00DD4F8D">
        <w:rPr>
          <w:rFonts w:eastAsia="Times New Roman" w:cs="Arial"/>
          <w:vertAlign w:val="superscript"/>
          <w:lang w:eastAsia="en-GB"/>
        </w:rPr>
        <w:t>2</w:t>
      </w:r>
      <w:r w:rsidRPr="00DD4F8D">
        <w:rPr>
          <w:rFonts w:eastAsia="Times New Roman" w:cs="Arial"/>
          <w:lang w:eastAsia="en-GB"/>
        </w:rPr>
        <w:t xml:space="preserve"> of seabed in the area between Malta, the Pelagian Islands and </w:t>
      </w:r>
      <w:proofErr w:type="spellStart"/>
      <w:r w:rsidRPr="00DD4F8D">
        <w:rPr>
          <w:rFonts w:eastAsia="Times New Roman" w:cs="Arial"/>
          <w:lang w:eastAsia="en-GB"/>
        </w:rPr>
        <w:t>Panelleria</w:t>
      </w:r>
      <w:proofErr w:type="spellEnd"/>
      <w:r w:rsidRPr="00DD4F8D">
        <w:rPr>
          <w:rFonts w:eastAsia="Times New Roman" w:cs="Arial"/>
          <w:lang w:eastAsia="en-GB"/>
        </w:rPr>
        <w:t xml:space="preserve"> for marine debris and found the highest value of litter density (4.63 items/100m</w:t>
      </w:r>
      <w:r w:rsidRPr="00DD4F8D">
        <w:rPr>
          <w:rFonts w:eastAsia="Times New Roman" w:cs="Arial"/>
          <w:vertAlign w:val="superscript"/>
          <w:lang w:eastAsia="en-GB"/>
        </w:rPr>
        <w:t>2</w:t>
      </w:r>
      <w:r w:rsidRPr="00DD4F8D">
        <w:rPr>
          <w:rFonts w:eastAsia="Times New Roman" w:cs="Arial"/>
          <w:lang w:eastAsia="en-GB"/>
        </w:rPr>
        <w:t xml:space="preserve">) ever recorded by a Remotely Operated Vehicle survey in the Mediterranean Sea. Fishing gear made up 96.8% of the 185 debris items recorded. Ropes from FADs accounted for 81.1% of items and FAD anchoring ballast for 2.2%. Almost half the debris items (47.57%) were in contact or interacting with benthic fauna and 87 were entangled with 139 animal colonies; mostly with the black coral species </w:t>
      </w:r>
      <w:proofErr w:type="spellStart"/>
      <w:r w:rsidRPr="00DD4F8D">
        <w:rPr>
          <w:rFonts w:eastAsia="Times New Roman" w:cs="Arial"/>
          <w:i/>
          <w:iCs/>
          <w:lang w:eastAsia="en-GB"/>
        </w:rPr>
        <w:t>Leiopathes</w:t>
      </w:r>
      <w:proofErr w:type="spellEnd"/>
      <w:r w:rsidRPr="00DD4F8D">
        <w:rPr>
          <w:rFonts w:eastAsia="Times New Roman" w:cs="Arial"/>
          <w:i/>
          <w:iCs/>
          <w:lang w:eastAsia="en-GB"/>
        </w:rPr>
        <w:t xml:space="preserve"> </w:t>
      </w:r>
      <w:proofErr w:type="spellStart"/>
      <w:r w:rsidRPr="00DD4F8D">
        <w:rPr>
          <w:rFonts w:eastAsia="Times New Roman" w:cs="Arial"/>
          <w:i/>
          <w:iCs/>
          <w:lang w:eastAsia="en-GB"/>
        </w:rPr>
        <w:t>glaberrima</w:t>
      </w:r>
      <w:proofErr w:type="spellEnd"/>
      <w:r w:rsidRPr="00DD4F8D">
        <w:rPr>
          <w:rFonts w:eastAsia="Times New Roman" w:cs="Arial"/>
          <w:i/>
          <w:iCs/>
          <w:lang w:eastAsia="en-GB"/>
        </w:rPr>
        <w:t xml:space="preserve"> </w:t>
      </w:r>
      <w:r w:rsidRPr="00DD4F8D">
        <w:rPr>
          <w:rFonts w:eastAsia="Times New Roman" w:cs="Arial"/>
          <w:lang w:eastAsia="en-GB"/>
        </w:rPr>
        <w:t>(i.e. 131 impacted colonies).</w:t>
      </w:r>
    </w:p>
    <w:p w14:paraId="444BD28C" w14:textId="77777777" w:rsidR="00B66527" w:rsidRPr="00DD4F8D" w:rsidRDefault="00B66527" w:rsidP="00DD4F8D">
      <w:pPr>
        <w:spacing w:after="0" w:line="240" w:lineRule="auto"/>
        <w:jc w:val="both"/>
        <w:rPr>
          <w:rFonts w:eastAsia="Times New Roman" w:cs="Arial"/>
          <w:lang w:eastAsia="en-GB"/>
        </w:rPr>
      </w:pPr>
    </w:p>
    <w:p w14:paraId="5092BFF7" w14:textId="77777777" w:rsid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In the Maldives and Indonesia, aFADs are sometimes used to moor vessels and this could impact loss rates of FADs (Gilman et al., 2022). Devices can also be lost when longline or gillnet fishers cut aFAD mooring lines to avoid entanglements with their gear. Other vessels, including cargo ships, may accidentally strike aFADs, breaking them from their moorings, or operators of such vessels may cut mooring lines deliberately if the aFAD is in a shipping lane. Fishing competitors may also vandalise each other’s aFADs. All of these actions may cause extra marine debris to be released. </w:t>
      </w:r>
    </w:p>
    <w:p w14:paraId="51DCD500" w14:textId="77777777" w:rsidR="009D04F8" w:rsidRPr="00DD4F8D" w:rsidRDefault="009D04F8" w:rsidP="00DD4F8D">
      <w:pPr>
        <w:spacing w:after="0" w:line="240" w:lineRule="auto"/>
        <w:jc w:val="both"/>
        <w:rPr>
          <w:rFonts w:eastAsia="Times New Roman" w:cs="Arial"/>
          <w:lang w:eastAsia="en-GB"/>
        </w:rPr>
      </w:pPr>
    </w:p>
    <w:p w14:paraId="28DB4A03"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Drifting FADs which are not collected and re-used may also end up as marine debris and they can sink or drift to beaches, coral reefs or mangroves (</w:t>
      </w:r>
      <w:proofErr w:type="spellStart"/>
      <w:r w:rsidRPr="00DD4F8D">
        <w:rPr>
          <w:rFonts w:eastAsia="Times New Roman" w:cs="Arial"/>
          <w:lang w:eastAsia="en-GB"/>
        </w:rPr>
        <w:t>Zudaire</w:t>
      </w:r>
      <w:proofErr w:type="spellEnd"/>
      <w:r w:rsidRPr="00DD4F8D">
        <w:rPr>
          <w:rFonts w:eastAsia="Times New Roman" w:cs="Arial"/>
          <w:lang w:eastAsia="en-GB"/>
        </w:rPr>
        <w:t xml:space="preserve"> et al., 2020). The deeper the tail of the dFAD extends, the higher the probability of the dFAD touching the seabed and beaching (</w:t>
      </w:r>
      <w:proofErr w:type="spellStart"/>
      <w:r w:rsidRPr="00DD4F8D">
        <w:rPr>
          <w:rFonts w:eastAsia="Times New Roman" w:cs="Arial"/>
          <w:lang w:eastAsia="en-GB"/>
        </w:rPr>
        <w:t>Curnick</w:t>
      </w:r>
      <w:proofErr w:type="spellEnd"/>
      <w:r w:rsidRPr="00DD4F8D">
        <w:rPr>
          <w:rFonts w:eastAsia="Times New Roman" w:cs="Arial"/>
          <w:lang w:eastAsia="en-GB"/>
        </w:rPr>
        <w:t xml:space="preserve"> et al., 2020). In the Indian and Atlantic Ocean, 9.9% of all dFAD trajectories were found to end with the FAD beaching and, potentially, negatively impacting sensitive habitats such as coral reefs (</w:t>
      </w:r>
      <w:proofErr w:type="spellStart"/>
      <w:r w:rsidRPr="00DD4F8D">
        <w:rPr>
          <w:rFonts w:eastAsia="Times New Roman" w:cs="Arial"/>
          <w:lang w:eastAsia="en-GB"/>
        </w:rPr>
        <w:t>Maufroy</w:t>
      </w:r>
      <w:proofErr w:type="spellEnd"/>
      <w:r w:rsidRPr="00DD4F8D">
        <w:rPr>
          <w:rFonts w:eastAsia="Times New Roman" w:cs="Arial"/>
          <w:lang w:eastAsia="en-GB"/>
        </w:rPr>
        <w:t xml:space="preserve"> et al., 2015). In the </w:t>
      </w:r>
      <w:proofErr w:type="spellStart"/>
      <w:r w:rsidRPr="00DD4F8D">
        <w:rPr>
          <w:rFonts w:eastAsia="Times New Roman" w:cs="Arial"/>
          <w:lang w:eastAsia="en-GB"/>
        </w:rPr>
        <w:t>Chagos</w:t>
      </w:r>
      <w:proofErr w:type="spellEnd"/>
      <w:r w:rsidRPr="00DD4F8D">
        <w:rPr>
          <w:rFonts w:eastAsia="Times New Roman" w:cs="Arial"/>
          <w:lang w:eastAsia="en-GB"/>
        </w:rPr>
        <w:t xml:space="preserve"> Archipelago in the Indian Ocean, a study looking at dFAD drift patterns in a marine protected area (MPA) found that 8.13% of </w:t>
      </w:r>
      <w:proofErr w:type="spellStart"/>
      <w:r w:rsidRPr="00DD4F8D">
        <w:rPr>
          <w:rFonts w:eastAsia="Times New Roman" w:cs="Arial"/>
          <w:lang w:eastAsia="en-GB"/>
        </w:rPr>
        <w:t>dFADs</w:t>
      </w:r>
      <w:proofErr w:type="spellEnd"/>
      <w:r w:rsidRPr="00DD4F8D">
        <w:rPr>
          <w:rFonts w:eastAsia="Times New Roman" w:cs="Arial"/>
          <w:lang w:eastAsia="en-GB"/>
        </w:rPr>
        <w:t xml:space="preserve"> beached (</w:t>
      </w:r>
      <w:proofErr w:type="spellStart"/>
      <w:r w:rsidRPr="00DD4F8D">
        <w:rPr>
          <w:rFonts w:eastAsia="Times New Roman" w:cs="Arial"/>
          <w:lang w:eastAsia="en-GB"/>
        </w:rPr>
        <w:t>Curnick</w:t>
      </w:r>
      <w:proofErr w:type="spellEnd"/>
      <w:r w:rsidRPr="00DD4F8D">
        <w:rPr>
          <w:rFonts w:eastAsia="Times New Roman" w:cs="Arial"/>
          <w:lang w:eastAsia="en-GB"/>
        </w:rPr>
        <w:t xml:space="preserve"> et al., 2020). Modelling estimated that 37.51% of </w:t>
      </w:r>
      <w:proofErr w:type="spellStart"/>
      <w:r w:rsidRPr="00DD4F8D">
        <w:rPr>
          <w:rFonts w:eastAsia="Times New Roman" w:cs="Arial"/>
          <w:lang w:eastAsia="en-GB"/>
        </w:rPr>
        <w:t>dFADS</w:t>
      </w:r>
      <w:proofErr w:type="spellEnd"/>
      <w:r w:rsidRPr="00DD4F8D">
        <w:rPr>
          <w:rFonts w:eastAsia="Times New Roman" w:cs="Arial"/>
          <w:lang w:eastAsia="en-GB"/>
        </w:rPr>
        <w:t xml:space="preserve"> would beach in the MPA.</w:t>
      </w:r>
    </w:p>
    <w:p w14:paraId="7FB3226A" w14:textId="77777777" w:rsidR="00DD4F8D" w:rsidRPr="00DD4F8D" w:rsidRDefault="00DD4F8D" w:rsidP="00DD4F8D">
      <w:pPr>
        <w:spacing w:after="0" w:line="240" w:lineRule="auto"/>
        <w:jc w:val="both"/>
        <w:rPr>
          <w:rFonts w:eastAsia="Times New Roman" w:cs="Arial"/>
          <w:lang w:eastAsia="en-GB"/>
        </w:rPr>
      </w:pPr>
    </w:p>
    <w:p w14:paraId="163C27BC"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Risk of beaching may depend on location of deployment and time of year, which indicates that there is a potential for risks to be mitigated. In 2016-2017, over 1,300 dFADs beached in the WCPO with most </w:t>
      </w:r>
      <w:proofErr w:type="spellStart"/>
      <w:r w:rsidRPr="00DD4F8D">
        <w:rPr>
          <w:rFonts w:eastAsia="Times New Roman" w:cs="Arial"/>
          <w:lang w:eastAsia="en-GB"/>
        </w:rPr>
        <w:t>beachings</w:t>
      </w:r>
      <w:proofErr w:type="spellEnd"/>
      <w:r w:rsidRPr="00DD4F8D">
        <w:rPr>
          <w:rFonts w:eastAsia="Times New Roman" w:cs="Arial"/>
          <w:lang w:eastAsia="en-GB"/>
        </w:rPr>
        <w:t xml:space="preserve"> taking place in Papua New Guinea and the Solomon Islands (</w:t>
      </w:r>
      <w:proofErr w:type="spellStart"/>
      <w:r w:rsidRPr="00DD4F8D">
        <w:rPr>
          <w:rFonts w:eastAsia="Times New Roman" w:cs="Arial"/>
          <w:lang w:eastAsia="en-GB"/>
        </w:rPr>
        <w:t>Escalle</w:t>
      </w:r>
      <w:proofErr w:type="spellEnd"/>
      <w:r w:rsidRPr="00DD4F8D">
        <w:rPr>
          <w:rFonts w:eastAsia="Times New Roman" w:cs="Arial"/>
          <w:lang w:eastAsia="en-GB"/>
        </w:rPr>
        <w:t xml:space="preserve"> et al., 2019). Abandoned</w:t>
      </w:r>
      <w:r w:rsidRPr="00DD4F8D">
        <w:rPr>
          <w:rFonts w:eastAsia="Times New Roman" w:cs="Arial"/>
          <w:vertAlign w:val="superscript"/>
          <w:lang w:eastAsia="en-GB"/>
        </w:rPr>
        <w:footnoteReference w:id="3"/>
      </w:r>
      <w:r w:rsidRPr="00DD4F8D">
        <w:rPr>
          <w:rFonts w:eastAsia="Times New Roman" w:cs="Arial"/>
          <w:lang w:eastAsia="en-GB"/>
        </w:rPr>
        <w:t xml:space="preserve"> dFADs often end up far from the core fishing ground of the company which originally set the FAD, with an average distance travelled of 1,824km recorded by the Parties to the Nauru Agreement (PNA) tracking programme in the WCPO (</w:t>
      </w:r>
      <w:proofErr w:type="spellStart"/>
      <w:r w:rsidRPr="00DD4F8D">
        <w:rPr>
          <w:rFonts w:eastAsia="Times New Roman" w:cs="Arial"/>
          <w:lang w:eastAsia="en-GB"/>
        </w:rPr>
        <w:t>Escalle</w:t>
      </w:r>
      <w:proofErr w:type="spellEnd"/>
      <w:r w:rsidRPr="00DD4F8D">
        <w:rPr>
          <w:rFonts w:eastAsia="Times New Roman" w:cs="Arial"/>
          <w:lang w:eastAsia="en-GB"/>
        </w:rPr>
        <w:t xml:space="preserve"> et al., 2020). Only 9.4% of tracked dFADs in that region were retrieved, whereas 42.1% were lost, 7.4% were beached, 20% were sunk, stolen or had a malfunctioning buoy, and 21.1% were deactivated and left to drift by the fishers (</w:t>
      </w:r>
      <w:proofErr w:type="spellStart"/>
      <w:r w:rsidRPr="00DD4F8D">
        <w:rPr>
          <w:rFonts w:eastAsia="Times New Roman" w:cs="Arial"/>
          <w:lang w:eastAsia="en-GB"/>
        </w:rPr>
        <w:t>Escalle</w:t>
      </w:r>
      <w:proofErr w:type="spellEnd"/>
      <w:r w:rsidRPr="00DD4F8D">
        <w:rPr>
          <w:rFonts w:eastAsia="Times New Roman" w:cs="Arial"/>
          <w:lang w:eastAsia="en-GB"/>
        </w:rPr>
        <w:t xml:space="preserve"> et al., 2020). Beaching of dFADs in the Indian Ocean mostly occurs in Somalia, the Seychelles, the Maldives and Sri Lanka (</w:t>
      </w:r>
      <w:proofErr w:type="spellStart"/>
      <w:r w:rsidRPr="00DD4F8D">
        <w:rPr>
          <w:rFonts w:eastAsia="Times New Roman" w:cs="Arial"/>
          <w:lang w:eastAsia="en-GB"/>
        </w:rPr>
        <w:t>Maufroy</w:t>
      </w:r>
      <w:proofErr w:type="spellEnd"/>
      <w:r w:rsidRPr="00DD4F8D">
        <w:rPr>
          <w:rFonts w:eastAsia="Times New Roman" w:cs="Arial"/>
          <w:lang w:eastAsia="en-GB"/>
        </w:rPr>
        <w:t xml:space="preserve"> et al., 2015). In the Atlantic Ocean, beached dFADs concentrate in the Gulf of Guinea although some have crossed the ocean and ended up on the coast of Brazil. Deployment location and timing, intensity of fishing effort and current strength can impact the likelihood of </w:t>
      </w:r>
      <w:proofErr w:type="spellStart"/>
      <w:r w:rsidRPr="00DD4F8D">
        <w:rPr>
          <w:rFonts w:eastAsia="Times New Roman" w:cs="Arial"/>
          <w:lang w:eastAsia="en-GB"/>
        </w:rPr>
        <w:t>dFADs</w:t>
      </w:r>
      <w:proofErr w:type="spellEnd"/>
      <w:r w:rsidRPr="00DD4F8D">
        <w:rPr>
          <w:rFonts w:eastAsia="Times New Roman" w:cs="Arial"/>
          <w:lang w:eastAsia="en-GB"/>
        </w:rPr>
        <w:t xml:space="preserve"> beaching (</w:t>
      </w:r>
      <w:proofErr w:type="spellStart"/>
      <w:r w:rsidRPr="00DD4F8D">
        <w:rPr>
          <w:rFonts w:eastAsia="Times New Roman" w:cs="Arial"/>
          <w:lang w:eastAsia="en-GB"/>
        </w:rPr>
        <w:t>Maufroy</w:t>
      </w:r>
      <w:proofErr w:type="spellEnd"/>
      <w:r w:rsidRPr="00DD4F8D">
        <w:rPr>
          <w:rFonts w:eastAsia="Times New Roman" w:cs="Arial"/>
          <w:lang w:eastAsia="en-GB"/>
        </w:rPr>
        <w:t xml:space="preserve"> et al., 2015). As noted above, dFADs are generally made from </w:t>
      </w:r>
      <w:r w:rsidRPr="00DD4F8D">
        <w:rPr>
          <w:rFonts w:eastAsia="Times New Roman" w:cs="Arial"/>
          <w:lang w:eastAsia="en-GB"/>
        </w:rPr>
        <w:lastRenderedPageBreak/>
        <w:t>materials which do not degrade and they can accumulate in sensitive coastal ecosystems (</w:t>
      </w:r>
      <w:proofErr w:type="spellStart"/>
      <w:r w:rsidRPr="00DD4F8D">
        <w:rPr>
          <w:rFonts w:eastAsia="Times New Roman" w:cs="Arial"/>
          <w:lang w:eastAsia="en-GB"/>
        </w:rPr>
        <w:t>Zudaire</w:t>
      </w:r>
      <w:proofErr w:type="spellEnd"/>
      <w:r w:rsidRPr="00DD4F8D">
        <w:rPr>
          <w:rFonts w:eastAsia="Times New Roman" w:cs="Arial"/>
          <w:lang w:eastAsia="en-GB"/>
        </w:rPr>
        <w:t xml:space="preserve"> et al., 2020). The reporting of beached FADs will be affected by observer effort. </w:t>
      </w:r>
    </w:p>
    <w:p w14:paraId="00BBA443" w14:textId="77777777" w:rsidR="00DD4F8D" w:rsidRPr="00021B8A" w:rsidRDefault="00DD4F8D" w:rsidP="00021B8A">
      <w:pPr>
        <w:pStyle w:val="Heading1"/>
        <w:spacing w:before="0" w:line="240" w:lineRule="auto"/>
        <w:rPr>
          <w:rFonts w:ascii="Arial" w:hAnsi="Arial" w:cs="Arial"/>
          <w:color w:val="auto"/>
          <w:sz w:val="22"/>
          <w:szCs w:val="22"/>
          <w:u w:val="single"/>
          <w:lang w:eastAsia="en-GB"/>
        </w:rPr>
      </w:pPr>
      <w:bookmarkStart w:id="3" w:name="_Toc138240668"/>
      <w:r w:rsidRPr="00021B8A">
        <w:rPr>
          <w:rFonts w:ascii="Arial" w:hAnsi="Arial" w:cs="Arial"/>
          <w:color w:val="auto"/>
          <w:sz w:val="22"/>
          <w:szCs w:val="22"/>
          <w:u w:val="single"/>
          <w:lang w:eastAsia="en-GB"/>
        </w:rPr>
        <w:t>Generation of microplastics</w:t>
      </w:r>
      <w:bookmarkEnd w:id="3"/>
      <w:r w:rsidRPr="00021B8A">
        <w:rPr>
          <w:rFonts w:ascii="Arial" w:hAnsi="Arial" w:cs="Arial"/>
          <w:color w:val="auto"/>
          <w:sz w:val="22"/>
          <w:szCs w:val="22"/>
          <w:u w:val="single"/>
          <w:lang w:eastAsia="en-GB"/>
        </w:rPr>
        <w:t xml:space="preserve"> </w:t>
      </w:r>
    </w:p>
    <w:p w14:paraId="39994C46" w14:textId="77777777" w:rsidR="00DD4F8D" w:rsidRPr="00DD4F8D" w:rsidRDefault="00DD4F8D" w:rsidP="00DD4F8D">
      <w:pPr>
        <w:spacing w:after="0" w:line="240" w:lineRule="auto"/>
        <w:jc w:val="both"/>
        <w:rPr>
          <w:rFonts w:eastAsia="Times New Roman" w:cs="Arial"/>
          <w:b/>
          <w:bCs/>
          <w:i/>
          <w:iCs/>
          <w:lang w:eastAsia="en-GB"/>
        </w:rPr>
      </w:pPr>
    </w:p>
    <w:p w14:paraId="490FDA2B"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The relationship between FADs and the generation of microplastics has not been directly researched but it can be assumed that, like other plastics in the marine environment, they will make produce microplastics through degradation, fragmentation and abrasion processes. The ingestion of microplastics has the potential to impact all parts of marine food webs, including by increasing the bioavailability of associated toxic substances (see for example, Fossi et al., 2018).  </w:t>
      </w:r>
    </w:p>
    <w:p w14:paraId="1D2A5401" w14:textId="77777777" w:rsidR="009D7E04" w:rsidRPr="00DD4F8D" w:rsidRDefault="009D7E04" w:rsidP="00DD4F8D">
      <w:pPr>
        <w:spacing w:after="0" w:line="240" w:lineRule="auto"/>
        <w:jc w:val="both"/>
        <w:rPr>
          <w:rFonts w:eastAsia="Times New Roman" w:cs="Arial"/>
          <w:lang w:eastAsia="en-GB"/>
        </w:rPr>
      </w:pPr>
    </w:p>
    <w:p w14:paraId="0702B9E5" w14:textId="77777777" w:rsidR="00DD4F8D" w:rsidRPr="00021B8A" w:rsidRDefault="00DD4F8D" w:rsidP="00021B8A">
      <w:pPr>
        <w:pStyle w:val="Heading1"/>
        <w:spacing w:before="0" w:line="240" w:lineRule="auto"/>
        <w:rPr>
          <w:rFonts w:ascii="Arial" w:hAnsi="Arial" w:cs="Arial"/>
          <w:color w:val="auto"/>
          <w:sz w:val="22"/>
          <w:szCs w:val="22"/>
          <w:u w:val="single"/>
          <w:lang w:eastAsia="en-GB"/>
        </w:rPr>
      </w:pPr>
      <w:bookmarkStart w:id="4" w:name="_Toc138240669"/>
      <w:r w:rsidRPr="00021B8A">
        <w:rPr>
          <w:rFonts w:ascii="Arial" w:hAnsi="Arial" w:cs="Arial"/>
          <w:color w:val="auto"/>
          <w:sz w:val="22"/>
          <w:szCs w:val="22"/>
          <w:u w:val="single"/>
          <w:lang w:eastAsia="en-GB"/>
        </w:rPr>
        <w:t>Reducing marine debris from FADs</w:t>
      </w:r>
      <w:bookmarkEnd w:id="4"/>
    </w:p>
    <w:p w14:paraId="0EA2394C" w14:textId="77777777" w:rsidR="00DD4F8D" w:rsidRPr="00DD4F8D" w:rsidRDefault="00DD4F8D" w:rsidP="00DD4F8D">
      <w:pPr>
        <w:keepNext/>
        <w:spacing w:after="0" w:line="240" w:lineRule="auto"/>
        <w:jc w:val="both"/>
        <w:rPr>
          <w:rFonts w:eastAsia="Times New Roman" w:cs="Arial"/>
          <w:lang w:eastAsia="en-GB"/>
        </w:rPr>
      </w:pPr>
    </w:p>
    <w:p w14:paraId="007CD5D2"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The role of FADs in generating significant marine debris has been recognised and the use of natural biodegradable materials promoted as an option to address the problem of lost FADs breaking down in the environment (</w:t>
      </w:r>
      <w:proofErr w:type="spellStart"/>
      <w:r w:rsidRPr="00DD4F8D">
        <w:rPr>
          <w:rFonts w:eastAsia="Times New Roman" w:cs="Arial"/>
          <w:lang w:eastAsia="en-GB"/>
        </w:rPr>
        <w:t>Zudaire</w:t>
      </w:r>
      <w:proofErr w:type="spellEnd"/>
      <w:r w:rsidRPr="00DD4F8D">
        <w:rPr>
          <w:rFonts w:eastAsia="Times New Roman" w:cs="Arial"/>
          <w:lang w:eastAsia="en-GB"/>
        </w:rPr>
        <w:t xml:space="preserve"> et al., 2020). The WCPFC’s recently published Conservation and Management Measures and Resolutions, for example, state that “</w:t>
      </w:r>
      <w:r w:rsidRPr="00DD4F8D">
        <w:rPr>
          <w:rFonts w:eastAsia="Times New Roman" w:cs="Arial"/>
          <w:i/>
          <w:iCs/>
          <w:lang w:eastAsia="en-GB"/>
        </w:rPr>
        <w:t>to reduce the amount of synthetic marine debris, CCMs [Commission Members, Cooperating Non-Members and Participating Territories] shall encourage vessels flying their flag to use, or transition towards using, non-plastic and biodegradable materials in the construction of FADs</w:t>
      </w:r>
      <w:r w:rsidRPr="00DD4F8D">
        <w:rPr>
          <w:rFonts w:eastAsia="Times New Roman" w:cs="Arial"/>
          <w:lang w:eastAsia="en-GB"/>
        </w:rPr>
        <w:t xml:space="preserve">” (WCPFC, 2022). </w:t>
      </w:r>
    </w:p>
    <w:p w14:paraId="50238CE0" w14:textId="77777777" w:rsidR="00DD4F8D" w:rsidRPr="00DD4F8D" w:rsidRDefault="00DD4F8D" w:rsidP="00DD4F8D">
      <w:pPr>
        <w:spacing w:after="0" w:line="240" w:lineRule="auto"/>
        <w:jc w:val="both"/>
        <w:rPr>
          <w:rFonts w:eastAsia="Times New Roman" w:cs="Arial"/>
          <w:lang w:eastAsia="en-GB"/>
        </w:rPr>
      </w:pPr>
    </w:p>
    <w:p w14:paraId="7EE05CAE"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The International Seafood Sustainability Foundation (ISSF) Non-Entangling and Biodegradable FADs Guide recommends the use of bamboo, balsa wood and other natural materials in the rafts of dFADs, and cotton ropes and canvas, manila hemp, sisal and coconut fibre for the tail part (ISSF, 2019). Examples of biodegradable dFAD (bio-FAD) designs which fulfil the identified requirements (having a slow drift, creating drag but with reduced size, reducing the need for plastic flotation, providing shade and working for one year at sea) are given in Moreno et al. (2020). Tails for dFADs, in particular, should be made with biodegradable materials as they can become entangled in coral reefs and remain at sea for many years if they are made of plastic components. </w:t>
      </w:r>
    </w:p>
    <w:p w14:paraId="0050711B" w14:textId="77777777" w:rsidR="00DD4F8D" w:rsidRPr="00DD4F8D" w:rsidRDefault="00DD4F8D" w:rsidP="00DD4F8D">
      <w:pPr>
        <w:spacing w:after="0" w:line="240" w:lineRule="auto"/>
        <w:jc w:val="both"/>
        <w:rPr>
          <w:rFonts w:eastAsia="Times New Roman" w:cs="Arial"/>
          <w:lang w:eastAsia="en-GB"/>
        </w:rPr>
      </w:pPr>
    </w:p>
    <w:p w14:paraId="290FCFE2"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If the same traditional dFAD design is used but with organic ropes and canvas, some fishers may judge that the lifespan of the dFAD is shorter than they require (Moreno et al., 2021). This means that consideration is being given to bio-FAD design to try to ensure that they suffer less structural stress in the water and will not break quickly. Moreno et al. (2021) propose the Jelly-FAD design, for example, which has quasi-neutral buoyancy like a jellyfish. Balsa wood is being tested as a biodegradable material to replace plastic buoys which are used for buoyancy (Moreno et al., 2021). Redesigning dFADs could also address this issue by coming up with designs which require fewer buoys. </w:t>
      </w:r>
    </w:p>
    <w:p w14:paraId="5EA6D7FC" w14:textId="77777777" w:rsidR="00DD4F8D" w:rsidRPr="00DD4F8D" w:rsidRDefault="00DD4F8D" w:rsidP="00DD4F8D">
      <w:pPr>
        <w:spacing w:after="0" w:line="240" w:lineRule="auto"/>
        <w:jc w:val="both"/>
        <w:rPr>
          <w:rFonts w:eastAsia="Times New Roman" w:cs="Arial"/>
          <w:lang w:eastAsia="en-GB"/>
        </w:rPr>
      </w:pPr>
    </w:p>
    <w:p w14:paraId="41B8C054"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The size of a dFAD is also relevant and reducing their size is an important step for reducing the amount of polluting material ending up in the environment. According to Moreno et al. (2021) “</w:t>
      </w:r>
      <w:r w:rsidRPr="00DD4F8D">
        <w:rPr>
          <w:rFonts w:eastAsia="Times New Roman" w:cs="Arial"/>
          <w:i/>
          <w:iCs/>
          <w:lang w:eastAsia="en-GB"/>
        </w:rPr>
        <w:t>the pollution impact of dFAD structures on the ecosystem is related to their size (i.e., the impact of five dFADs of 20 metres depth is proportionately four times less than five dFADs of 80 metres depth)</w:t>
      </w:r>
      <w:r w:rsidRPr="00DD4F8D">
        <w:rPr>
          <w:rFonts w:eastAsia="Times New Roman" w:cs="Arial"/>
          <w:lang w:eastAsia="en-GB"/>
        </w:rPr>
        <w:t>”.</w:t>
      </w:r>
    </w:p>
    <w:p w14:paraId="67B731ED" w14:textId="77777777" w:rsidR="00DD4F8D" w:rsidRPr="00DD4F8D" w:rsidRDefault="00DD4F8D" w:rsidP="00DD4F8D">
      <w:pPr>
        <w:spacing w:after="0" w:line="240" w:lineRule="auto"/>
        <w:jc w:val="both"/>
        <w:rPr>
          <w:rFonts w:eastAsia="Times New Roman" w:cs="Arial"/>
          <w:lang w:eastAsia="en-GB"/>
        </w:rPr>
      </w:pPr>
    </w:p>
    <w:p w14:paraId="7A034203"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Fishers tend to think the best way to prevent plastic pollution is to use biodegradable natural materials in FAD construction (Murua et al., 2019). Management techniques can also be employed. For example, beaching events can be reduced by prohibiting the deployment of dFADs in areas where beaching is more likely to happen (</w:t>
      </w:r>
      <w:proofErr w:type="spellStart"/>
      <w:r w:rsidRPr="00DD4F8D">
        <w:rPr>
          <w:rFonts w:eastAsia="Times New Roman" w:cs="Arial"/>
          <w:lang w:eastAsia="en-GB"/>
        </w:rPr>
        <w:t>Imzilen</w:t>
      </w:r>
      <w:proofErr w:type="spellEnd"/>
      <w:r w:rsidRPr="00DD4F8D">
        <w:rPr>
          <w:rFonts w:eastAsia="Times New Roman" w:cs="Arial"/>
          <w:lang w:eastAsia="en-GB"/>
        </w:rPr>
        <w:t xml:space="preserve"> et al., 2021). For example, in the Indian Ocean in areas south of 8</w:t>
      </w:r>
      <w:r w:rsidRPr="00DD4F8D">
        <w:rPr>
          <w:rFonts w:eastAsia="Times New Roman" w:cs="Arial"/>
          <w:vertAlign w:val="superscript"/>
          <w:lang w:eastAsia="en-GB"/>
        </w:rPr>
        <w:t>o</w:t>
      </w:r>
      <w:r w:rsidRPr="00DD4F8D">
        <w:rPr>
          <w:rFonts w:eastAsia="Times New Roman" w:cs="Arial"/>
          <w:lang w:eastAsia="en-GB"/>
        </w:rPr>
        <w:t xml:space="preserve">S latitude in winter, and in the western Maldives in summer. In the Atlantic, deployment should be avoided in an area adjacent to the western African coast. </w:t>
      </w:r>
    </w:p>
    <w:p w14:paraId="6A086306" w14:textId="77777777" w:rsidR="00DD4F8D" w:rsidRPr="00DD4F8D" w:rsidRDefault="00DD4F8D" w:rsidP="00DD4F8D">
      <w:pPr>
        <w:spacing w:after="0" w:line="240" w:lineRule="auto"/>
        <w:jc w:val="both"/>
        <w:rPr>
          <w:rFonts w:eastAsia="Times New Roman" w:cs="Arial"/>
          <w:lang w:eastAsia="en-GB"/>
        </w:rPr>
      </w:pPr>
    </w:p>
    <w:p w14:paraId="5ECBD9C9" w14:textId="77777777" w:rsidR="00DD4F8D" w:rsidRDefault="00DD4F8D" w:rsidP="00DD4F8D">
      <w:pPr>
        <w:spacing w:after="0" w:line="240" w:lineRule="auto"/>
        <w:jc w:val="both"/>
        <w:rPr>
          <w:rFonts w:eastAsia="Times New Roman" w:cs="Arial"/>
          <w:lang w:eastAsia="en-GB"/>
        </w:rPr>
      </w:pPr>
      <w:r w:rsidRPr="00DD4F8D">
        <w:rPr>
          <w:rFonts w:eastAsia="Times New Roman" w:cs="Arial"/>
          <w:lang w:eastAsia="en-GB"/>
        </w:rPr>
        <w:lastRenderedPageBreak/>
        <w:t>Recovery programmes can also help remove lost FADs from the environment. Approximately 20% of dFADs lost in the Indian and Atlantic oceans passed within 50km of major ports suggesting that port-based programmes could collect abandoned, lost or discarded dFADs at sea (</w:t>
      </w:r>
      <w:proofErr w:type="spellStart"/>
      <w:r w:rsidRPr="00DD4F8D">
        <w:rPr>
          <w:rFonts w:eastAsia="Times New Roman" w:cs="Arial"/>
          <w:lang w:eastAsia="en-GB"/>
        </w:rPr>
        <w:t>Imzilen</w:t>
      </w:r>
      <w:proofErr w:type="spellEnd"/>
      <w:r w:rsidRPr="00DD4F8D">
        <w:rPr>
          <w:rFonts w:eastAsia="Times New Roman" w:cs="Arial"/>
          <w:lang w:eastAsia="en-GB"/>
        </w:rPr>
        <w:t xml:space="preserve"> et al., 2022). Fishing companies could recover dFADs when they are clearly exiting purse seine fishing grounds. For example in the Atlantic Ocean FADs drifting west of 20</w:t>
      </w:r>
      <w:r w:rsidRPr="00DD4F8D">
        <w:rPr>
          <w:rFonts w:eastAsia="Times New Roman" w:cs="Arial"/>
          <w:vertAlign w:val="superscript"/>
          <w:lang w:eastAsia="en-GB"/>
        </w:rPr>
        <w:t>o</w:t>
      </w:r>
      <w:r w:rsidRPr="00DD4F8D">
        <w:rPr>
          <w:rFonts w:eastAsia="Times New Roman" w:cs="Arial"/>
          <w:lang w:eastAsia="en-GB"/>
        </w:rPr>
        <w:t>W in westward currents should be recovered to prevent them beaching on coral reefs in the Gulf of Mexico or the Caribbean Sea (</w:t>
      </w:r>
      <w:proofErr w:type="spellStart"/>
      <w:r w:rsidRPr="00DD4F8D">
        <w:rPr>
          <w:rFonts w:eastAsia="Times New Roman" w:cs="Arial"/>
          <w:lang w:eastAsia="en-GB"/>
        </w:rPr>
        <w:t>Maufroy</w:t>
      </w:r>
      <w:proofErr w:type="spellEnd"/>
      <w:r w:rsidRPr="00DD4F8D">
        <w:rPr>
          <w:rFonts w:eastAsia="Times New Roman" w:cs="Arial"/>
          <w:lang w:eastAsia="en-GB"/>
        </w:rPr>
        <w:t xml:space="preserve"> et al., 2018). However, such actions may be considered economically unfeasible by fishing companies. When dFADs are seen to enter sensitive areas (e.g., a few nautical miles from a coral reef) appropriate remedial actions could follow such as those used in the ‘FAD-Watch’ initiative in the Seychelles, which tracks, retrieves and recycles FADs (</w:t>
      </w:r>
      <w:proofErr w:type="spellStart"/>
      <w:r w:rsidRPr="00DD4F8D">
        <w:rPr>
          <w:rFonts w:eastAsia="Times New Roman" w:cs="Arial"/>
          <w:lang w:eastAsia="en-GB"/>
        </w:rPr>
        <w:t>Zudaire</w:t>
      </w:r>
      <w:proofErr w:type="spellEnd"/>
      <w:r w:rsidRPr="00DD4F8D">
        <w:rPr>
          <w:rFonts w:eastAsia="Times New Roman" w:cs="Arial"/>
          <w:lang w:eastAsia="en-GB"/>
        </w:rPr>
        <w:t xml:space="preserve"> et al., 2018). </w:t>
      </w:r>
    </w:p>
    <w:p w14:paraId="431CAEF8" w14:textId="77777777" w:rsidR="00B66527" w:rsidRPr="00DD4F8D" w:rsidRDefault="00B66527" w:rsidP="00DD4F8D">
      <w:pPr>
        <w:spacing w:after="0" w:line="240" w:lineRule="auto"/>
        <w:jc w:val="both"/>
        <w:rPr>
          <w:rFonts w:eastAsia="Times New Roman" w:cs="Arial"/>
          <w:lang w:eastAsia="en-GB"/>
        </w:rPr>
      </w:pPr>
    </w:p>
    <w:p w14:paraId="4D6ED07B" w14:textId="77777777" w:rsid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Murua et al. (2021) recommend that lost FADs should be </w:t>
      </w:r>
      <w:proofErr w:type="gramStart"/>
      <w:r w:rsidRPr="00DD4F8D">
        <w:rPr>
          <w:rFonts w:eastAsia="Times New Roman" w:cs="Arial"/>
          <w:lang w:eastAsia="en-GB"/>
        </w:rPr>
        <w:t>managed</w:t>
      </w:r>
      <w:proofErr w:type="gramEnd"/>
      <w:r w:rsidRPr="00DD4F8D">
        <w:rPr>
          <w:rFonts w:eastAsia="Times New Roman" w:cs="Arial"/>
          <w:lang w:eastAsia="en-GB"/>
        </w:rPr>
        <w:t xml:space="preserve"> and that FAD ownership needs to be clearly defined so that responsibility for lost and abandoned FADs can be determined. One way to manage the recovery of lost FADs is that fishing fleets should recover a certain percentage of their FADs at the end of each year (as already required by the IATTC). The Joint t-RFMO FAD Working Group has discussed the possibility of owners of FADs which damage coral reefs, for example, also being required to pay compensation under a “polluter-payer” concept (JWGFAD, 2019). Gilman et al. (2022) recommend “no fault” reporting schemes so that fishers are not disincentivised from reporting lost FADs.</w:t>
      </w:r>
    </w:p>
    <w:p w14:paraId="16195668" w14:textId="77777777" w:rsidR="00B66527" w:rsidRPr="00DD4F8D" w:rsidRDefault="00B66527" w:rsidP="00DD4F8D">
      <w:pPr>
        <w:spacing w:after="0" w:line="240" w:lineRule="auto"/>
        <w:jc w:val="both"/>
        <w:rPr>
          <w:rFonts w:eastAsia="Times New Roman" w:cs="Arial"/>
          <w:lang w:eastAsia="en-GB"/>
        </w:rPr>
      </w:pPr>
    </w:p>
    <w:p w14:paraId="2F40DE12"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Regular inspection and maintenance of aFADs can reduce loss rates and the potential for them to become marine debris (Gilman et al., 2022). Technology such as satellite buoys can be used to alert when an aFAD moves position. Area management is also important so that there is no conflict with gillnet and longline fishers and so that shipping lanes are avoided when aFADs are installed. aFADs need to be properly marked so that they are visible and can be avoided by vessels. Designs with submerged structures could also reduce vessel strikes, entanglement and vandalism. Subsurface aFADs are being used in the Pacific region to combat these problems especially in areas of high boat traffic (</w:t>
      </w:r>
      <w:proofErr w:type="spellStart"/>
      <w:r w:rsidRPr="00DD4F8D">
        <w:rPr>
          <w:rFonts w:eastAsia="Times New Roman" w:cs="Arial"/>
          <w:lang w:eastAsia="en-GB"/>
        </w:rPr>
        <w:t>Sokimi</w:t>
      </w:r>
      <w:proofErr w:type="spellEnd"/>
      <w:r w:rsidRPr="00DD4F8D">
        <w:rPr>
          <w:rFonts w:eastAsia="Times New Roman" w:cs="Arial"/>
          <w:lang w:eastAsia="en-GB"/>
        </w:rPr>
        <w:t xml:space="preserve"> et al., 2020). In the Maldives, aFAD loss was reduced from 82% to 20% by improving aFAD buoyance, mooring and anchor designs and by paying fishers to retrieve lost aFADs (Gilman et al., 2022). </w:t>
      </w:r>
    </w:p>
    <w:p w14:paraId="2A5EE67E" w14:textId="77777777" w:rsidR="009D7E04" w:rsidRPr="00DD4F8D" w:rsidRDefault="009D7E04" w:rsidP="00DD4F8D">
      <w:pPr>
        <w:spacing w:after="0" w:line="240" w:lineRule="auto"/>
        <w:jc w:val="both"/>
        <w:rPr>
          <w:rFonts w:eastAsia="Times New Roman" w:cs="Arial"/>
          <w:lang w:eastAsia="en-GB"/>
        </w:rPr>
      </w:pPr>
    </w:p>
    <w:p w14:paraId="59EE17FE" w14:textId="77777777" w:rsidR="00DD4F8D" w:rsidRPr="00021B8A" w:rsidRDefault="00DD4F8D" w:rsidP="00021B8A">
      <w:pPr>
        <w:pStyle w:val="Heading1"/>
        <w:spacing w:before="0" w:line="240" w:lineRule="auto"/>
        <w:rPr>
          <w:rFonts w:ascii="Arial" w:hAnsi="Arial" w:cs="Arial"/>
          <w:color w:val="auto"/>
          <w:sz w:val="22"/>
          <w:szCs w:val="22"/>
          <w:u w:val="single"/>
          <w:lang w:eastAsia="en-GB"/>
        </w:rPr>
      </w:pPr>
      <w:bookmarkStart w:id="5" w:name="_Toc138240670"/>
      <w:r w:rsidRPr="00021B8A">
        <w:rPr>
          <w:rFonts w:ascii="Arial" w:hAnsi="Arial" w:cs="Arial"/>
          <w:color w:val="auto"/>
          <w:sz w:val="22"/>
          <w:szCs w:val="22"/>
          <w:u w:val="single"/>
          <w:lang w:eastAsia="en-GB"/>
        </w:rPr>
        <w:t>Entanglement and ghost fishing</w:t>
      </w:r>
      <w:bookmarkEnd w:id="5"/>
      <w:r w:rsidRPr="00021B8A">
        <w:rPr>
          <w:rFonts w:ascii="Arial" w:hAnsi="Arial" w:cs="Arial"/>
          <w:color w:val="auto"/>
          <w:sz w:val="22"/>
          <w:szCs w:val="22"/>
          <w:u w:val="single"/>
          <w:lang w:eastAsia="en-GB"/>
        </w:rPr>
        <w:t xml:space="preserve"> </w:t>
      </w:r>
    </w:p>
    <w:p w14:paraId="1E1B5539" w14:textId="77777777" w:rsidR="00DD4F8D" w:rsidRPr="00DD4F8D" w:rsidRDefault="00DD4F8D" w:rsidP="00DD4F8D">
      <w:pPr>
        <w:spacing w:after="0" w:line="240" w:lineRule="auto"/>
        <w:jc w:val="both"/>
        <w:rPr>
          <w:rFonts w:eastAsia="Times New Roman" w:cs="Arial"/>
          <w:lang w:eastAsia="en-GB"/>
        </w:rPr>
      </w:pPr>
    </w:p>
    <w:p w14:paraId="19A13F68"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Non-target wildlife can become entangled in dFADs which are actively deployed and being tracked by fishers, or in those which have been lost and which are considered marine debris. The full scale of this is unknown.  Entanglement in dFADs tends to go unobserved by fishers because much of it takes place in the submerged sections of the FAD (Murua et al., 2021). </w:t>
      </w:r>
    </w:p>
    <w:p w14:paraId="5A0A2822" w14:textId="77777777" w:rsidR="00DD4F8D" w:rsidRPr="00DD4F8D" w:rsidRDefault="00DD4F8D" w:rsidP="00DD4F8D">
      <w:pPr>
        <w:spacing w:after="0" w:line="240" w:lineRule="auto"/>
        <w:jc w:val="both"/>
        <w:rPr>
          <w:rFonts w:eastAsia="Times New Roman" w:cs="Arial"/>
          <w:lang w:eastAsia="en-GB"/>
        </w:rPr>
      </w:pPr>
    </w:p>
    <w:p w14:paraId="52B298C3"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Sharks, turtles and other sensitive species are at risk of entanglement in dFADs. FADs with nets hanging from them which are spread out rather than tied into bundles are considered high entanglement risk FADs (HERFADs) (</w:t>
      </w:r>
      <w:proofErr w:type="spellStart"/>
      <w:r w:rsidRPr="00DD4F8D">
        <w:rPr>
          <w:rFonts w:eastAsia="Times New Roman" w:cs="Arial"/>
          <w:lang w:eastAsia="en-GB"/>
        </w:rPr>
        <w:t>Zudaire</w:t>
      </w:r>
      <w:proofErr w:type="spellEnd"/>
      <w:r w:rsidRPr="00DD4F8D">
        <w:rPr>
          <w:rFonts w:eastAsia="Times New Roman" w:cs="Arial"/>
          <w:lang w:eastAsia="en-GB"/>
        </w:rPr>
        <w:t xml:space="preserve"> et al., 2020). IATTC, IOTC, ICCAT and WCPFC require that newly deployed dFADs should be non-entangling (Murua et al., 2021).</w:t>
      </w:r>
    </w:p>
    <w:p w14:paraId="0D7C513A" w14:textId="77777777" w:rsidR="009D7E04" w:rsidRDefault="009D7E04" w:rsidP="00DD4F8D">
      <w:pPr>
        <w:spacing w:after="0" w:line="240" w:lineRule="auto"/>
        <w:jc w:val="both"/>
        <w:rPr>
          <w:rFonts w:eastAsia="Times New Roman" w:cs="Arial"/>
          <w:i/>
          <w:iCs/>
          <w:lang w:eastAsia="en-GB"/>
        </w:rPr>
      </w:pPr>
    </w:p>
    <w:p w14:paraId="67F46DBC" w14:textId="41F5CB12" w:rsidR="00DD4F8D" w:rsidRPr="00021B8A" w:rsidRDefault="00DD4F8D" w:rsidP="00021B8A">
      <w:pPr>
        <w:pStyle w:val="Heading2"/>
        <w:spacing w:before="0" w:line="240" w:lineRule="auto"/>
        <w:rPr>
          <w:rFonts w:ascii="Arial" w:hAnsi="Arial" w:cs="Arial"/>
          <w:i/>
          <w:iCs/>
          <w:color w:val="auto"/>
          <w:sz w:val="22"/>
          <w:szCs w:val="22"/>
          <w:lang w:eastAsia="en-GB"/>
        </w:rPr>
      </w:pPr>
      <w:bookmarkStart w:id="6" w:name="_Toc138240671"/>
      <w:r w:rsidRPr="00021B8A">
        <w:rPr>
          <w:rFonts w:ascii="Arial" w:hAnsi="Arial" w:cs="Arial"/>
          <w:i/>
          <w:iCs/>
          <w:color w:val="auto"/>
          <w:sz w:val="22"/>
          <w:szCs w:val="22"/>
          <w:lang w:eastAsia="en-GB"/>
        </w:rPr>
        <w:t>Sharks</w:t>
      </w:r>
      <w:bookmarkEnd w:id="6"/>
      <w:r w:rsidRPr="00021B8A">
        <w:rPr>
          <w:rFonts w:ascii="Arial" w:hAnsi="Arial" w:cs="Arial"/>
          <w:i/>
          <w:iCs/>
          <w:color w:val="auto"/>
          <w:sz w:val="22"/>
          <w:szCs w:val="22"/>
          <w:lang w:eastAsia="en-GB"/>
        </w:rPr>
        <w:t xml:space="preserve"> </w:t>
      </w:r>
    </w:p>
    <w:p w14:paraId="2722B94A" w14:textId="77777777" w:rsidR="00DD4F8D" w:rsidRPr="00DD4F8D" w:rsidRDefault="00DD4F8D" w:rsidP="00DD4F8D">
      <w:pPr>
        <w:spacing w:after="0" w:line="240" w:lineRule="auto"/>
        <w:jc w:val="both"/>
        <w:rPr>
          <w:rFonts w:eastAsia="Times New Roman" w:cs="Arial"/>
          <w:lang w:eastAsia="en-GB"/>
        </w:rPr>
      </w:pPr>
    </w:p>
    <w:p w14:paraId="7A2B0640"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Most shark entanglement goes unrecorded as it happens when the dFADs are drifting and no boats are nearby to observe it, with the entangled animal dying and then its dead body falling off the FAD and sinking after a couple of days (ISSF, 2019). </w:t>
      </w:r>
    </w:p>
    <w:p w14:paraId="5F9BB232" w14:textId="77777777" w:rsidR="00DD4F8D" w:rsidRPr="00DD4F8D" w:rsidRDefault="00DD4F8D" w:rsidP="00DD4F8D">
      <w:pPr>
        <w:spacing w:after="0" w:line="240" w:lineRule="auto"/>
        <w:jc w:val="both"/>
        <w:rPr>
          <w:rFonts w:eastAsia="Times New Roman" w:cs="Arial"/>
          <w:lang w:eastAsia="en-GB"/>
        </w:rPr>
      </w:pPr>
    </w:p>
    <w:p w14:paraId="73100632"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The sharks which associate with dFADs are mainly silky sharks (</w:t>
      </w:r>
      <w:r w:rsidRPr="00DD4F8D">
        <w:rPr>
          <w:rFonts w:eastAsia="Times New Roman" w:cs="Arial"/>
          <w:i/>
          <w:iCs/>
          <w:lang w:eastAsia="en-GB"/>
        </w:rPr>
        <w:t xml:space="preserve">Carcharhinus </w:t>
      </w:r>
      <w:proofErr w:type="spellStart"/>
      <w:r w:rsidRPr="00DD4F8D">
        <w:rPr>
          <w:rFonts w:eastAsia="Times New Roman" w:cs="Arial"/>
          <w:i/>
          <w:iCs/>
          <w:lang w:eastAsia="en-GB"/>
        </w:rPr>
        <w:t>falciformis</w:t>
      </w:r>
      <w:proofErr w:type="spellEnd"/>
      <w:r w:rsidRPr="00DD4F8D">
        <w:rPr>
          <w:rFonts w:eastAsia="Times New Roman" w:cs="Arial"/>
          <w:lang w:eastAsia="en-GB"/>
        </w:rPr>
        <w:t>) and oceanic white tip sharks (</w:t>
      </w:r>
      <w:proofErr w:type="spellStart"/>
      <w:r w:rsidRPr="00DD4F8D">
        <w:rPr>
          <w:rFonts w:eastAsia="Times New Roman" w:cs="Arial"/>
          <w:i/>
          <w:iCs/>
          <w:lang w:eastAsia="en-GB"/>
        </w:rPr>
        <w:t>Cacharhinus</w:t>
      </w:r>
      <w:proofErr w:type="spellEnd"/>
      <w:r w:rsidRPr="00DD4F8D">
        <w:rPr>
          <w:rFonts w:eastAsia="Times New Roman" w:cs="Arial"/>
          <w:i/>
          <w:iCs/>
          <w:lang w:eastAsia="en-GB"/>
        </w:rPr>
        <w:t xml:space="preserve"> </w:t>
      </w:r>
      <w:proofErr w:type="spellStart"/>
      <w:r w:rsidRPr="00DD4F8D">
        <w:rPr>
          <w:rFonts w:eastAsia="Times New Roman" w:cs="Arial"/>
          <w:i/>
          <w:iCs/>
          <w:lang w:eastAsia="en-GB"/>
        </w:rPr>
        <w:t>longimanus</w:t>
      </w:r>
      <w:proofErr w:type="spellEnd"/>
      <w:r w:rsidRPr="00DD4F8D">
        <w:rPr>
          <w:rFonts w:eastAsia="Times New Roman" w:cs="Arial"/>
          <w:lang w:eastAsia="en-GB"/>
        </w:rPr>
        <w:t>) (</w:t>
      </w:r>
      <w:proofErr w:type="spellStart"/>
      <w:r w:rsidRPr="00DD4F8D">
        <w:rPr>
          <w:rFonts w:eastAsia="Times New Roman" w:cs="Arial"/>
          <w:lang w:eastAsia="en-GB"/>
        </w:rPr>
        <w:t>Murua</w:t>
      </w:r>
      <w:proofErr w:type="spellEnd"/>
      <w:r w:rsidRPr="00DD4F8D">
        <w:rPr>
          <w:rFonts w:eastAsia="Times New Roman" w:cs="Arial"/>
          <w:lang w:eastAsia="en-GB"/>
        </w:rPr>
        <w:t xml:space="preserve"> et al., 2016). When they become entangled in the submerged tail of a FAD, they stop moving and, as obligate ram ventilators, they soon suffocate (</w:t>
      </w:r>
      <w:proofErr w:type="spellStart"/>
      <w:r w:rsidRPr="00DD4F8D">
        <w:rPr>
          <w:rFonts w:eastAsia="Times New Roman" w:cs="Arial"/>
          <w:lang w:eastAsia="en-GB"/>
        </w:rPr>
        <w:t>Zudaire</w:t>
      </w:r>
      <w:proofErr w:type="spellEnd"/>
      <w:r w:rsidRPr="00DD4F8D">
        <w:rPr>
          <w:rFonts w:eastAsia="Times New Roman" w:cs="Arial"/>
          <w:lang w:eastAsia="en-GB"/>
        </w:rPr>
        <w:t xml:space="preserve"> et al., 2020). Silky sharks are listed on Appendix II of the </w:t>
      </w:r>
      <w:r w:rsidRPr="00DD4F8D">
        <w:rPr>
          <w:rFonts w:eastAsia="Times New Roman" w:cs="Arial"/>
          <w:lang w:eastAsia="en-GB"/>
        </w:rPr>
        <w:lastRenderedPageBreak/>
        <w:t>Convention on International Trade of Endangered Species of Wild Fauna and Flora (CITES)</w:t>
      </w:r>
      <w:r w:rsidRPr="00DD4F8D">
        <w:rPr>
          <w:rFonts w:eastAsia="Times New Roman" w:cs="Arial"/>
          <w:vertAlign w:val="superscript"/>
          <w:lang w:eastAsia="en-GB"/>
        </w:rPr>
        <w:footnoteReference w:id="4"/>
      </w:r>
      <w:r w:rsidRPr="00DD4F8D">
        <w:rPr>
          <w:rFonts w:eastAsia="Times New Roman" w:cs="Arial"/>
          <w:lang w:eastAsia="en-GB"/>
        </w:rPr>
        <w:t>, Appendix II of CMS</w:t>
      </w:r>
      <w:r w:rsidRPr="00DD4F8D">
        <w:rPr>
          <w:rFonts w:eastAsia="Times New Roman" w:cs="Arial"/>
          <w:vertAlign w:val="superscript"/>
          <w:lang w:eastAsia="en-GB"/>
        </w:rPr>
        <w:footnoteReference w:id="5"/>
      </w:r>
      <w:r w:rsidRPr="00DD4F8D">
        <w:rPr>
          <w:rFonts w:eastAsia="Times New Roman" w:cs="Arial"/>
          <w:lang w:eastAsia="en-GB"/>
        </w:rPr>
        <w:t xml:space="preserve"> and have been assessed as Vulnerable on the IUCN Red List of Threatened Species (Rigby et al., 2021). Oceanic white tip sharks are listed on Appendix II of CITES, Appendix I of CMS and have been assessed as Critically Endangered on the IUCN Red List (Rigby et al., 2019). </w:t>
      </w:r>
      <w:proofErr w:type="spellStart"/>
      <w:r w:rsidRPr="00DD4F8D">
        <w:rPr>
          <w:rFonts w:eastAsia="Times New Roman" w:cs="Arial"/>
          <w:lang w:eastAsia="en-GB"/>
        </w:rPr>
        <w:t>Filmalter</w:t>
      </w:r>
      <w:proofErr w:type="spellEnd"/>
      <w:r w:rsidRPr="00DD4F8D">
        <w:rPr>
          <w:rFonts w:eastAsia="Times New Roman" w:cs="Arial"/>
          <w:lang w:eastAsia="en-GB"/>
        </w:rPr>
        <w:t xml:space="preserve"> et al. (2013) estimated that annually between 480,000 and 960,000 silky sharks</w:t>
      </w:r>
      <w:r w:rsidRPr="00DD4F8D">
        <w:rPr>
          <w:rFonts w:eastAsia="Times New Roman" w:cs="Arial"/>
          <w:i/>
          <w:iCs/>
          <w:lang w:eastAsia="en-GB"/>
        </w:rPr>
        <w:t xml:space="preserve"> </w:t>
      </w:r>
      <w:r w:rsidRPr="00DD4F8D">
        <w:rPr>
          <w:rFonts w:eastAsia="Times New Roman" w:cs="Arial"/>
          <w:lang w:eastAsia="en-GB"/>
        </w:rPr>
        <w:t xml:space="preserve">were killed due to entanglement in the submerged netting of active FADs in the Indian Ocean. </w:t>
      </w:r>
    </w:p>
    <w:p w14:paraId="48CAAACB" w14:textId="77777777" w:rsidR="00DD4F8D" w:rsidRPr="00DD4F8D" w:rsidRDefault="00DD4F8D" w:rsidP="00DD4F8D">
      <w:pPr>
        <w:spacing w:after="0" w:line="240" w:lineRule="auto"/>
        <w:jc w:val="both"/>
        <w:rPr>
          <w:rFonts w:eastAsia="Times New Roman" w:cs="Arial"/>
          <w:lang w:eastAsia="en-GB"/>
        </w:rPr>
      </w:pPr>
    </w:p>
    <w:p w14:paraId="220706B0"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noProof/>
          <w:lang w:eastAsia="en-GB"/>
        </w:rPr>
        <w:drawing>
          <wp:inline distT="0" distB="0" distL="0" distR="0" wp14:anchorId="33DDA289" wp14:editId="58B11F96">
            <wp:extent cx="2025276" cy="264843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1617" cy="2656731"/>
                    </a:xfrm>
                    <a:prstGeom prst="rect">
                      <a:avLst/>
                    </a:prstGeom>
                  </pic:spPr>
                </pic:pic>
              </a:graphicData>
            </a:graphic>
          </wp:inline>
        </w:drawing>
      </w:r>
    </w:p>
    <w:p w14:paraId="029858B8" w14:textId="77777777" w:rsidR="00DD4F8D" w:rsidRPr="00F3098A" w:rsidRDefault="00DD4F8D" w:rsidP="00DD4F8D">
      <w:pPr>
        <w:spacing w:after="0" w:line="240" w:lineRule="auto"/>
        <w:jc w:val="both"/>
        <w:rPr>
          <w:rFonts w:eastAsia="Times New Roman" w:cs="Arial"/>
          <w:sz w:val="20"/>
          <w:szCs w:val="20"/>
          <w:lang w:eastAsia="en-GB"/>
        </w:rPr>
      </w:pPr>
      <w:r w:rsidRPr="00F3098A">
        <w:rPr>
          <w:rFonts w:eastAsia="Times New Roman" w:cs="Arial"/>
          <w:sz w:val="20"/>
          <w:szCs w:val="20"/>
          <w:lang w:eastAsia="en-GB"/>
        </w:rPr>
        <w:t xml:space="preserve">Figure 4: Entangled silky sharks in the netting of a </w:t>
      </w:r>
      <w:proofErr w:type="spellStart"/>
      <w:r w:rsidRPr="00F3098A">
        <w:rPr>
          <w:rFonts w:eastAsia="Times New Roman" w:cs="Arial"/>
          <w:sz w:val="20"/>
          <w:szCs w:val="20"/>
          <w:lang w:eastAsia="en-GB"/>
        </w:rPr>
        <w:t>dFAD</w:t>
      </w:r>
      <w:proofErr w:type="spellEnd"/>
      <w:r w:rsidRPr="00F3098A">
        <w:rPr>
          <w:rFonts w:eastAsia="Times New Roman" w:cs="Arial"/>
          <w:sz w:val="20"/>
          <w:szCs w:val="20"/>
          <w:lang w:eastAsia="en-GB"/>
        </w:rPr>
        <w:t xml:space="preserve"> (From </w:t>
      </w:r>
      <w:proofErr w:type="spellStart"/>
      <w:r w:rsidRPr="00F3098A">
        <w:rPr>
          <w:rFonts w:eastAsia="Times New Roman" w:cs="Arial"/>
          <w:sz w:val="20"/>
          <w:szCs w:val="20"/>
          <w:lang w:eastAsia="en-GB"/>
        </w:rPr>
        <w:t>Filmalter</w:t>
      </w:r>
      <w:proofErr w:type="spellEnd"/>
      <w:r w:rsidRPr="00F3098A">
        <w:rPr>
          <w:rFonts w:eastAsia="Times New Roman" w:cs="Arial"/>
          <w:sz w:val="20"/>
          <w:szCs w:val="20"/>
          <w:lang w:eastAsia="en-GB"/>
        </w:rPr>
        <w:t xml:space="preserve"> et al., 2013)</w:t>
      </w:r>
    </w:p>
    <w:p w14:paraId="299048F6" w14:textId="77777777" w:rsidR="00DD4F8D" w:rsidRPr="00DD4F8D" w:rsidRDefault="00DD4F8D" w:rsidP="00DD4F8D">
      <w:pPr>
        <w:spacing w:after="0" w:line="240" w:lineRule="auto"/>
        <w:jc w:val="both"/>
        <w:rPr>
          <w:rFonts w:eastAsia="Times New Roman" w:cs="Arial"/>
          <w:lang w:eastAsia="en-GB"/>
        </w:rPr>
      </w:pPr>
    </w:p>
    <w:p w14:paraId="1F4BCF1A" w14:textId="77777777" w:rsidR="00DD4F8D" w:rsidRPr="00021B8A" w:rsidRDefault="00DD4F8D" w:rsidP="00021B8A">
      <w:pPr>
        <w:pStyle w:val="Heading2"/>
        <w:spacing w:before="0" w:line="240" w:lineRule="auto"/>
        <w:rPr>
          <w:rFonts w:ascii="Arial" w:hAnsi="Arial" w:cs="Arial"/>
          <w:i/>
          <w:iCs/>
          <w:color w:val="auto"/>
          <w:sz w:val="22"/>
          <w:szCs w:val="22"/>
          <w:lang w:eastAsia="en-GB"/>
        </w:rPr>
      </w:pPr>
      <w:bookmarkStart w:id="7" w:name="_Toc138240672"/>
      <w:r w:rsidRPr="00021B8A">
        <w:rPr>
          <w:rFonts w:ascii="Arial" w:hAnsi="Arial" w:cs="Arial"/>
          <w:i/>
          <w:iCs/>
          <w:color w:val="auto"/>
          <w:sz w:val="22"/>
          <w:szCs w:val="22"/>
          <w:lang w:eastAsia="en-GB"/>
        </w:rPr>
        <w:t>Sea turtles</w:t>
      </w:r>
      <w:bookmarkEnd w:id="7"/>
    </w:p>
    <w:p w14:paraId="3A54D8BC" w14:textId="77777777" w:rsidR="00DD4F8D" w:rsidRPr="00DD4F8D" w:rsidRDefault="00DD4F8D" w:rsidP="00DD4F8D">
      <w:pPr>
        <w:spacing w:after="0" w:line="240" w:lineRule="auto"/>
        <w:jc w:val="both"/>
        <w:rPr>
          <w:rFonts w:eastAsia="Times New Roman" w:cs="Arial"/>
          <w:lang w:eastAsia="en-GB"/>
        </w:rPr>
      </w:pPr>
    </w:p>
    <w:p w14:paraId="640B784A"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Whereas sharks only get entangled in submerged netting, sea turtles may also get caught in the netting on top of the raft when they climb on to the raft to rest (</w:t>
      </w:r>
      <w:proofErr w:type="spellStart"/>
      <w:r w:rsidRPr="00DD4F8D">
        <w:rPr>
          <w:rFonts w:eastAsia="Times New Roman" w:cs="Arial"/>
          <w:lang w:eastAsia="en-GB"/>
        </w:rPr>
        <w:t>Zudaire</w:t>
      </w:r>
      <w:proofErr w:type="spellEnd"/>
      <w:r w:rsidRPr="00DD4F8D">
        <w:rPr>
          <w:rFonts w:eastAsia="Times New Roman" w:cs="Arial"/>
          <w:lang w:eastAsia="en-GB"/>
        </w:rPr>
        <w:t xml:space="preserve"> et al., 2020). When this type of entanglement takes place there is a chance of the turtle being seen and rescued but this entirely depends on how soon the fishers check the FAD after the turtle has become entangled. Entanglements with FADs, including in the anchoring lines of aFADs, cause injuries which can lead to loss of limbs and death if the turtle is unable to surface to breathe (Blasi et al., 2016). If the turtle is entangled in material from a FAD but is still able to swim, it may survive for a period but will be susceptible to starvation if it is unable to forage properly. It may also be unable to escape from predators. </w:t>
      </w:r>
    </w:p>
    <w:p w14:paraId="2712A07A" w14:textId="77777777" w:rsidR="00DD4F8D" w:rsidRPr="00DD4F8D" w:rsidRDefault="00DD4F8D" w:rsidP="00DD4F8D">
      <w:pPr>
        <w:spacing w:after="0" w:line="240" w:lineRule="auto"/>
        <w:jc w:val="both"/>
        <w:rPr>
          <w:rFonts w:eastAsia="Times New Roman" w:cs="Arial"/>
          <w:lang w:eastAsia="en-GB"/>
        </w:rPr>
      </w:pPr>
    </w:p>
    <w:p w14:paraId="10A329E3"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A survey of loggerhead turtles (</w:t>
      </w:r>
      <w:r w:rsidRPr="00DD4F8D">
        <w:rPr>
          <w:rFonts w:eastAsia="Times New Roman" w:cs="Arial"/>
          <w:i/>
          <w:iCs/>
          <w:lang w:eastAsia="en-GB"/>
        </w:rPr>
        <w:t>Caretta caretta</w:t>
      </w:r>
      <w:r w:rsidRPr="00DD4F8D">
        <w:rPr>
          <w:rFonts w:eastAsia="Times New Roman" w:cs="Arial"/>
          <w:lang w:eastAsia="en-GB"/>
        </w:rPr>
        <w:t xml:space="preserve">) around the Aeolian Archipelago in Northern Sicily in the Mediterranean found that of 71 turtles which needed rescuing and 22 which had died, 19.4% (n=18) of them were entangled in plastic debris (FADs or floating debris probably of FAD origin) (Blasi et al., 2016). In the Eastern Pacific Ocean, around 80 to 100 turtles were estimated to have been entangled in FADs each year between 1991 and 2008 with 1% of FADs having entangled turtles, although these estimates had a high degree of uncertainty due to inadequate observer effort (Hall and Roman, 2013). </w:t>
      </w:r>
    </w:p>
    <w:p w14:paraId="059A4B9A" w14:textId="77777777" w:rsidR="00860EE8" w:rsidRDefault="00860EE8" w:rsidP="00DD4F8D">
      <w:pPr>
        <w:spacing w:after="0" w:line="240" w:lineRule="auto"/>
        <w:jc w:val="both"/>
        <w:rPr>
          <w:rFonts w:eastAsia="Times New Roman" w:cs="Arial"/>
          <w:lang w:eastAsia="en-GB"/>
        </w:rPr>
      </w:pPr>
    </w:p>
    <w:p w14:paraId="0654BF7F" w14:textId="10BEDFBF"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Entanglement in FADs, as well as bycatch in fisheries, could potentially be avoided through time-area closures (FAO, 2010), although FADs that are still in the area from earlier deployment would need to be considered and preferably removed. Some species of sea turtles follow migratory corridors from nesting beaches to foraging grounds, while other species’ movements can be associated with temperature and other conditions (FAO, 2010). Spatial and temporal fishing restrictions including prohibitions on FAD deployment when there are </w:t>
      </w:r>
      <w:r w:rsidRPr="00DD4F8D">
        <w:rPr>
          <w:rFonts w:eastAsia="Times New Roman" w:cs="Arial"/>
          <w:lang w:eastAsia="en-GB"/>
        </w:rPr>
        <w:lastRenderedPageBreak/>
        <w:t xml:space="preserve">high concentrations of turtles could help reduce entanglement. However, there may be issues with determining which areas should see restrictions and how to implement them. </w:t>
      </w:r>
    </w:p>
    <w:p w14:paraId="7C430CB4" w14:textId="77777777" w:rsidR="00DD4F8D" w:rsidRPr="00DD4F8D" w:rsidRDefault="00DD4F8D" w:rsidP="00DD4F8D">
      <w:pPr>
        <w:spacing w:after="0" w:line="240" w:lineRule="auto"/>
        <w:jc w:val="both"/>
        <w:rPr>
          <w:rFonts w:eastAsia="Times New Roman" w:cs="Arial"/>
          <w:lang w:eastAsia="en-GB"/>
        </w:rPr>
      </w:pPr>
    </w:p>
    <w:p w14:paraId="334B3D9E" w14:textId="77777777" w:rsidR="00DD4F8D" w:rsidRPr="00021B8A" w:rsidRDefault="00DD4F8D" w:rsidP="00021B8A">
      <w:pPr>
        <w:pStyle w:val="Heading2"/>
        <w:spacing w:before="0" w:line="240" w:lineRule="auto"/>
        <w:rPr>
          <w:rFonts w:ascii="Arial" w:hAnsi="Arial" w:cs="Arial"/>
          <w:i/>
          <w:iCs/>
          <w:color w:val="auto"/>
          <w:sz w:val="22"/>
          <w:szCs w:val="22"/>
          <w:lang w:eastAsia="en-GB"/>
        </w:rPr>
      </w:pPr>
      <w:bookmarkStart w:id="8" w:name="_Toc138240673"/>
      <w:r w:rsidRPr="00021B8A">
        <w:rPr>
          <w:rFonts w:ascii="Arial" w:hAnsi="Arial" w:cs="Arial"/>
          <w:i/>
          <w:iCs/>
          <w:color w:val="auto"/>
          <w:sz w:val="22"/>
          <w:szCs w:val="22"/>
          <w:lang w:eastAsia="en-GB"/>
        </w:rPr>
        <w:t>Marine mammals</w:t>
      </w:r>
      <w:bookmarkEnd w:id="8"/>
    </w:p>
    <w:p w14:paraId="6887A359" w14:textId="77777777" w:rsidR="00DD4F8D" w:rsidRPr="00DD4F8D" w:rsidRDefault="00DD4F8D" w:rsidP="00DD4F8D">
      <w:pPr>
        <w:spacing w:after="0" w:line="240" w:lineRule="auto"/>
        <w:jc w:val="both"/>
        <w:rPr>
          <w:rFonts w:eastAsia="Times New Roman" w:cs="Arial"/>
          <w:lang w:eastAsia="en-GB"/>
        </w:rPr>
      </w:pPr>
    </w:p>
    <w:p w14:paraId="36927C14"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NOAA (2017) considered that marine mammals are at risk of entanglement with the nets, rope and lines used in FADs and that the anchoring lines in aFADs are of particular concern. The FAD material can become chronically entangled around the animal’s body, neck or flippers impeding its ability to swim and forage and even resulting in death if the animal is unable to surface to breathe. According to Anderson (2014), cetaceans do not regularly associate with FADs in the Indian Ocean although rough-toothed dolphins (</w:t>
      </w:r>
      <w:r w:rsidRPr="00DD4F8D">
        <w:rPr>
          <w:rFonts w:eastAsia="Times New Roman" w:cs="Arial"/>
          <w:i/>
          <w:iCs/>
          <w:lang w:eastAsia="en-GB"/>
        </w:rPr>
        <w:t xml:space="preserve">Steno </w:t>
      </w:r>
      <w:proofErr w:type="spellStart"/>
      <w:r w:rsidRPr="00DD4F8D">
        <w:rPr>
          <w:rFonts w:eastAsia="Times New Roman" w:cs="Arial"/>
          <w:i/>
          <w:iCs/>
          <w:lang w:eastAsia="en-GB"/>
        </w:rPr>
        <w:t>bredanensis</w:t>
      </w:r>
      <w:proofErr w:type="spellEnd"/>
      <w:r w:rsidRPr="00DD4F8D">
        <w:rPr>
          <w:rFonts w:eastAsia="Times New Roman" w:cs="Arial"/>
          <w:lang w:eastAsia="en-GB"/>
        </w:rPr>
        <w:t>) do associate with drifting objects and could be at risk of entanglement in FADs. However, there are some reports of cetaceans getting entangled in dFADs in the Eastern Indian Ocean between 1993 and 2005 (</w:t>
      </w:r>
      <w:proofErr w:type="spellStart"/>
      <w:r w:rsidRPr="00DD4F8D">
        <w:rPr>
          <w:rFonts w:eastAsia="Times New Roman" w:cs="Arial"/>
          <w:lang w:eastAsia="en-GB"/>
        </w:rPr>
        <w:t>Rajruchithong</w:t>
      </w:r>
      <w:proofErr w:type="spellEnd"/>
      <w:r w:rsidRPr="00DD4F8D">
        <w:rPr>
          <w:rFonts w:eastAsia="Times New Roman" w:cs="Arial"/>
          <w:lang w:eastAsia="en-GB"/>
        </w:rPr>
        <w:t xml:space="preserve"> et al., 2005). For example, from 17 dFADs in the Eastern Indian Ocean which were checked for entanglement, six of them had dead porpoises</w:t>
      </w:r>
      <w:r w:rsidRPr="00DD4F8D">
        <w:rPr>
          <w:rFonts w:eastAsia="Times New Roman" w:cs="Arial"/>
          <w:vertAlign w:val="superscript"/>
          <w:lang w:eastAsia="en-GB"/>
        </w:rPr>
        <w:footnoteReference w:id="6"/>
      </w:r>
      <w:r w:rsidRPr="00DD4F8D">
        <w:rPr>
          <w:rFonts w:eastAsia="Times New Roman" w:cs="Arial"/>
          <w:lang w:eastAsia="en-GB"/>
        </w:rPr>
        <w:t xml:space="preserve"> (seven animals in total) in varying states of decomposition (</w:t>
      </w:r>
      <w:proofErr w:type="spellStart"/>
      <w:r w:rsidRPr="00DD4F8D">
        <w:rPr>
          <w:rFonts w:eastAsia="Times New Roman" w:cs="Arial"/>
          <w:lang w:eastAsia="en-GB"/>
        </w:rPr>
        <w:t>Chanrachkij</w:t>
      </w:r>
      <w:proofErr w:type="spellEnd"/>
      <w:r w:rsidRPr="00DD4F8D">
        <w:rPr>
          <w:rFonts w:eastAsia="Times New Roman" w:cs="Arial"/>
          <w:lang w:eastAsia="en-GB"/>
        </w:rPr>
        <w:t xml:space="preserve"> and </w:t>
      </w:r>
      <w:proofErr w:type="spellStart"/>
      <w:r w:rsidRPr="00DD4F8D">
        <w:rPr>
          <w:rFonts w:eastAsia="Times New Roman" w:cs="Arial"/>
          <w:lang w:eastAsia="en-GB"/>
        </w:rPr>
        <w:t>Loog</w:t>
      </w:r>
      <w:proofErr w:type="spellEnd"/>
      <w:r w:rsidRPr="00DD4F8D">
        <w:rPr>
          <w:rFonts w:eastAsia="Times New Roman" w:cs="Arial"/>
          <w:lang w:eastAsia="en-GB"/>
        </w:rPr>
        <w:t xml:space="preserve">-on, 2003). It was speculated that the cetaceans were foraging around the FADs when they became entangled. </w:t>
      </w:r>
    </w:p>
    <w:p w14:paraId="4D8C2C2D" w14:textId="77777777" w:rsidR="000415A6" w:rsidRPr="00DD4F8D" w:rsidRDefault="000415A6" w:rsidP="00DD4F8D">
      <w:pPr>
        <w:spacing w:after="0" w:line="240" w:lineRule="auto"/>
        <w:jc w:val="both"/>
        <w:rPr>
          <w:rFonts w:eastAsia="Times New Roman" w:cs="Arial"/>
          <w:lang w:eastAsia="en-GB"/>
        </w:rPr>
      </w:pPr>
    </w:p>
    <w:p w14:paraId="498471EA" w14:textId="77777777" w:rsidR="00DD4F8D" w:rsidRPr="00021B8A" w:rsidRDefault="00DD4F8D" w:rsidP="00021B8A">
      <w:pPr>
        <w:pStyle w:val="Heading1"/>
        <w:spacing w:before="0" w:line="240" w:lineRule="auto"/>
        <w:rPr>
          <w:rFonts w:ascii="Arial" w:hAnsi="Arial" w:cs="Arial"/>
          <w:color w:val="auto"/>
          <w:sz w:val="22"/>
          <w:szCs w:val="22"/>
          <w:u w:val="single"/>
          <w:lang w:eastAsia="en-GB"/>
        </w:rPr>
      </w:pPr>
      <w:bookmarkStart w:id="9" w:name="_Toc138240674"/>
      <w:r w:rsidRPr="00021B8A">
        <w:rPr>
          <w:rFonts w:ascii="Arial" w:hAnsi="Arial" w:cs="Arial"/>
          <w:color w:val="auto"/>
          <w:sz w:val="22"/>
          <w:szCs w:val="22"/>
          <w:u w:val="single"/>
          <w:lang w:eastAsia="en-GB"/>
        </w:rPr>
        <w:t>Reducing risk of entanglement</w:t>
      </w:r>
      <w:bookmarkEnd w:id="9"/>
    </w:p>
    <w:p w14:paraId="79130807" w14:textId="77777777" w:rsidR="00DD4F8D" w:rsidRPr="006B637E" w:rsidRDefault="00DD4F8D" w:rsidP="00DD4F8D">
      <w:pPr>
        <w:spacing w:after="0" w:line="240" w:lineRule="auto"/>
        <w:jc w:val="both"/>
        <w:rPr>
          <w:rFonts w:eastAsia="Times New Roman" w:cs="Arial"/>
          <w:sz w:val="18"/>
          <w:szCs w:val="18"/>
          <w:lang w:eastAsia="en-GB"/>
        </w:rPr>
      </w:pPr>
    </w:p>
    <w:p w14:paraId="41720661" w14:textId="2CA8F9C1"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In many locations, hanging nets are being replaced by ropes and other non-entangling materials to prevent ghost fishing and bycatch (Murua et al., 2021). It is essential that new biodegradable materials should not be configured into a net format, and that ropes or canvas should be used instead (Moreno et al., 2020). The ISSF’s Non-Entangling and Biodegradable FADs Guide gives recommendations about how dFADs might be designed to prevent entanglement (ISSF, 2019). See also Figure 5. </w:t>
      </w:r>
    </w:p>
    <w:p w14:paraId="4E6B8158"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noProof/>
          <w:lang w:eastAsia="en-GB"/>
        </w:rPr>
        <w:lastRenderedPageBreak/>
        <w:drawing>
          <wp:inline distT="0" distB="0" distL="0" distR="0" wp14:anchorId="1E1591B7" wp14:editId="4A66548F">
            <wp:extent cx="6128251" cy="4451231"/>
            <wp:effectExtent l="0" t="0" r="6350" b="6985"/>
            <wp:docPr id="14"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8278" cy="4487568"/>
                    </a:xfrm>
                    <a:prstGeom prst="rect">
                      <a:avLst/>
                    </a:prstGeom>
                  </pic:spPr>
                </pic:pic>
              </a:graphicData>
            </a:graphic>
          </wp:inline>
        </w:drawing>
      </w:r>
    </w:p>
    <w:p w14:paraId="7E8E5C89" w14:textId="77777777" w:rsidR="00DD4F8D" w:rsidRDefault="00DD4F8D" w:rsidP="00DD4F8D">
      <w:pPr>
        <w:spacing w:after="0" w:line="240" w:lineRule="auto"/>
        <w:jc w:val="both"/>
        <w:rPr>
          <w:rFonts w:eastAsia="Times New Roman" w:cs="Arial"/>
          <w:sz w:val="20"/>
          <w:szCs w:val="20"/>
          <w:lang w:eastAsia="en-GB"/>
        </w:rPr>
      </w:pPr>
      <w:r w:rsidRPr="009D04F8">
        <w:rPr>
          <w:rFonts w:eastAsia="Times New Roman" w:cs="Arial"/>
          <w:b/>
          <w:bCs/>
          <w:sz w:val="20"/>
          <w:szCs w:val="20"/>
          <w:lang w:eastAsia="en-GB"/>
        </w:rPr>
        <w:t>Figure 5</w:t>
      </w:r>
      <w:r w:rsidRPr="00F3098A">
        <w:rPr>
          <w:rFonts w:eastAsia="Times New Roman" w:cs="Arial"/>
          <w:sz w:val="20"/>
          <w:szCs w:val="20"/>
          <w:lang w:eastAsia="en-GB"/>
        </w:rPr>
        <w:t>: Examples of different drifting FAD designs – low to high entanglement risk (ISSF, 2019)</w:t>
      </w:r>
    </w:p>
    <w:p w14:paraId="353022F1" w14:textId="77777777" w:rsidR="006B637E" w:rsidRPr="00F3098A" w:rsidRDefault="006B637E" w:rsidP="00DD4F8D">
      <w:pPr>
        <w:spacing w:after="0" w:line="240" w:lineRule="auto"/>
        <w:jc w:val="both"/>
        <w:rPr>
          <w:rFonts w:eastAsia="Times New Roman" w:cs="Arial"/>
          <w:sz w:val="20"/>
          <w:szCs w:val="20"/>
          <w:lang w:eastAsia="en-GB"/>
        </w:rPr>
      </w:pPr>
    </w:p>
    <w:p w14:paraId="1B4DA20B" w14:textId="77777777" w:rsidR="009D7E04" w:rsidRDefault="009D7E04" w:rsidP="00DD4F8D">
      <w:pPr>
        <w:spacing w:after="0" w:line="240" w:lineRule="auto"/>
        <w:jc w:val="both"/>
        <w:rPr>
          <w:rFonts w:eastAsia="Times New Roman" w:cs="Arial"/>
          <w:lang w:eastAsia="en-GB"/>
        </w:rPr>
      </w:pPr>
    </w:p>
    <w:p w14:paraId="4136D1E9" w14:textId="72DCCA66" w:rsidR="00DD4F8D" w:rsidRPr="00DD4F8D" w:rsidRDefault="00DD4F8D" w:rsidP="009D04F8">
      <w:pPr>
        <w:spacing w:after="80" w:line="240" w:lineRule="auto"/>
        <w:jc w:val="both"/>
        <w:rPr>
          <w:rFonts w:eastAsia="Times New Roman" w:cs="Arial"/>
          <w:lang w:eastAsia="en-GB"/>
        </w:rPr>
      </w:pPr>
      <w:r w:rsidRPr="00DD4F8D">
        <w:rPr>
          <w:rFonts w:eastAsia="Times New Roman" w:cs="Arial"/>
          <w:lang w:eastAsia="en-GB"/>
        </w:rPr>
        <w:t>The WCPFC’s Conservation and Management Measures and Resolutions, state that FADs should comply with the following specifications:</w:t>
      </w:r>
    </w:p>
    <w:p w14:paraId="6F1FA68B" w14:textId="77777777" w:rsidR="00DD4F8D" w:rsidRPr="00DD4F8D" w:rsidRDefault="00DD4F8D" w:rsidP="009D04F8">
      <w:pPr>
        <w:numPr>
          <w:ilvl w:val="0"/>
          <w:numId w:val="5"/>
        </w:numPr>
        <w:spacing w:after="80" w:line="240" w:lineRule="auto"/>
        <w:jc w:val="both"/>
        <w:rPr>
          <w:rFonts w:eastAsia="Times New Roman" w:cs="Arial"/>
          <w:i/>
          <w:iCs/>
          <w:lang w:eastAsia="en-GB"/>
        </w:rPr>
      </w:pPr>
      <w:r w:rsidRPr="00DD4F8D">
        <w:rPr>
          <w:rFonts w:eastAsia="Times New Roman" w:cs="Arial"/>
          <w:lang w:eastAsia="en-GB"/>
        </w:rPr>
        <w:t>“</w:t>
      </w:r>
      <w:r w:rsidRPr="00DD4F8D">
        <w:rPr>
          <w:rFonts w:eastAsia="Times New Roman" w:cs="Arial"/>
          <w:i/>
          <w:iCs/>
          <w:lang w:eastAsia="en-GB"/>
        </w:rPr>
        <w:t>The use of mesh net shall be prohibited for any part of a FAD,</w:t>
      </w:r>
    </w:p>
    <w:p w14:paraId="2C45069A" w14:textId="77777777" w:rsidR="00DD4F8D" w:rsidRPr="00DD4F8D" w:rsidRDefault="00DD4F8D" w:rsidP="009D04F8">
      <w:pPr>
        <w:numPr>
          <w:ilvl w:val="0"/>
          <w:numId w:val="5"/>
        </w:numPr>
        <w:spacing w:after="80" w:line="240" w:lineRule="auto"/>
        <w:jc w:val="both"/>
        <w:rPr>
          <w:rFonts w:eastAsia="Times New Roman" w:cs="Arial"/>
          <w:i/>
          <w:iCs/>
          <w:lang w:eastAsia="en-GB"/>
        </w:rPr>
      </w:pPr>
      <w:r w:rsidRPr="00DD4F8D">
        <w:rPr>
          <w:rFonts w:eastAsia="Times New Roman" w:cs="Arial"/>
          <w:i/>
          <w:iCs/>
          <w:lang w:eastAsia="en-GB"/>
        </w:rPr>
        <w:t>If the raft is covered, only non-entangling material and designs shall be used,</w:t>
      </w:r>
    </w:p>
    <w:p w14:paraId="6F1B0F32" w14:textId="77777777" w:rsidR="00DD4F8D" w:rsidRPr="00DD4F8D" w:rsidRDefault="00DD4F8D">
      <w:pPr>
        <w:numPr>
          <w:ilvl w:val="0"/>
          <w:numId w:val="5"/>
        </w:numPr>
        <w:spacing w:after="0" w:line="240" w:lineRule="auto"/>
        <w:jc w:val="both"/>
        <w:rPr>
          <w:rFonts w:eastAsia="Times New Roman" w:cs="Arial"/>
          <w:lang w:eastAsia="en-GB"/>
        </w:rPr>
      </w:pPr>
      <w:r w:rsidRPr="00DD4F8D">
        <w:rPr>
          <w:rFonts w:eastAsia="Times New Roman" w:cs="Arial"/>
          <w:i/>
          <w:iCs/>
          <w:lang w:eastAsia="en-GB"/>
        </w:rPr>
        <w:t>The subsurface structure shall only be made using non-entangling materials</w:t>
      </w:r>
      <w:r w:rsidRPr="00DD4F8D">
        <w:rPr>
          <w:rFonts w:eastAsia="Times New Roman" w:cs="Arial"/>
          <w:lang w:eastAsia="en-GB"/>
        </w:rPr>
        <w:t xml:space="preserve">.” (WCPFC, 2022) </w:t>
      </w:r>
    </w:p>
    <w:p w14:paraId="2D69B17A" w14:textId="77777777" w:rsidR="000415A6" w:rsidRPr="00DD4F8D" w:rsidRDefault="000415A6" w:rsidP="00DD4F8D">
      <w:pPr>
        <w:spacing w:after="0" w:line="240" w:lineRule="auto"/>
        <w:jc w:val="both"/>
        <w:rPr>
          <w:rFonts w:eastAsia="Times New Roman" w:cs="Arial"/>
          <w:lang w:eastAsia="en-GB"/>
        </w:rPr>
      </w:pPr>
    </w:p>
    <w:p w14:paraId="5F624535" w14:textId="77777777" w:rsidR="00DD4F8D" w:rsidRPr="00021B8A" w:rsidRDefault="00DD4F8D" w:rsidP="00021B8A">
      <w:pPr>
        <w:pStyle w:val="Heading1"/>
        <w:spacing w:before="0" w:line="240" w:lineRule="auto"/>
        <w:rPr>
          <w:rFonts w:ascii="Arial" w:hAnsi="Arial" w:cs="Arial"/>
          <w:color w:val="auto"/>
          <w:sz w:val="22"/>
          <w:szCs w:val="22"/>
          <w:u w:val="single"/>
          <w:lang w:eastAsia="en-GB"/>
        </w:rPr>
      </w:pPr>
      <w:bookmarkStart w:id="10" w:name="_Toc138240675"/>
      <w:r w:rsidRPr="00021B8A">
        <w:rPr>
          <w:rFonts w:ascii="Arial" w:hAnsi="Arial" w:cs="Arial"/>
          <w:color w:val="auto"/>
          <w:sz w:val="22"/>
          <w:szCs w:val="22"/>
          <w:u w:val="single"/>
          <w:lang w:eastAsia="en-GB"/>
        </w:rPr>
        <w:t>Conclusions</w:t>
      </w:r>
      <w:bookmarkEnd w:id="10"/>
    </w:p>
    <w:p w14:paraId="5805EC47" w14:textId="77777777" w:rsidR="00DD4F8D" w:rsidRPr="00DD4F8D" w:rsidRDefault="00DD4F8D" w:rsidP="00DD4F8D">
      <w:pPr>
        <w:spacing w:after="0" w:line="240" w:lineRule="auto"/>
        <w:jc w:val="both"/>
        <w:rPr>
          <w:rFonts w:eastAsia="Times New Roman" w:cs="Arial"/>
          <w:b/>
          <w:bCs/>
          <w:lang w:eastAsia="en-GB"/>
        </w:rPr>
      </w:pPr>
    </w:p>
    <w:p w14:paraId="76463A74" w14:textId="77777777" w:rsidR="00DD4F8D" w:rsidRPr="00DD4F8D" w:rsidRDefault="00DD4F8D" w:rsidP="00DD4F8D">
      <w:pPr>
        <w:widowControl w:val="0"/>
        <w:suppressAutoHyphens/>
        <w:overflowPunct w:val="0"/>
        <w:spacing w:after="0" w:line="240" w:lineRule="auto"/>
        <w:jc w:val="both"/>
        <w:rPr>
          <w:rFonts w:eastAsia="Segoe UI" w:cs="Arial"/>
        </w:rPr>
      </w:pPr>
      <w:r w:rsidRPr="00DD4F8D">
        <w:rPr>
          <w:rFonts w:eastAsia="Segoe UI" w:cs="Arial"/>
        </w:rPr>
        <w:t xml:space="preserve">Marine debris, especially plastic and including ghost fishing gear, has negative impacts on marine wildlife primarily through ingestion and entanglement. Abandoned FADs become marine debris and can sink or drift onto beaches, coral reefs, mangroves or other coastal habitats with associated negative impacts. </w:t>
      </w:r>
    </w:p>
    <w:p w14:paraId="7F3D6C19" w14:textId="77777777" w:rsidR="00DD4F8D" w:rsidRPr="00DD4F8D" w:rsidRDefault="00DD4F8D" w:rsidP="00DD4F8D">
      <w:pPr>
        <w:widowControl w:val="0"/>
        <w:suppressAutoHyphens/>
        <w:overflowPunct w:val="0"/>
        <w:spacing w:after="0" w:line="240" w:lineRule="auto"/>
        <w:jc w:val="both"/>
        <w:rPr>
          <w:rFonts w:eastAsia="Segoe UI" w:cs="Arial"/>
        </w:rPr>
      </w:pPr>
    </w:p>
    <w:p w14:paraId="7268F3F0" w14:textId="77777777" w:rsidR="00DD4F8D" w:rsidRPr="00DD4F8D" w:rsidRDefault="00DD4F8D" w:rsidP="00DD4F8D">
      <w:pPr>
        <w:widowControl w:val="0"/>
        <w:suppressAutoHyphens/>
        <w:overflowPunct w:val="0"/>
        <w:spacing w:after="0" w:line="240" w:lineRule="auto"/>
        <w:jc w:val="both"/>
        <w:rPr>
          <w:rFonts w:eastAsia="Segoe UI" w:cs="Arial"/>
        </w:rPr>
      </w:pPr>
      <w:r w:rsidRPr="00DD4F8D">
        <w:rPr>
          <w:rFonts w:eastAsia="Segoe UI" w:cs="Arial"/>
        </w:rPr>
        <w:t xml:space="preserve">Entanglement in marine plastics adversely affects many species, including marine mammals, sharks and sea turtles. The individual-level effects of interactions with marine debris include drowning, starvation, malnutrition, physical injury, reduced mobility, enhanced exposure to predators, and physiological stress, reduced energy acquisition and assimilation, compromised health and reproductive impairment. Furthermore, ingestion of plastics, including microplastics has the potential to impact all parts of the marine food web, including prey species. </w:t>
      </w:r>
    </w:p>
    <w:p w14:paraId="3F633DF1" w14:textId="77777777" w:rsidR="00DD4F8D" w:rsidRDefault="00DD4F8D" w:rsidP="00DD4F8D">
      <w:pPr>
        <w:spacing w:after="0" w:line="240" w:lineRule="auto"/>
        <w:jc w:val="both"/>
        <w:rPr>
          <w:rFonts w:eastAsia="Times New Roman" w:cs="Arial"/>
          <w:b/>
          <w:bCs/>
          <w:lang w:eastAsia="en-GB"/>
        </w:rPr>
      </w:pPr>
    </w:p>
    <w:p w14:paraId="53CC616B" w14:textId="77777777" w:rsidR="000415A6" w:rsidRPr="00DD4F8D" w:rsidRDefault="000415A6" w:rsidP="00DD4F8D">
      <w:pPr>
        <w:spacing w:after="0" w:line="240" w:lineRule="auto"/>
        <w:jc w:val="both"/>
        <w:rPr>
          <w:rFonts w:eastAsia="Times New Roman" w:cs="Arial"/>
          <w:b/>
          <w:bCs/>
          <w:lang w:eastAsia="en-GB"/>
        </w:rPr>
      </w:pPr>
    </w:p>
    <w:p w14:paraId="5D4C14D9" w14:textId="77777777" w:rsidR="00DD4F8D" w:rsidRPr="00021B8A" w:rsidRDefault="00DD4F8D" w:rsidP="00021B8A">
      <w:pPr>
        <w:pStyle w:val="Heading1"/>
        <w:spacing w:before="0" w:line="240" w:lineRule="auto"/>
        <w:rPr>
          <w:rFonts w:ascii="Arial" w:hAnsi="Arial" w:cs="Arial"/>
          <w:color w:val="auto"/>
          <w:sz w:val="22"/>
          <w:szCs w:val="22"/>
          <w:u w:val="single"/>
          <w:lang w:eastAsia="en-GB"/>
        </w:rPr>
      </w:pPr>
      <w:bookmarkStart w:id="11" w:name="_Toc138240676"/>
      <w:r w:rsidRPr="00021B8A">
        <w:rPr>
          <w:rFonts w:ascii="Arial" w:hAnsi="Arial" w:cs="Arial"/>
          <w:color w:val="auto"/>
          <w:sz w:val="22"/>
          <w:szCs w:val="22"/>
          <w:u w:val="single"/>
          <w:lang w:eastAsia="en-GB"/>
        </w:rPr>
        <w:lastRenderedPageBreak/>
        <w:t>Recommendations to CMS</w:t>
      </w:r>
      <w:bookmarkEnd w:id="11"/>
    </w:p>
    <w:p w14:paraId="4AC8C1EA" w14:textId="77777777" w:rsidR="00DD4F8D" w:rsidRPr="00DD4F8D" w:rsidRDefault="00DD4F8D" w:rsidP="00DD4F8D">
      <w:pPr>
        <w:spacing w:after="0" w:line="240" w:lineRule="auto"/>
        <w:jc w:val="both"/>
        <w:rPr>
          <w:rFonts w:eastAsia="Times New Roman" w:cs="Arial"/>
          <w:b/>
          <w:bCs/>
          <w:lang w:eastAsia="en-GB"/>
        </w:rPr>
      </w:pPr>
    </w:p>
    <w:p w14:paraId="12C41C3B"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Parties should ensure that FADs are: </w:t>
      </w:r>
    </w:p>
    <w:p w14:paraId="087BBE55" w14:textId="77777777" w:rsidR="00DD4F8D" w:rsidRPr="00DD4F8D" w:rsidRDefault="00DD4F8D" w:rsidP="00DD4F8D">
      <w:pPr>
        <w:spacing w:after="0" w:line="240" w:lineRule="auto"/>
        <w:jc w:val="both"/>
        <w:rPr>
          <w:rFonts w:eastAsia="Times New Roman" w:cs="Arial"/>
          <w:lang w:eastAsia="en-GB"/>
        </w:rPr>
      </w:pPr>
    </w:p>
    <w:p w14:paraId="0E416D84" w14:textId="77777777" w:rsidR="00DD4F8D" w:rsidRPr="00DD4F8D" w:rsidRDefault="00DD4F8D" w:rsidP="009D04F8">
      <w:pPr>
        <w:numPr>
          <w:ilvl w:val="0"/>
          <w:numId w:val="8"/>
        </w:numPr>
        <w:spacing w:after="80" w:line="240" w:lineRule="auto"/>
        <w:ind w:left="720" w:hanging="360"/>
        <w:jc w:val="both"/>
        <w:rPr>
          <w:rFonts w:eastAsia="Times New Roman" w:cs="Arial"/>
          <w:lang w:eastAsia="en-GB"/>
        </w:rPr>
      </w:pPr>
      <w:r w:rsidRPr="00DD4F8D">
        <w:rPr>
          <w:rFonts w:eastAsia="Times New Roman" w:cs="Arial"/>
          <w:lang w:eastAsia="en-GB"/>
        </w:rPr>
        <w:t xml:space="preserve">Of non-entangling nature; </w:t>
      </w:r>
    </w:p>
    <w:p w14:paraId="7F1321FD" w14:textId="77777777" w:rsidR="00DD4F8D" w:rsidRPr="00DD4F8D" w:rsidRDefault="00DD4F8D" w:rsidP="009D04F8">
      <w:pPr>
        <w:numPr>
          <w:ilvl w:val="0"/>
          <w:numId w:val="8"/>
        </w:numPr>
        <w:spacing w:after="80" w:line="240" w:lineRule="auto"/>
        <w:ind w:left="720" w:hanging="360"/>
        <w:jc w:val="both"/>
        <w:rPr>
          <w:rFonts w:eastAsia="Times New Roman" w:cs="Arial"/>
          <w:lang w:eastAsia="en-GB"/>
        </w:rPr>
      </w:pPr>
      <w:r w:rsidRPr="00DD4F8D">
        <w:rPr>
          <w:rFonts w:eastAsia="Times New Roman" w:cs="Arial"/>
          <w:lang w:eastAsia="en-GB"/>
        </w:rPr>
        <w:t xml:space="preserve">Designed to reduce the likelihood of them being lost; </w:t>
      </w:r>
    </w:p>
    <w:p w14:paraId="1C0BDA3A" w14:textId="77777777" w:rsidR="00DD4F8D" w:rsidRPr="00DD4F8D" w:rsidRDefault="00DD4F8D" w:rsidP="009D04F8">
      <w:pPr>
        <w:numPr>
          <w:ilvl w:val="0"/>
          <w:numId w:val="9"/>
        </w:numPr>
        <w:spacing w:after="80" w:line="240" w:lineRule="auto"/>
        <w:ind w:left="720" w:hanging="360"/>
        <w:jc w:val="both"/>
        <w:rPr>
          <w:rFonts w:eastAsia="Times New Roman" w:cs="Arial"/>
          <w:lang w:eastAsia="en-GB"/>
        </w:rPr>
      </w:pPr>
      <w:r w:rsidRPr="00DD4F8D">
        <w:rPr>
          <w:rFonts w:eastAsia="Times New Roman" w:cs="Arial"/>
          <w:lang w:eastAsia="en-GB"/>
        </w:rPr>
        <w:t xml:space="preserve">Subject to regular inspection and maintenance to avoid loss; </w:t>
      </w:r>
    </w:p>
    <w:p w14:paraId="0DBFAB88" w14:textId="77777777" w:rsidR="00DD4F8D" w:rsidRPr="00DD4F8D" w:rsidRDefault="00DD4F8D" w:rsidP="009D04F8">
      <w:pPr>
        <w:numPr>
          <w:ilvl w:val="0"/>
          <w:numId w:val="9"/>
        </w:numPr>
        <w:spacing w:after="80" w:line="240" w:lineRule="auto"/>
        <w:ind w:left="720" w:hanging="360"/>
        <w:jc w:val="both"/>
        <w:rPr>
          <w:rFonts w:eastAsia="Times New Roman" w:cs="Arial"/>
          <w:lang w:eastAsia="en-GB"/>
        </w:rPr>
      </w:pPr>
      <w:r w:rsidRPr="00DD4F8D">
        <w:rPr>
          <w:rFonts w:eastAsia="Times New Roman" w:cs="Arial"/>
          <w:lang w:eastAsia="en-GB"/>
        </w:rPr>
        <w:t>Marked, monitored, maintained and retrieved in an environmentally sound manner by the fisheries concerned;</w:t>
      </w:r>
    </w:p>
    <w:p w14:paraId="0D242653" w14:textId="77777777" w:rsidR="00DD4F8D" w:rsidRPr="00DD4F8D" w:rsidRDefault="00DD4F8D" w:rsidP="009D04F8">
      <w:pPr>
        <w:numPr>
          <w:ilvl w:val="0"/>
          <w:numId w:val="9"/>
        </w:numPr>
        <w:spacing w:after="80" w:line="240" w:lineRule="auto"/>
        <w:ind w:left="720" w:hanging="360"/>
        <w:jc w:val="both"/>
        <w:rPr>
          <w:rFonts w:eastAsia="Times New Roman" w:cs="Arial"/>
          <w:lang w:eastAsia="en-GB"/>
        </w:rPr>
      </w:pPr>
      <w:r w:rsidRPr="00DD4F8D">
        <w:rPr>
          <w:rFonts w:eastAsia="Times New Roman" w:cs="Arial"/>
          <w:lang w:eastAsia="en-GB"/>
        </w:rPr>
        <w:t xml:space="preserve">Located, where possible, away from </w:t>
      </w:r>
    </w:p>
    <w:p w14:paraId="3EDEEE2F" w14:textId="77777777" w:rsidR="00DD4F8D" w:rsidRPr="00DD4F8D" w:rsidRDefault="00DD4F8D" w:rsidP="009D04F8">
      <w:pPr>
        <w:numPr>
          <w:ilvl w:val="2"/>
          <w:numId w:val="7"/>
        </w:numPr>
        <w:spacing w:after="80" w:line="240" w:lineRule="auto"/>
        <w:ind w:left="1260" w:hanging="360"/>
        <w:jc w:val="both"/>
        <w:rPr>
          <w:rFonts w:eastAsia="Times New Roman" w:cs="Arial"/>
          <w:lang w:eastAsia="en-GB"/>
        </w:rPr>
      </w:pPr>
      <w:r w:rsidRPr="00DD4F8D">
        <w:rPr>
          <w:rFonts w:eastAsia="Times New Roman" w:cs="Arial"/>
          <w:lang w:eastAsia="en-GB"/>
        </w:rPr>
        <w:t xml:space="preserve">shipping routes, </w:t>
      </w:r>
    </w:p>
    <w:p w14:paraId="0964451D" w14:textId="77777777" w:rsidR="00DD4F8D" w:rsidRPr="00DD4F8D" w:rsidRDefault="00DD4F8D" w:rsidP="009D04F8">
      <w:pPr>
        <w:numPr>
          <w:ilvl w:val="2"/>
          <w:numId w:val="7"/>
        </w:numPr>
        <w:spacing w:after="80" w:line="240" w:lineRule="auto"/>
        <w:ind w:left="1260" w:hanging="360"/>
        <w:jc w:val="both"/>
        <w:rPr>
          <w:rFonts w:eastAsia="Times New Roman" w:cs="Arial"/>
          <w:lang w:eastAsia="en-GB"/>
        </w:rPr>
      </w:pPr>
      <w:r w:rsidRPr="00DD4F8D">
        <w:rPr>
          <w:rFonts w:eastAsia="Times New Roman" w:cs="Arial"/>
          <w:lang w:eastAsia="en-GB"/>
        </w:rPr>
        <w:t xml:space="preserve">areas where they will be in conflict with other fisheries, and </w:t>
      </w:r>
    </w:p>
    <w:p w14:paraId="66BC1A50" w14:textId="77777777" w:rsidR="00DD4F8D" w:rsidRPr="00DD4F8D" w:rsidRDefault="00DD4F8D" w:rsidP="009D04F8">
      <w:pPr>
        <w:numPr>
          <w:ilvl w:val="2"/>
          <w:numId w:val="7"/>
        </w:numPr>
        <w:spacing w:after="80" w:line="240" w:lineRule="auto"/>
        <w:ind w:left="1260" w:hanging="360"/>
        <w:jc w:val="both"/>
        <w:rPr>
          <w:rFonts w:eastAsia="Times New Roman" w:cs="Arial"/>
          <w:lang w:eastAsia="en-GB"/>
        </w:rPr>
      </w:pPr>
      <w:r w:rsidRPr="00DD4F8D">
        <w:rPr>
          <w:rFonts w:eastAsia="Times New Roman" w:cs="Arial"/>
          <w:lang w:eastAsia="en-GB"/>
        </w:rPr>
        <w:t>migratory routes for species such as marine turtles;</w:t>
      </w:r>
    </w:p>
    <w:p w14:paraId="594A526B" w14:textId="77777777" w:rsidR="00DD4F8D" w:rsidRPr="00DD4F8D" w:rsidRDefault="00DD4F8D" w:rsidP="009D04F8">
      <w:pPr>
        <w:numPr>
          <w:ilvl w:val="0"/>
          <w:numId w:val="9"/>
        </w:numPr>
        <w:spacing w:after="80" w:line="240" w:lineRule="auto"/>
        <w:ind w:left="720" w:hanging="360"/>
        <w:jc w:val="both"/>
        <w:rPr>
          <w:rFonts w:eastAsia="Times New Roman" w:cs="Arial"/>
          <w:lang w:eastAsia="en-GB"/>
        </w:rPr>
      </w:pPr>
      <w:r w:rsidRPr="00DD4F8D">
        <w:rPr>
          <w:rFonts w:eastAsia="Times New Roman" w:cs="Arial"/>
          <w:lang w:eastAsia="en-GB"/>
        </w:rPr>
        <w:t>Deployed at times of year and in locations where their beaching is less likely; and</w:t>
      </w:r>
    </w:p>
    <w:p w14:paraId="1348A72B" w14:textId="77777777" w:rsidR="00DD4F8D" w:rsidRPr="00DD4F8D" w:rsidRDefault="00DD4F8D" w:rsidP="009D04F8">
      <w:pPr>
        <w:numPr>
          <w:ilvl w:val="0"/>
          <w:numId w:val="9"/>
        </w:numPr>
        <w:spacing w:after="0" w:line="240" w:lineRule="auto"/>
        <w:ind w:left="720" w:hanging="360"/>
        <w:jc w:val="both"/>
        <w:rPr>
          <w:rFonts w:eastAsia="Times New Roman" w:cs="Arial"/>
          <w:lang w:eastAsia="en-GB"/>
        </w:rPr>
      </w:pPr>
      <w:r w:rsidRPr="00DD4F8D">
        <w:rPr>
          <w:rFonts w:eastAsia="Times New Roman" w:cs="Arial"/>
          <w:lang w:eastAsia="en-GB"/>
        </w:rPr>
        <w:t>Disposed of appropriately.</w:t>
      </w:r>
    </w:p>
    <w:p w14:paraId="6541DD5B" w14:textId="77777777" w:rsidR="00DD4F8D" w:rsidRPr="00DD4F8D" w:rsidRDefault="00DD4F8D" w:rsidP="00F3098A">
      <w:pPr>
        <w:spacing w:after="0" w:line="240" w:lineRule="auto"/>
        <w:ind w:left="1080"/>
        <w:jc w:val="both"/>
        <w:rPr>
          <w:rFonts w:eastAsia="Times New Roman" w:cs="Arial"/>
          <w:lang w:eastAsia="en-GB"/>
        </w:rPr>
      </w:pPr>
    </w:p>
    <w:p w14:paraId="2AD5E9DD"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In addition, </w:t>
      </w:r>
    </w:p>
    <w:p w14:paraId="6B799C26" w14:textId="77777777" w:rsidR="00DD4F8D" w:rsidRPr="00DD4F8D" w:rsidRDefault="00DD4F8D" w:rsidP="00DD4F8D">
      <w:pPr>
        <w:spacing w:after="0" w:line="240" w:lineRule="auto"/>
        <w:jc w:val="both"/>
        <w:rPr>
          <w:rFonts w:eastAsia="Times New Roman" w:cs="Arial"/>
          <w:lang w:eastAsia="en-GB"/>
        </w:rPr>
      </w:pPr>
    </w:p>
    <w:p w14:paraId="336847FB" w14:textId="77777777" w:rsidR="00DD4F8D" w:rsidRPr="00DD4F8D" w:rsidRDefault="00DD4F8D" w:rsidP="009D04F8">
      <w:pPr>
        <w:numPr>
          <w:ilvl w:val="0"/>
          <w:numId w:val="9"/>
        </w:numPr>
        <w:spacing w:after="80" w:line="240" w:lineRule="auto"/>
        <w:ind w:left="720" w:hanging="360"/>
        <w:jc w:val="both"/>
        <w:rPr>
          <w:rFonts w:eastAsia="Times New Roman" w:cs="Arial"/>
          <w:lang w:eastAsia="en-GB"/>
        </w:rPr>
      </w:pPr>
      <w:r w:rsidRPr="00DD4F8D">
        <w:rPr>
          <w:rFonts w:eastAsia="Times New Roman" w:cs="Arial"/>
          <w:bCs/>
          <w:lang w:eastAsia="en-GB"/>
        </w:rPr>
        <w:t xml:space="preserve">Where they are a flag state for FAD fisheries and/or FAD deploying vessels, Parties should, whenever possible and feasible, ensure that natural biodegradable materials are used in the construction of FADs, noting that more research is needed on this topic; </w:t>
      </w:r>
    </w:p>
    <w:p w14:paraId="429E2A7F" w14:textId="77777777" w:rsidR="00DD4F8D" w:rsidRPr="00DD4F8D" w:rsidRDefault="00DD4F8D" w:rsidP="009D04F8">
      <w:pPr>
        <w:numPr>
          <w:ilvl w:val="0"/>
          <w:numId w:val="9"/>
        </w:numPr>
        <w:spacing w:after="80" w:line="240" w:lineRule="auto"/>
        <w:ind w:left="720" w:hanging="360"/>
        <w:jc w:val="both"/>
        <w:rPr>
          <w:rFonts w:eastAsia="Times New Roman" w:cs="Arial"/>
          <w:bCs/>
          <w:lang w:eastAsia="en-GB"/>
        </w:rPr>
      </w:pPr>
      <w:r w:rsidRPr="00DD4F8D">
        <w:rPr>
          <w:rFonts w:eastAsia="Times New Roman" w:cs="Arial"/>
          <w:bCs/>
          <w:lang w:eastAsia="en-GB"/>
        </w:rPr>
        <w:t>Flag states should also ask fisheries for real-time mandatory lost gear reporting to track rates of loss, identify high risk locations and gear types and promote retrieval, particularly in sensitive marine habitats or areas of high importance for food security, where it is environmentally safe to do so;</w:t>
      </w:r>
    </w:p>
    <w:p w14:paraId="48D11A76" w14:textId="77777777" w:rsidR="00DD4F8D" w:rsidRPr="00DD4F8D" w:rsidRDefault="00DD4F8D" w:rsidP="009D04F8">
      <w:pPr>
        <w:numPr>
          <w:ilvl w:val="0"/>
          <w:numId w:val="9"/>
        </w:numPr>
        <w:spacing w:after="80" w:line="240" w:lineRule="auto"/>
        <w:ind w:left="720" w:hanging="360"/>
        <w:jc w:val="both"/>
        <w:rPr>
          <w:rFonts w:eastAsia="Times New Roman" w:cs="Arial"/>
          <w:bCs/>
          <w:lang w:eastAsia="en-GB"/>
        </w:rPr>
      </w:pPr>
      <w:r w:rsidRPr="00DD4F8D">
        <w:rPr>
          <w:rFonts w:eastAsia="Times New Roman" w:cs="Arial"/>
          <w:bCs/>
          <w:lang w:eastAsia="en-GB"/>
        </w:rPr>
        <w:t>States should strengthen environmental control measures through inclusion of terms in fishing licenses and the development of related guidelines;</w:t>
      </w:r>
    </w:p>
    <w:p w14:paraId="18F0EFEB" w14:textId="77777777" w:rsidR="00DD4F8D" w:rsidRPr="00DD4F8D" w:rsidRDefault="00DD4F8D" w:rsidP="009D04F8">
      <w:pPr>
        <w:numPr>
          <w:ilvl w:val="0"/>
          <w:numId w:val="9"/>
        </w:numPr>
        <w:spacing w:after="80" w:line="240" w:lineRule="auto"/>
        <w:ind w:left="720" w:hanging="360"/>
        <w:jc w:val="both"/>
        <w:rPr>
          <w:rFonts w:eastAsia="Times New Roman" w:cs="Arial"/>
          <w:lang w:eastAsia="en-GB"/>
        </w:rPr>
      </w:pPr>
      <w:r w:rsidRPr="00DD4F8D">
        <w:rPr>
          <w:rFonts w:eastAsia="Times New Roman" w:cs="Arial"/>
          <w:lang w:eastAsia="en-GB"/>
        </w:rPr>
        <w:t>Generally, all states should improve fisheries management practices and advocate for solutions to reduce loss or prevent dumping, as well as the full recovery of FADs; and</w:t>
      </w:r>
    </w:p>
    <w:p w14:paraId="6E30D60C" w14:textId="77777777" w:rsidR="00DD4F8D" w:rsidRPr="00DD4F8D" w:rsidRDefault="00DD4F8D" w:rsidP="009D04F8">
      <w:pPr>
        <w:numPr>
          <w:ilvl w:val="0"/>
          <w:numId w:val="9"/>
        </w:numPr>
        <w:spacing w:after="0" w:line="240" w:lineRule="auto"/>
        <w:ind w:left="720" w:hanging="360"/>
        <w:jc w:val="both"/>
        <w:rPr>
          <w:rFonts w:eastAsia="Times New Roman" w:cs="Arial"/>
          <w:bCs/>
          <w:lang w:eastAsia="en-GB"/>
        </w:rPr>
      </w:pPr>
      <w:r w:rsidRPr="00DD4F8D">
        <w:rPr>
          <w:rFonts w:eastAsia="Times New Roman" w:cs="Arial"/>
          <w:bCs/>
          <w:lang w:eastAsia="en-GB"/>
        </w:rPr>
        <w:t>States should support a comprehensive global strategy on fishing gear to be developed under the new global plastics treaty, including a core obligation for the reduction of lost fishing gear.</w:t>
      </w:r>
    </w:p>
    <w:p w14:paraId="629075BB" w14:textId="77777777" w:rsidR="00DD4F8D" w:rsidRPr="00DD4F8D" w:rsidRDefault="00DD4F8D" w:rsidP="00DD4F8D">
      <w:pPr>
        <w:spacing w:after="0" w:line="240" w:lineRule="auto"/>
        <w:jc w:val="both"/>
        <w:rPr>
          <w:rFonts w:eastAsia="Times New Roman" w:cs="Arial"/>
          <w:b/>
          <w:bCs/>
          <w:lang w:eastAsia="en-GB"/>
        </w:rPr>
      </w:pPr>
    </w:p>
    <w:p w14:paraId="5B016C03"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In support of the above recommendations, the Scientific Committee should establish a workstream on FADs, which will better evaluate the relationship between FADs and marine debris and establish principles for best practice to avoid their loss, entanglement with marine wildlife, beaching of FADs in corals, mangroves and other marine and coastal habitats, as well as seeking to reduce their contribution to marine plastic pollution. This might include liaison with ISSF, further to their work on improving FAD design, and also the tuna RFMOs. </w:t>
      </w:r>
    </w:p>
    <w:p w14:paraId="60998A33" w14:textId="77777777" w:rsidR="00DD4F8D" w:rsidRPr="00DD4F8D" w:rsidRDefault="00DD4F8D" w:rsidP="00DD4F8D">
      <w:pPr>
        <w:spacing w:after="0" w:line="240" w:lineRule="auto"/>
        <w:jc w:val="both"/>
        <w:rPr>
          <w:rFonts w:eastAsia="Times New Roman" w:cs="Arial"/>
          <w:lang w:eastAsia="en-GB"/>
        </w:rPr>
      </w:pPr>
    </w:p>
    <w:p w14:paraId="7D57C1EE" w14:textId="77777777" w:rsidR="00DD4F8D" w:rsidRPr="00DD4F8D" w:rsidRDefault="00DD4F8D" w:rsidP="00DD4F8D">
      <w:pPr>
        <w:spacing w:after="0" w:line="240" w:lineRule="auto"/>
        <w:jc w:val="both"/>
        <w:rPr>
          <w:rFonts w:eastAsia="Times New Roman" w:cs="Arial"/>
          <w:lang w:eastAsia="en-GB"/>
        </w:rPr>
      </w:pPr>
      <w:r w:rsidRPr="00DD4F8D">
        <w:rPr>
          <w:rFonts w:eastAsia="Times New Roman" w:cs="Arial"/>
          <w:lang w:eastAsia="en-GB"/>
        </w:rPr>
        <w:t xml:space="preserve">The Scientific Committee should also consider a possible case study area looking at FADs as a source of marine debris – for example in the Mediterranean Sea - to a) look at </w:t>
      </w:r>
      <w:r w:rsidRPr="00DD4F8D">
        <w:rPr>
          <w:rFonts w:eastAsia="Arial" w:cs="Arial"/>
          <w:color w:val="212121"/>
          <w:lang w:eastAsia="en-GB"/>
        </w:rPr>
        <w:t>compliance with existing regulations</w:t>
      </w:r>
      <w:r w:rsidRPr="00DD4F8D">
        <w:rPr>
          <w:rFonts w:eastAsia="Times New Roman" w:cs="Arial"/>
          <w:lang w:eastAsia="en-GB"/>
        </w:rPr>
        <w:t>, b) devise environmental management and control measures to avoid gear loss and c) how to improve the environmentally sound retrieval of lost FADs.</w:t>
      </w:r>
    </w:p>
    <w:p w14:paraId="06579C99" w14:textId="77777777" w:rsidR="00DD4F8D" w:rsidRDefault="00DD4F8D" w:rsidP="00DD4F8D">
      <w:pPr>
        <w:spacing w:after="0" w:line="240" w:lineRule="auto"/>
        <w:jc w:val="both"/>
        <w:rPr>
          <w:rFonts w:eastAsia="Times New Roman" w:cs="Arial"/>
          <w:lang w:eastAsia="en-GB"/>
        </w:rPr>
      </w:pPr>
    </w:p>
    <w:p w14:paraId="21B76D2A" w14:textId="77777777" w:rsidR="005F6E8D" w:rsidRDefault="005F6E8D" w:rsidP="00DD4F8D">
      <w:pPr>
        <w:spacing w:after="0" w:line="240" w:lineRule="auto"/>
        <w:jc w:val="both"/>
        <w:rPr>
          <w:rFonts w:eastAsia="Times New Roman" w:cs="Arial"/>
          <w:lang w:eastAsia="en-GB"/>
        </w:rPr>
      </w:pPr>
    </w:p>
    <w:p w14:paraId="7C49218F" w14:textId="77777777" w:rsidR="005F6E8D" w:rsidRDefault="005F6E8D" w:rsidP="00DD4F8D">
      <w:pPr>
        <w:spacing w:after="0" w:line="240" w:lineRule="auto"/>
        <w:jc w:val="both"/>
        <w:rPr>
          <w:rFonts w:eastAsia="Times New Roman" w:cs="Arial"/>
          <w:lang w:eastAsia="en-GB"/>
        </w:rPr>
      </w:pPr>
    </w:p>
    <w:p w14:paraId="4536AC73" w14:textId="3BDF301A" w:rsidR="005F6E8D" w:rsidRPr="005F6E8D" w:rsidRDefault="005F6E8D" w:rsidP="005F6E8D">
      <w:pPr>
        <w:rPr>
          <w:rFonts w:eastAsia="Times New Roman" w:cs="Arial"/>
          <w:lang w:eastAsia="en-GB"/>
        </w:rPr>
      </w:pPr>
      <w:r>
        <w:rPr>
          <w:rFonts w:eastAsia="Times New Roman" w:cs="Arial"/>
          <w:lang w:eastAsia="en-GB"/>
        </w:rPr>
        <w:br w:type="page"/>
      </w:r>
    </w:p>
    <w:p w14:paraId="5D828600" w14:textId="77777777" w:rsidR="005F6E8D" w:rsidRPr="009F303A" w:rsidRDefault="005F6E8D" w:rsidP="00021B8A">
      <w:pPr>
        <w:pStyle w:val="Heading1"/>
        <w:spacing w:before="0" w:line="240" w:lineRule="auto"/>
        <w:rPr>
          <w:rFonts w:ascii="Arial" w:hAnsi="Arial" w:cs="Arial"/>
          <w:color w:val="auto"/>
          <w:sz w:val="22"/>
          <w:szCs w:val="22"/>
          <w:lang w:eastAsia="en-GB"/>
        </w:rPr>
      </w:pPr>
      <w:bookmarkStart w:id="12" w:name="_Toc138240677"/>
      <w:r w:rsidRPr="009D04F8">
        <w:rPr>
          <w:rFonts w:ascii="Arial" w:hAnsi="Arial" w:cs="Arial"/>
          <w:b/>
          <w:bCs/>
          <w:color w:val="auto"/>
          <w:sz w:val="22"/>
          <w:szCs w:val="22"/>
          <w:lang w:eastAsia="en-GB"/>
        </w:rPr>
        <w:lastRenderedPageBreak/>
        <w:t>Table 1</w:t>
      </w:r>
      <w:r w:rsidRPr="009F303A">
        <w:rPr>
          <w:rFonts w:ascii="Arial" w:hAnsi="Arial" w:cs="Arial"/>
          <w:color w:val="auto"/>
          <w:sz w:val="22"/>
          <w:szCs w:val="22"/>
          <w:lang w:eastAsia="en-GB"/>
        </w:rPr>
        <w:t>: Relevant tRFMO Resolutions</w:t>
      </w:r>
      <w:bookmarkEnd w:id="12"/>
    </w:p>
    <w:p w14:paraId="735BA01D" w14:textId="77777777" w:rsidR="005F6E8D" w:rsidRPr="00DD4F8D" w:rsidRDefault="005F6E8D" w:rsidP="005F6E8D">
      <w:pPr>
        <w:spacing w:after="0" w:line="240" w:lineRule="auto"/>
        <w:jc w:val="center"/>
        <w:rPr>
          <w:rFonts w:eastAsia="Times New Roman" w:cs="Arial"/>
          <w:b/>
          <w:bCs/>
          <w:lang w:eastAsia="en-GB"/>
        </w:rPr>
      </w:pPr>
    </w:p>
    <w:tbl>
      <w:tblPr>
        <w:tblStyle w:val="TableGrid1"/>
        <w:tblW w:w="9067" w:type="dxa"/>
        <w:tblLayout w:type="fixed"/>
        <w:tblLook w:val="04A0" w:firstRow="1" w:lastRow="0" w:firstColumn="1" w:lastColumn="0" w:noHBand="0" w:noVBand="1"/>
      </w:tblPr>
      <w:tblGrid>
        <w:gridCol w:w="1196"/>
        <w:gridCol w:w="2768"/>
        <w:gridCol w:w="5103"/>
      </w:tblGrid>
      <w:tr w:rsidR="005F6E8D" w:rsidRPr="00DD4F8D" w14:paraId="70331D8F" w14:textId="77777777" w:rsidTr="00060931">
        <w:trPr>
          <w:tblHeader/>
        </w:trPr>
        <w:tc>
          <w:tcPr>
            <w:tcW w:w="1196" w:type="dxa"/>
          </w:tcPr>
          <w:p w14:paraId="1D1A6AE1" w14:textId="77777777" w:rsidR="005F6E8D" w:rsidRPr="00DD4F8D" w:rsidRDefault="005F6E8D" w:rsidP="001364FD">
            <w:pPr>
              <w:rPr>
                <w:rFonts w:ascii="Arial" w:eastAsia="Times New Roman" w:hAnsi="Arial" w:cs="Arial"/>
                <w:b/>
                <w:bCs/>
                <w:sz w:val="22"/>
                <w:szCs w:val="22"/>
                <w:lang w:eastAsia="en-GB"/>
              </w:rPr>
            </w:pPr>
            <w:r w:rsidRPr="00DD4F8D">
              <w:rPr>
                <w:rFonts w:ascii="Arial" w:eastAsia="Times New Roman" w:hAnsi="Arial" w:cs="Arial"/>
                <w:b/>
                <w:bCs/>
                <w:sz w:val="22"/>
                <w:szCs w:val="22"/>
                <w:lang w:eastAsia="en-GB"/>
              </w:rPr>
              <w:t>tRFMO</w:t>
            </w:r>
          </w:p>
        </w:tc>
        <w:tc>
          <w:tcPr>
            <w:tcW w:w="2768" w:type="dxa"/>
          </w:tcPr>
          <w:p w14:paraId="1982F469" w14:textId="77777777" w:rsidR="005F6E8D" w:rsidRPr="00DD4F8D" w:rsidRDefault="005F6E8D" w:rsidP="001364FD">
            <w:pPr>
              <w:rPr>
                <w:rFonts w:ascii="Arial" w:eastAsia="Times New Roman" w:hAnsi="Arial" w:cs="Arial"/>
                <w:b/>
                <w:bCs/>
                <w:sz w:val="22"/>
                <w:szCs w:val="22"/>
                <w:lang w:eastAsia="en-GB"/>
              </w:rPr>
            </w:pPr>
            <w:r w:rsidRPr="00DD4F8D">
              <w:rPr>
                <w:rFonts w:ascii="Arial" w:eastAsia="Times New Roman" w:hAnsi="Arial" w:cs="Arial"/>
                <w:b/>
                <w:bCs/>
                <w:sz w:val="22"/>
                <w:szCs w:val="22"/>
                <w:lang w:eastAsia="en-GB"/>
              </w:rPr>
              <w:t>Resolution / Recommendation</w:t>
            </w:r>
          </w:p>
        </w:tc>
        <w:tc>
          <w:tcPr>
            <w:tcW w:w="5103" w:type="dxa"/>
          </w:tcPr>
          <w:p w14:paraId="4FE71C3D" w14:textId="77777777" w:rsidR="005F6E8D" w:rsidRPr="00DD4F8D" w:rsidRDefault="005F6E8D" w:rsidP="001364FD">
            <w:pPr>
              <w:rPr>
                <w:rFonts w:ascii="Arial" w:eastAsia="Times New Roman" w:hAnsi="Arial" w:cs="Arial"/>
                <w:b/>
                <w:bCs/>
                <w:sz w:val="22"/>
                <w:szCs w:val="22"/>
                <w:lang w:eastAsia="en-GB"/>
              </w:rPr>
            </w:pPr>
            <w:r w:rsidRPr="00DD4F8D">
              <w:rPr>
                <w:rFonts w:ascii="Arial" w:eastAsia="Times New Roman" w:hAnsi="Arial" w:cs="Arial"/>
                <w:b/>
                <w:bCs/>
                <w:sz w:val="22"/>
                <w:szCs w:val="22"/>
                <w:lang w:eastAsia="en-GB"/>
              </w:rPr>
              <w:t xml:space="preserve">Sample text </w:t>
            </w:r>
          </w:p>
        </w:tc>
      </w:tr>
      <w:tr w:rsidR="005F6E8D" w:rsidRPr="00DD4F8D" w14:paraId="466A0F4C" w14:textId="77777777" w:rsidTr="00060931">
        <w:tc>
          <w:tcPr>
            <w:tcW w:w="1196" w:type="dxa"/>
          </w:tcPr>
          <w:p w14:paraId="7401E923" w14:textId="77777777" w:rsidR="005F6E8D" w:rsidRPr="00DD4F8D" w:rsidRDefault="005F6E8D" w:rsidP="001364FD">
            <w:pPr>
              <w:spacing w:after="60"/>
              <w:rPr>
                <w:rFonts w:ascii="Arial" w:eastAsia="Times New Roman" w:hAnsi="Arial" w:cs="Arial"/>
                <w:sz w:val="22"/>
                <w:szCs w:val="22"/>
                <w:lang w:eastAsia="en-GB"/>
              </w:rPr>
            </w:pPr>
            <w:r w:rsidRPr="00DD4F8D">
              <w:rPr>
                <w:rFonts w:ascii="Arial" w:eastAsia="Times New Roman" w:hAnsi="Arial" w:cs="Arial"/>
                <w:sz w:val="22"/>
                <w:szCs w:val="22"/>
                <w:lang w:eastAsia="en-GB"/>
              </w:rPr>
              <w:t>IATTC</w:t>
            </w:r>
          </w:p>
        </w:tc>
        <w:tc>
          <w:tcPr>
            <w:tcW w:w="2768" w:type="dxa"/>
          </w:tcPr>
          <w:p w14:paraId="0859DD07" w14:textId="77777777" w:rsidR="005F6E8D" w:rsidRPr="00DD4F8D" w:rsidRDefault="000E4301" w:rsidP="001364FD">
            <w:pPr>
              <w:spacing w:after="60"/>
              <w:rPr>
                <w:rFonts w:ascii="Arial" w:eastAsia="Times New Roman" w:hAnsi="Arial" w:cs="Arial"/>
                <w:sz w:val="22"/>
                <w:szCs w:val="22"/>
                <w:lang w:eastAsia="en-GB"/>
              </w:rPr>
            </w:pPr>
            <w:hyperlink r:id="rId17" w:history="1">
              <w:r w:rsidR="005F6E8D" w:rsidRPr="00DD4F8D">
                <w:rPr>
                  <w:rFonts w:ascii="Arial" w:eastAsia="Times New Roman" w:hAnsi="Arial" w:cs="Arial"/>
                  <w:color w:val="0563C1"/>
                  <w:sz w:val="22"/>
                  <w:szCs w:val="22"/>
                  <w:u w:val="single"/>
                  <w:lang w:eastAsia="en-GB"/>
                </w:rPr>
                <w:t>Resolution C-19-01 Amendment to Resolution C-18-05 on the collection and analyses of data on fish-aggregating devices</w:t>
              </w:r>
            </w:hyperlink>
          </w:p>
          <w:p w14:paraId="7A810C03" w14:textId="77777777" w:rsidR="005F6E8D" w:rsidRPr="00DD4F8D" w:rsidRDefault="005F6E8D" w:rsidP="001364FD">
            <w:pPr>
              <w:spacing w:after="60"/>
              <w:rPr>
                <w:rFonts w:ascii="Arial" w:eastAsia="Times New Roman" w:hAnsi="Arial" w:cs="Arial"/>
                <w:sz w:val="22"/>
                <w:szCs w:val="22"/>
                <w:lang w:eastAsia="en-GB"/>
              </w:rPr>
            </w:pPr>
          </w:p>
        </w:tc>
        <w:tc>
          <w:tcPr>
            <w:tcW w:w="5103" w:type="dxa"/>
          </w:tcPr>
          <w:p w14:paraId="43B6D151" w14:textId="77777777" w:rsidR="005F6E8D" w:rsidRPr="00DD4F8D" w:rsidRDefault="005F6E8D" w:rsidP="009D04F8">
            <w:pPr>
              <w:spacing w:after="60"/>
              <w:jc w:val="both"/>
              <w:rPr>
                <w:rFonts w:ascii="Arial" w:eastAsia="Times New Roman" w:hAnsi="Arial" w:cs="Arial"/>
                <w:sz w:val="22"/>
                <w:szCs w:val="22"/>
                <w:lang w:eastAsia="en-GB"/>
              </w:rPr>
            </w:pPr>
            <w:r w:rsidRPr="00DD4F8D">
              <w:rPr>
                <w:rFonts w:ascii="Arial" w:eastAsia="Times New Roman" w:hAnsi="Arial" w:cs="Arial"/>
                <w:sz w:val="22"/>
                <w:szCs w:val="22"/>
                <w:lang w:eastAsia="en-GB"/>
              </w:rPr>
              <w:t xml:space="preserve">To reduce the entanglement of sharks, sea turtles and other species, FADs should be designed as follows: </w:t>
            </w:r>
          </w:p>
          <w:p w14:paraId="5788DE93" w14:textId="77777777" w:rsidR="005F6E8D" w:rsidRPr="00DD4F8D" w:rsidRDefault="005F6E8D" w:rsidP="009D04F8">
            <w:pPr>
              <w:spacing w:after="60"/>
              <w:jc w:val="both"/>
              <w:rPr>
                <w:rFonts w:ascii="Arial" w:eastAsia="Times New Roman" w:hAnsi="Arial" w:cs="Arial"/>
                <w:i/>
                <w:iCs/>
                <w:sz w:val="22"/>
                <w:szCs w:val="22"/>
                <w:lang w:eastAsia="en-GB"/>
              </w:rPr>
            </w:pPr>
            <w:r w:rsidRPr="00DD4F8D">
              <w:rPr>
                <w:rFonts w:ascii="Arial" w:eastAsia="Times New Roman" w:hAnsi="Arial" w:cs="Arial"/>
                <w:sz w:val="22"/>
                <w:szCs w:val="22"/>
                <w:lang w:eastAsia="en-GB"/>
              </w:rPr>
              <w:t>“</w:t>
            </w:r>
            <w:r w:rsidRPr="00DD4F8D">
              <w:rPr>
                <w:rFonts w:ascii="Arial" w:eastAsia="Times New Roman" w:hAnsi="Arial" w:cs="Arial"/>
                <w:i/>
                <w:iCs/>
                <w:sz w:val="22"/>
                <w:szCs w:val="22"/>
                <w:lang w:eastAsia="en-GB"/>
              </w:rPr>
              <w:t xml:space="preserve">1. The floating or raft part (flat or rolled structure) of the FAD can be covered or not. If it is covered with mesh net, it must have a stretched mesh size less than 7 cm and the mesh net must be well wrapped around the whole raft so that there is no loose netting hanging below the FAD when it is deployed. </w:t>
            </w:r>
          </w:p>
          <w:p w14:paraId="38CF988D" w14:textId="77777777" w:rsidR="005F6E8D" w:rsidRPr="00DD4F8D" w:rsidRDefault="005F6E8D" w:rsidP="009D04F8">
            <w:pPr>
              <w:spacing w:after="60"/>
              <w:jc w:val="both"/>
              <w:rPr>
                <w:rFonts w:ascii="Arial" w:eastAsia="Times New Roman" w:hAnsi="Arial" w:cs="Arial"/>
                <w:i/>
                <w:iCs/>
                <w:sz w:val="22"/>
                <w:szCs w:val="22"/>
                <w:lang w:eastAsia="en-GB"/>
              </w:rPr>
            </w:pPr>
            <w:r w:rsidRPr="00DD4F8D">
              <w:rPr>
                <w:rFonts w:ascii="Arial" w:eastAsia="Times New Roman" w:hAnsi="Arial" w:cs="Arial"/>
                <w:i/>
                <w:iCs/>
                <w:sz w:val="22"/>
                <w:szCs w:val="22"/>
                <w:lang w:eastAsia="en-GB"/>
              </w:rPr>
              <w:t xml:space="preserve">2. The design of the underwater or hanging part (tail) of the FAD should avoid the use of mesh net. If mesh net is used, it must be tied as tightly as practicable in the form of sausages or have a stretched mesh size less than 7 cm in a panel with weight at the end. </w:t>
            </w:r>
          </w:p>
          <w:p w14:paraId="0F1C2953" w14:textId="77777777" w:rsidR="005F6E8D" w:rsidRPr="00DD4F8D" w:rsidRDefault="005F6E8D" w:rsidP="009D04F8">
            <w:pPr>
              <w:spacing w:after="60"/>
              <w:jc w:val="both"/>
              <w:rPr>
                <w:rFonts w:ascii="Arial" w:eastAsia="Times New Roman" w:hAnsi="Arial" w:cs="Arial"/>
                <w:sz w:val="22"/>
                <w:szCs w:val="22"/>
                <w:lang w:eastAsia="en-GB"/>
              </w:rPr>
            </w:pPr>
            <w:r w:rsidRPr="00DD4F8D">
              <w:rPr>
                <w:rFonts w:ascii="Arial" w:eastAsia="Times New Roman" w:hAnsi="Arial" w:cs="Arial"/>
                <w:i/>
                <w:iCs/>
                <w:sz w:val="22"/>
                <w:szCs w:val="22"/>
                <w:lang w:eastAsia="en-GB"/>
              </w:rPr>
              <w:t>3. To reduce the amount of synthetic marine debris, the use of natural or biodegradable materials (such as hessian canvas, hemp ropes, etc.) for drifting FADs should be promoted.”</w:t>
            </w:r>
          </w:p>
        </w:tc>
      </w:tr>
      <w:tr w:rsidR="005F6E8D" w:rsidRPr="00DD4F8D" w14:paraId="32644483" w14:textId="77777777" w:rsidTr="00060931">
        <w:tc>
          <w:tcPr>
            <w:tcW w:w="1196" w:type="dxa"/>
          </w:tcPr>
          <w:p w14:paraId="6DD9AEA6" w14:textId="77777777" w:rsidR="005F6E8D" w:rsidRPr="00DD4F8D" w:rsidRDefault="005F6E8D" w:rsidP="001364FD">
            <w:pPr>
              <w:spacing w:after="60"/>
              <w:rPr>
                <w:rFonts w:ascii="Arial" w:eastAsia="Times New Roman" w:hAnsi="Arial" w:cs="Arial"/>
                <w:sz w:val="22"/>
                <w:szCs w:val="22"/>
                <w:lang w:eastAsia="en-GB"/>
              </w:rPr>
            </w:pPr>
            <w:r w:rsidRPr="00DD4F8D">
              <w:rPr>
                <w:rFonts w:ascii="Arial" w:eastAsia="Times New Roman" w:hAnsi="Arial" w:cs="Arial"/>
                <w:sz w:val="22"/>
                <w:szCs w:val="22"/>
                <w:lang w:eastAsia="en-GB"/>
              </w:rPr>
              <w:t>IATTC</w:t>
            </w:r>
          </w:p>
        </w:tc>
        <w:tc>
          <w:tcPr>
            <w:tcW w:w="2768" w:type="dxa"/>
          </w:tcPr>
          <w:p w14:paraId="530E008D" w14:textId="77777777" w:rsidR="005F6E8D" w:rsidRPr="00DD4F8D" w:rsidRDefault="000E4301" w:rsidP="001364FD">
            <w:pPr>
              <w:spacing w:after="60"/>
              <w:rPr>
                <w:rFonts w:ascii="Arial" w:eastAsia="Times New Roman" w:hAnsi="Arial" w:cs="Arial"/>
                <w:sz w:val="22"/>
                <w:szCs w:val="22"/>
                <w:lang w:eastAsia="en-GB"/>
              </w:rPr>
            </w:pPr>
            <w:hyperlink r:id="rId18" w:history="1">
              <w:r w:rsidR="005F6E8D" w:rsidRPr="00DD4F8D">
                <w:rPr>
                  <w:rFonts w:ascii="Arial" w:eastAsia="Times New Roman" w:hAnsi="Arial" w:cs="Arial"/>
                  <w:color w:val="0563C1"/>
                  <w:sz w:val="22"/>
                  <w:szCs w:val="22"/>
                  <w:u w:val="single"/>
                  <w:lang w:eastAsia="en-GB"/>
                </w:rPr>
                <w:t>Resolution C-19-04 to mitigate impacts on sea turtles</w:t>
              </w:r>
            </w:hyperlink>
          </w:p>
        </w:tc>
        <w:tc>
          <w:tcPr>
            <w:tcW w:w="5103" w:type="dxa"/>
          </w:tcPr>
          <w:p w14:paraId="5B3810F0" w14:textId="77777777" w:rsidR="005F6E8D" w:rsidRPr="00DD4F8D" w:rsidRDefault="005F6E8D" w:rsidP="009D04F8">
            <w:pPr>
              <w:spacing w:after="60"/>
              <w:jc w:val="both"/>
              <w:rPr>
                <w:rFonts w:ascii="Arial" w:eastAsia="Times New Roman" w:hAnsi="Arial" w:cs="Arial"/>
                <w:i/>
                <w:iCs/>
                <w:sz w:val="22"/>
                <w:szCs w:val="22"/>
                <w:lang w:eastAsia="en-GB"/>
              </w:rPr>
            </w:pPr>
            <w:r w:rsidRPr="00DD4F8D">
              <w:rPr>
                <w:rFonts w:ascii="Arial" w:eastAsia="Times New Roman" w:hAnsi="Arial" w:cs="Arial"/>
                <w:sz w:val="22"/>
                <w:szCs w:val="22"/>
                <w:lang w:eastAsia="en-GB"/>
              </w:rPr>
              <w:t>“</w:t>
            </w:r>
            <w:r w:rsidRPr="00DD4F8D">
              <w:rPr>
                <w:rFonts w:ascii="Arial" w:eastAsia="Times New Roman" w:hAnsi="Arial" w:cs="Arial"/>
                <w:i/>
                <w:iCs/>
                <w:sz w:val="22"/>
                <w:szCs w:val="22"/>
                <w:lang w:eastAsia="en-GB"/>
              </w:rPr>
              <w:t xml:space="preserve">CPCs with purse-seine vessels fishing for species covered by the IATTC in the Convention Area shall: </w:t>
            </w:r>
          </w:p>
          <w:p w14:paraId="10EEC0B9" w14:textId="77777777" w:rsidR="005F6E8D" w:rsidRPr="00DD4F8D" w:rsidRDefault="005F6E8D" w:rsidP="009D04F8">
            <w:pPr>
              <w:spacing w:after="60"/>
              <w:jc w:val="both"/>
              <w:rPr>
                <w:rFonts w:ascii="Arial" w:eastAsia="Times New Roman" w:hAnsi="Arial" w:cs="Arial"/>
                <w:sz w:val="22"/>
                <w:szCs w:val="22"/>
                <w:lang w:eastAsia="en-GB"/>
              </w:rPr>
            </w:pPr>
            <w:r w:rsidRPr="00DD4F8D">
              <w:rPr>
                <w:rFonts w:ascii="Arial" w:eastAsia="Times New Roman" w:hAnsi="Arial" w:cs="Arial"/>
                <w:i/>
                <w:iCs/>
                <w:sz w:val="22"/>
                <w:szCs w:val="22"/>
                <w:lang w:eastAsia="en-GB"/>
              </w:rPr>
              <w:t>…require owners/operators/vessel crew of purse seine vessels to promptly release unharmed, to the extent practicable, all sea turtles observed entangled in fish-aggregating devices (FADs).”</w:t>
            </w:r>
          </w:p>
        </w:tc>
      </w:tr>
      <w:tr w:rsidR="005F6E8D" w:rsidRPr="00DD4F8D" w14:paraId="21FAFA32" w14:textId="77777777" w:rsidTr="00060931">
        <w:tc>
          <w:tcPr>
            <w:tcW w:w="1196" w:type="dxa"/>
          </w:tcPr>
          <w:p w14:paraId="4BA51E1F" w14:textId="77777777" w:rsidR="005F6E8D" w:rsidRPr="00DD4F8D" w:rsidRDefault="005F6E8D" w:rsidP="001364FD">
            <w:pPr>
              <w:spacing w:after="60"/>
              <w:rPr>
                <w:rFonts w:ascii="Arial" w:eastAsia="Times New Roman" w:hAnsi="Arial" w:cs="Arial"/>
                <w:sz w:val="22"/>
                <w:szCs w:val="22"/>
                <w:lang w:eastAsia="en-GB"/>
              </w:rPr>
            </w:pPr>
            <w:r w:rsidRPr="00DD4F8D">
              <w:rPr>
                <w:rFonts w:ascii="Arial" w:eastAsia="Times New Roman" w:hAnsi="Arial" w:cs="Arial"/>
                <w:sz w:val="22"/>
                <w:szCs w:val="22"/>
                <w:lang w:eastAsia="en-GB"/>
              </w:rPr>
              <w:t>ICCAT</w:t>
            </w:r>
          </w:p>
        </w:tc>
        <w:tc>
          <w:tcPr>
            <w:tcW w:w="2768" w:type="dxa"/>
          </w:tcPr>
          <w:p w14:paraId="18815E83" w14:textId="77777777" w:rsidR="005F6E8D" w:rsidRPr="00DD4F8D" w:rsidRDefault="000E4301" w:rsidP="001364FD">
            <w:pPr>
              <w:spacing w:after="60"/>
              <w:rPr>
                <w:rFonts w:ascii="Arial" w:eastAsia="Times New Roman" w:hAnsi="Arial" w:cs="Arial"/>
                <w:sz w:val="22"/>
                <w:szCs w:val="22"/>
                <w:lang w:eastAsia="en-GB"/>
              </w:rPr>
            </w:pPr>
            <w:hyperlink r:id="rId19" w:history="1">
              <w:r w:rsidR="005F6E8D" w:rsidRPr="00DD4F8D">
                <w:rPr>
                  <w:rFonts w:ascii="Arial" w:eastAsia="Times New Roman" w:hAnsi="Arial" w:cs="Arial"/>
                  <w:color w:val="0563C1"/>
                  <w:sz w:val="22"/>
                  <w:szCs w:val="22"/>
                  <w:u w:val="single"/>
                  <w:lang w:eastAsia="en-GB"/>
                </w:rPr>
                <w:t>Recommendation by ICCAT to establish an ad hoc working group on fish aggregating devices (FADs)</w:t>
              </w:r>
            </w:hyperlink>
          </w:p>
        </w:tc>
        <w:tc>
          <w:tcPr>
            <w:tcW w:w="5103" w:type="dxa"/>
          </w:tcPr>
          <w:p w14:paraId="36137380" w14:textId="77777777" w:rsidR="005F6E8D" w:rsidRPr="00DD4F8D" w:rsidRDefault="005F6E8D" w:rsidP="009D04F8">
            <w:pPr>
              <w:spacing w:after="60"/>
              <w:jc w:val="both"/>
              <w:rPr>
                <w:rFonts w:ascii="Arial" w:eastAsia="Times New Roman" w:hAnsi="Arial" w:cs="Arial"/>
                <w:sz w:val="22"/>
                <w:szCs w:val="22"/>
                <w:lang w:eastAsia="en-GB"/>
              </w:rPr>
            </w:pPr>
            <w:r w:rsidRPr="00DD4F8D">
              <w:rPr>
                <w:rFonts w:ascii="Arial" w:eastAsia="Times New Roman" w:hAnsi="Arial" w:cs="Arial"/>
                <w:sz w:val="22"/>
                <w:szCs w:val="22"/>
                <w:lang w:eastAsia="en-GB"/>
              </w:rPr>
              <w:t xml:space="preserve">ICCAT recommends an ad hoc working group is established. One of the Terms of Reference is: </w:t>
            </w:r>
          </w:p>
          <w:p w14:paraId="2342B9E9" w14:textId="77777777" w:rsidR="005F6E8D" w:rsidRPr="00DD4F8D" w:rsidRDefault="005F6E8D" w:rsidP="009D04F8">
            <w:pPr>
              <w:spacing w:after="60"/>
              <w:jc w:val="both"/>
              <w:rPr>
                <w:rFonts w:ascii="Arial" w:eastAsia="Times New Roman" w:hAnsi="Arial" w:cs="Arial"/>
                <w:i/>
                <w:iCs/>
                <w:sz w:val="22"/>
                <w:szCs w:val="22"/>
                <w:lang w:eastAsia="en-GB"/>
              </w:rPr>
            </w:pPr>
            <w:r w:rsidRPr="00DD4F8D">
              <w:rPr>
                <w:rFonts w:ascii="Arial" w:eastAsia="Times New Roman" w:hAnsi="Arial" w:cs="Arial"/>
                <w:sz w:val="22"/>
                <w:szCs w:val="22"/>
                <w:lang w:eastAsia="en-GB"/>
              </w:rPr>
              <w:t>“</w:t>
            </w:r>
            <w:r w:rsidRPr="00DD4F8D">
              <w:rPr>
                <w:rFonts w:ascii="Arial" w:eastAsia="Times New Roman" w:hAnsi="Arial" w:cs="Arial"/>
                <w:i/>
                <w:iCs/>
                <w:sz w:val="22"/>
                <w:szCs w:val="22"/>
                <w:lang w:eastAsia="en-GB"/>
              </w:rPr>
              <w:t xml:space="preserve">Assess the developments in FAD-related technology, including with regard to: </w:t>
            </w:r>
          </w:p>
          <w:p w14:paraId="51E2F344" w14:textId="77777777" w:rsidR="005F6E8D" w:rsidRPr="00DD4F8D" w:rsidRDefault="005F6E8D" w:rsidP="009D04F8">
            <w:pPr>
              <w:numPr>
                <w:ilvl w:val="0"/>
                <w:numId w:val="6"/>
              </w:numPr>
              <w:spacing w:after="60"/>
              <w:jc w:val="both"/>
              <w:rPr>
                <w:rFonts w:ascii="Arial" w:eastAsia="Times New Roman" w:hAnsi="Arial" w:cs="Arial"/>
                <w:i/>
                <w:iCs/>
                <w:sz w:val="22"/>
                <w:szCs w:val="22"/>
                <w:lang w:eastAsia="en-GB"/>
              </w:rPr>
            </w:pPr>
            <w:r w:rsidRPr="00DD4F8D">
              <w:rPr>
                <w:rFonts w:ascii="Arial" w:eastAsia="Times New Roman" w:hAnsi="Arial" w:cs="Arial"/>
                <w:i/>
                <w:iCs/>
                <w:sz w:val="22"/>
                <w:szCs w:val="22"/>
                <w:lang w:eastAsia="en-GB"/>
              </w:rPr>
              <w:t xml:space="preserve">Technological improvement in relation to fishing mortality. </w:t>
            </w:r>
          </w:p>
          <w:p w14:paraId="0A9B4675" w14:textId="77777777" w:rsidR="005F6E8D" w:rsidRPr="00DD4F8D" w:rsidRDefault="005F6E8D" w:rsidP="009D04F8">
            <w:pPr>
              <w:numPr>
                <w:ilvl w:val="0"/>
                <w:numId w:val="6"/>
              </w:numPr>
              <w:spacing w:after="60"/>
              <w:jc w:val="both"/>
              <w:rPr>
                <w:rFonts w:ascii="Arial" w:eastAsia="Times New Roman" w:hAnsi="Arial" w:cs="Arial"/>
                <w:i/>
                <w:iCs/>
                <w:sz w:val="22"/>
                <w:szCs w:val="22"/>
                <w:lang w:eastAsia="en-GB"/>
              </w:rPr>
            </w:pPr>
            <w:r w:rsidRPr="00DD4F8D">
              <w:rPr>
                <w:rFonts w:ascii="Arial" w:eastAsia="Times New Roman" w:hAnsi="Arial" w:cs="Arial"/>
                <w:i/>
                <w:iCs/>
                <w:sz w:val="22"/>
                <w:szCs w:val="22"/>
                <w:lang w:eastAsia="en-GB"/>
              </w:rPr>
              <w:t xml:space="preserve"> FAD and buoys marking and identification as a tool for monitoring, tracking and control of FADs. </w:t>
            </w:r>
          </w:p>
          <w:p w14:paraId="01EAA650" w14:textId="77777777" w:rsidR="005F6E8D" w:rsidRPr="00DD4F8D" w:rsidRDefault="005F6E8D" w:rsidP="009D04F8">
            <w:pPr>
              <w:numPr>
                <w:ilvl w:val="0"/>
                <w:numId w:val="6"/>
              </w:numPr>
              <w:spacing w:after="60"/>
              <w:jc w:val="both"/>
              <w:rPr>
                <w:rFonts w:ascii="Arial" w:eastAsia="Times New Roman" w:hAnsi="Arial" w:cs="Arial"/>
                <w:sz w:val="22"/>
                <w:szCs w:val="22"/>
                <w:lang w:eastAsia="en-GB"/>
              </w:rPr>
            </w:pPr>
            <w:r w:rsidRPr="00DD4F8D">
              <w:rPr>
                <w:rFonts w:ascii="Arial" w:eastAsia="Times New Roman" w:hAnsi="Arial" w:cs="Arial"/>
                <w:i/>
                <w:iCs/>
                <w:sz w:val="22"/>
                <w:szCs w:val="22"/>
                <w:lang w:eastAsia="en-GB"/>
              </w:rPr>
              <w:t xml:space="preserve">Reducing </w:t>
            </w:r>
            <w:proofErr w:type="spellStart"/>
            <w:r w:rsidRPr="00DD4F8D">
              <w:rPr>
                <w:rFonts w:ascii="Arial" w:eastAsia="Times New Roman" w:hAnsi="Arial" w:cs="Arial"/>
                <w:i/>
                <w:iCs/>
                <w:sz w:val="22"/>
                <w:szCs w:val="22"/>
                <w:lang w:eastAsia="en-GB"/>
              </w:rPr>
              <w:t>FADs'</w:t>
            </w:r>
            <w:proofErr w:type="spellEnd"/>
            <w:r w:rsidRPr="00DD4F8D">
              <w:rPr>
                <w:rFonts w:ascii="Arial" w:eastAsia="Times New Roman" w:hAnsi="Arial" w:cs="Arial"/>
                <w:i/>
                <w:iCs/>
                <w:sz w:val="22"/>
                <w:szCs w:val="22"/>
                <w:lang w:eastAsia="en-GB"/>
              </w:rPr>
              <w:t xml:space="preserve"> ecological impact through improved design, such as non-entangling FADs and biodegradable material.</w:t>
            </w:r>
            <w:r w:rsidRPr="00DD4F8D">
              <w:rPr>
                <w:rFonts w:ascii="Arial" w:eastAsia="Times New Roman" w:hAnsi="Arial" w:cs="Arial"/>
                <w:sz w:val="22"/>
                <w:szCs w:val="22"/>
                <w:lang w:eastAsia="en-GB"/>
              </w:rPr>
              <w:t>”</w:t>
            </w:r>
          </w:p>
        </w:tc>
      </w:tr>
      <w:tr w:rsidR="005F6E8D" w:rsidRPr="00DD4F8D" w14:paraId="1EE7D479" w14:textId="77777777" w:rsidTr="00060931">
        <w:tc>
          <w:tcPr>
            <w:tcW w:w="1196" w:type="dxa"/>
          </w:tcPr>
          <w:p w14:paraId="345D0D4F" w14:textId="77777777" w:rsidR="005F6E8D" w:rsidRPr="00DD4F8D" w:rsidRDefault="005F6E8D" w:rsidP="001364FD">
            <w:pPr>
              <w:spacing w:after="60"/>
              <w:rPr>
                <w:rFonts w:ascii="Arial" w:eastAsia="Times New Roman" w:hAnsi="Arial" w:cs="Arial"/>
                <w:sz w:val="22"/>
                <w:szCs w:val="22"/>
                <w:lang w:eastAsia="en-GB"/>
              </w:rPr>
            </w:pPr>
            <w:r w:rsidRPr="00DD4F8D">
              <w:rPr>
                <w:rFonts w:ascii="Arial" w:eastAsia="Times New Roman" w:hAnsi="Arial" w:cs="Arial"/>
                <w:sz w:val="22"/>
                <w:szCs w:val="22"/>
                <w:lang w:eastAsia="en-GB"/>
              </w:rPr>
              <w:t>IOTC</w:t>
            </w:r>
          </w:p>
        </w:tc>
        <w:tc>
          <w:tcPr>
            <w:tcW w:w="2768" w:type="dxa"/>
          </w:tcPr>
          <w:p w14:paraId="70D46291" w14:textId="77777777" w:rsidR="005F6E8D" w:rsidRPr="00DD4F8D" w:rsidRDefault="000E4301" w:rsidP="001364FD">
            <w:pPr>
              <w:spacing w:after="60"/>
              <w:rPr>
                <w:rFonts w:ascii="Arial" w:eastAsia="Times New Roman" w:hAnsi="Arial" w:cs="Arial"/>
                <w:sz w:val="22"/>
                <w:szCs w:val="22"/>
                <w:lang w:eastAsia="en-GB"/>
              </w:rPr>
            </w:pPr>
            <w:hyperlink r:id="rId20" w:history="1">
              <w:r w:rsidR="005F6E8D" w:rsidRPr="00DD4F8D">
                <w:rPr>
                  <w:rFonts w:ascii="Arial" w:eastAsia="Times New Roman" w:hAnsi="Arial" w:cs="Arial"/>
                  <w:color w:val="0563C1"/>
                  <w:sz w:val="22"/>
                  <w:szCs w:val="22"/>
                  <w:u w:val="single"/>
                  <w:lang w:eastAsia="en-GB"/>
                </w:rPr>
                <w:t>Resolution 12/04 on the Conservation of Marine Turtles</w:t>
              </w:r>
            </w:hyperlink>
          </w:p>
        </w:tc>
        <w:tc>
          <w:tcPr>
            <w:tcW w:w="5103" w:type="dxa"/>
          </w:tcPr>
          <w:p w14:paraId="1ED650D6" w14:textId="77777777" w:rsidR="005F6E8D" w:rsidRPr="00DD4F8D" w:rsidRDefault="005F6E8D" w:rsidP="009D04F8">
            <w:pPr>
              <w:spacing w:after="60"/>
              <w:jc w:val="both"/>
              <w:rPr>
                <w:rFonts w:ascii="Arial" w:eastAsia="Times New Roman" w:hAnsi="Arial" w:cs="Arial"/>
                <w:sz w:val="22"/>
                <w:szCs w:val="22"/>
                <w:lang w:eastAsia="en-GB"/>
              </w:rPr>
            </w:pPr>
            <w:r w:rsidRPr="00DD4F8D">
              <w:rPr>
                <w:rFonts w:ascii="Arial" w:eastAsia="Times New Roman" w:hAnsi="Arial" w:cs="Arial"/>
                <w:sz w:val="22"/>
                <w:szCs w:val="22"/>
                <w:lang w:eastAsia="en-GB"/>
              </w:rPr>
              <w:t>Encourages purse seine vessels to "</w:t>
            </w:r>
            <w:r w:rsidRPr="00DD4F8D">
              <w:rPr>
                <w:rFonts w:ascii="Arial" w:eastAsia="Times New Roman" w:hAnsi="Arial" w:cs="Arial"/>
                <w:i/>
                <w:iCs/>
                <w:sz w:val="22"/>
                <w:szCs w:val="22"/>
                <w:lang w:eastAsia="en-GB"/>
              </w:rPr>
              <w:t>adopt FAD designs that reduce the incidence of entanglement of marine turtles according to international standards</w:t>
            </w:r>
            <w:r w:rsidRPr="00DD4F8D">
              <w:rPr>
                <w:rFonts w:ascii="Arial" w:eastAsia="Times New Roman" w:hAnsi="Arial" w:cs="Arial"/>
                <w:sz w:val="22"/>
                <w:szCs w:val="22"/>
                <w:lang w:eastAsia="en-GB"/>
              </w:rPr>
              <w:t>.”</w:t>
            </w:r>
          </w:p>
        </w:tc>
      </w:tr>
      <w:tr w:rsidR="005F6E8D" w:rsidRPr="00DD4F8D" w14:paraId="132431C6" w14:textId="77777777" w:rsidTr="00060931">
        <w:tc>
          <w:tcPr>
            <w:tcW w:w="1196" w:type="dxa"/>
          </w:tcPr>
          <w:p w14:paraId="3ECED84F" w14:textId="77777777" w:rsidR="005F6E8D" w:rsidRPr="00DD4F8D" w:rsidRDefault="005F6E8D" w:rsidP="001364FD">
            <w:pPr>
              <w:spacing w:after="60"/>
              <w:rPr>
                <w:rFonts w:ascii="Arial" w:eastAsia="Times New Roman" w:hAnsi="Arial" w:cs="Arial"/>
                <w:sz w:val="22"/>
                <w:szCs w:val="22"/>
                <w:lang w:eastAsia="en-GB"/>
              </w:rPr>
            </w:pPr>
            <w:r w:rsidRPr="00DD4F8D">
              <w:rPr>
                <w:rFonts w:ascii="Arial" w:eastAsia="Times New Roman" w:hAnsi="Arial" w:cs="Arial"/>
                <w:sz w:val="22"/>
                <w:szCs w:val="22"/>
                <w:lang w:eastAsia="en-GB"/>
              </w:rPr>
              <w:t>IOTC</w:t>
            </w:r>
          </w:p>
        </w:tc>
        <w:tc>
          <w:tcPr>
            <w:tcW w:w="2768" w:type="dxa"/>
          </w:tcPr>
          <w:p w14:paraId="204D2AF0" w14:textId="77777777" w:rsidR="005F6E8D" w:rsidRPr="00DD4F8D" w:rsidRDefault="000E4301" w:rsidP="001364FD">
            <w:pPr>
              <w:spacing w:after="60"/>
              <w:rPr>
                <w:rFonts w:ascii="Arial" w:eastAsia="Times New Roman" w:hAnsi="Arial" w:cs="Arial"/>
                <w:sz w:val="22"/>
                <w:szCs w:val="22"/>
                <w:lang w:eastAsia="en-GB"/>
              </w:rPr>
            </w:pPr>
            <w:hyperlink r:id="rId21" w:history="1">
              <w:r w:rsidR="005F6E8D" w:rsidRPr="00DD4F8D">
                <w:rPr>
                  <w:rFonts w:ascii="Arial" w:eastAsia="Times New Roman" w:hAnsi="Arial" w:cs="Arial"/>
                  <w:color w:val="0563C1"/>
                  <w:sz w:val="22"/>
                  <w:szCs w:val="22"/>
                  <w:u w:val="single"/>
                  <w:lang w:eastAsia="en-GB"/>
                </w:rPr>
                <w:t>Resolution 19/02 Procedures on a fish aggregating devices (FADs) management plan</w:t>
              </w:r>
            </w:hyperlink>
            <w:r w:rsidR="005F6E8D" w:rsidRPr="00DD4F8D">
              <w:rPr>
                <w:rFonts w:ascii="Arial" w:eastAsia="Times New Roman" w:hAnsi="Arial" w:cs="Arial"/>
                <w:sz w:val="22"/>
                <w:szCs w:val="22"/>
                <w:lang w:eastAsia="en-GB"/>
              </w:rPr>
              <w:t xml:space="preserve"> </w:t>
            </w:r>
          </w:p>
          <w:p w14:paraId="4B7503AA" w14:textId="77777777" w:rsidR="005F6E8D" w:rsidRPr="00DD4F8D" w:rsidRDefault="005F6E8D" w:rsidP="001364FD">
            <w:pPr>
              <w:spacing w:after="60"/>
              <w:rPr>
                <w:rFonts w:ascii="Arial" w:eastAsia="Times New Roman" w:hAnsi="Arial" w:cs="Arial"/>
                <w:sz w:val="22"/>
                <w:szCs w:val="22"/>
                <w:lang w:eastAsia="en-GB"/>
              </w:rPr>
            </w:pPr>
          </w:p>
        </w:tc>
        <w:tc>
          <w:tcPr>
            <w:tcW w:w="5103" w:type="dxa"/>
          </w:tcPr>
          <w:p w14:paraId="631A7FBA" w14:textId="77777777" w:rsidR="005F6E8D" w:rsidRPr="00DD4F8D" w:rsidRDefault="005F6E8D" w:rsidP="009D04F8">
            <w:pPr>
              <w:spacing w:after="60"/>
              <w:jc w:val="both"/>
              <w:rPr>
                <w:rFonts w:ascii="Arial" w:eastAsia="Times New Roman" w:hAnsi="Arial" w:cs="Arial"/>
                <w:sz w:val="22"/>
                <w:szCs w:val="22"/>
                <w:lang w:eastAsia="en-GB"/>
              </w:rPr>
            </w:pPr>
            <w:r w:rsidRPr="00DD4F8D">
              <w:rPr>
                <w:rFonts w:ascii="Arial" w:eastAsia="Times New Roman" w:hAnsi="Arial" w:cs="Arial"/>
                <w:sz w:val="22"/>
                <w:szCs w:val="22"/>
                <w:lang w:eastAsia="en-GB"/>
              </w:rPr>
              <w:lastRenderedPageBreak/>
              <w:t>“</w:t>
            </w:r>
            <w:r w:rsidRPr="00DD4F8D">
              <w:rPr>
                <w:rFonts w:ascii="Arial" w:eastAsia="Times New Roman" w:hAnsi="Arial" w:cs="Arial"/>
                <w:i/>
                <w:iCs/>
                <w:sz w:val="22"/>
                <w:szCs w:val="22"/>
                <w:lang w:eastAsia="en-GB"/>
              </w:rPr>
              <w:t>To reduce the entanglement of sharks, marine turtles or any other species, CPCs shall require their flagged vessels to use non-entangling designs and materials in the construction of FADs.”</w:t>
            </w:r>
            <w:r w:rsidRPr="00DD4F8D">
              <w:rPr>
                <w:rFonts w:ascii="Arial" w:eastAsia="Times New Roman" w:hAnsi="Arial" w:cs="Arial"/>
                <w:sz w:val="22"/>
                <w:szCs w:val="22"/>
                <w:lang w:eastAsia="en-GB"/>
              </w:rPr>
              <w:t xml:space="preserve"> </w:t>
            </w:r>
          </w:p>
          <w:p w14:paraId="0AA2DCCA" w14:textId="77777777" w:rsidR="005F6E8D" w:rsidRPr="00DD4F8D" w:rsidRDefault="005F6E8D" w:rsidP="009D04F8">
            <w:pPr>
              <w:spacing w:after="60"/>
              <w:jc w:val="both"/>
              <w:rPr>
                <w:rFonts w:ascii="Arial" w:eastAsia="Times New Roman" w:hAnsi="Arial" w:cs="Arial"/>
                <w:i/>
                <w:iCs/>
                <w:sz w:val="22"/>
                <w:szCs w:val="22"/>
                <w:lang w:eastAsia="en-GB"/>
              </w:rPr>
            </w:pPr>
            <w:r w:rsidRPr="00DD4F8D">
              <w:rPr>
                <w:rFonts w:ascii="Arial" w:eastAsia="Times New Roman" w:hAnsi="Arial" w:cs="Arial"/>
                <w:i/>
                <w:iCs/>
                <w:sz w:val="22"/>
                <w:szCs w:val="22"/>
                <w:lang w:eastAsia="en-GB"/>
              </w:rPr>
              <w:lastRenderedPageBreak/>
              <w:t xml:space="preserve">“To reduce the amount of synthetic marine debris, the use of natural or biodegradable materials in FAD construction should be promoted. CPCs shall encourage their flag vessels to use biodegradable FADs in accordance with the guidelines at Annex V with a view to transitioning to the use of biodegradable FADs, with the exception of materials used for the instrumented buoys, by their flag vessel from 1 January 2022”. </w:t>
            </w:r>
          </w:p>
          <w:p w14:paraId="24FCD92C" w14:textId="77777777" w:rsidR="005F6E8D" w:rsidRPr="00DD4F8D" w:rsidRDefault="005F6E8D" w:rsidP="009D04F8">
            <w:pPr>
              <w:spacing w:after="60"/>
              <w:jc w:val="both"/>
              <w:rPr>
                <w:rFonts w:ascii="Arial" w:eastAsia="Times New Roman" w:hAnsi="Arial" w:cs="Arial"/>
                <w:color w:val="636363"/>
                <w:sz w:val="22"/>
                <w:szCs w:val="22"/>
                <w:lang w:eastAsia="en-GB"/>
              </w:rPr>
            </w:pPr>
            <w:r w:rsidRPr="00DD4F8D">
              <w:rPr>
                <w:rFonts w:ascii="Arial" w:eastAsia="Times New Roman" w:hAnsi="Arial" w:cs="Arial"/>
                <w:i/>
                <w:iCs/>
                <w:sz w:val="22"/>
                <w:szCs w:val="22"/>
                <w:lang w:eastAsia="en-GB"/>
              </w:rPr>
              <w:t>“This Resolution sets the maximum number of operational buoys followed by any purse seine vessel at 300 at any one time. The number of instrumented buoys that may be acquired annually for each purse seine vessel is set at no more than 500. No purse seine vessel shall have more than 500 instrumented buoys (buoy in stock and operational buoy) at any time. An instrumented buoy shall be made operational only when physically present on board the purse-seine vessel to which it belongs or its associated supply or support vessel, and the event shall be recorded in the appropriate logbook, specifying the instrumented buoy unique identification number and the date, time and geographical coordinates of its deployment.”</w:t>
            </w:r>
          </w:p>
        </w:tc>
      </w:tr>
      <w:tr w:rsidR="005F6E8D" w:rsidRPr="00DD4F8D" w14:paraId="1EC49F46" w14:textId="77777777" w:rsidTr="00060931">
        <w:tc>
          <w:tcPr>
            <w:tcW w:w="1196" w:type="dxa"/>
          </w:tcPr>
          <w:p w14:paraId="6E9622AA" w14:textId="77777777" w:rsidR="005F6E8D" w:rsidRPr="00DD4F8D" w:rsidRDefault="005F6E8D" w:rsidP="001364FD">
            <w:pPr>
              <w:spacing w:after="60"/>
              <w:rPr>
                <w:rFonts w:ascii="Arial" w:eastAsia="Times New Roman" w:hAnsi="Arial" w:cs="Arial"/>
                <w:sz w:val="22"/>
                <w:szCs w:val="22"/>
                <w:lang w:eastAsia="en-GB"/>
              </w:rPr>
            </w:pPr>
            <w:r w:rsidRPr="00DD4F8D">
              <w:rPr>
                <w:rFonts w:ascii="Arial" w:eastAsia="Times New Roman" w:hAnsi="Arial" w:cs="Arial"/>
                <w:sz w:val="22"/>
                <w:szCs w:val="22"/>
                <w:lang w:eastAsia="en-GB"/>
              </w:rPr>
              <w:lastRenderedPageBreak/>
              <w:t>IOTC</w:t>
            </w:r>
          </w:p>
        </w:tc>
        <w:tc>
          <w:tcPr>
            <w:tcW w:w="2768" w:type="dxa"/>
          </w:tcPr>
          <w:p w14:paraId="10BCB445" w14:textId="77777777" w:rsidR="005F6E8D" w:rsidRPr="00DD4F8D" w:rsidRDefault="000E4301" w:rsidP="001364FD">
            <w:pPr>
              <w:spacing w:after="60"/>
              <w:rPr>
                <w:rFonts w:ascii="Arial" w:eastAsia="Times New Roman" w:hAnsi="Arial" w:cs="Arial"/>
                <w:sz w:val="22"/>
                <w:szCs w:val="22"/>
                <w:lang w:eastAsia="en-GB"/>
              </w:rPr>
            </w:pPr>
            <w:hyperlink r:id="rId22" w:history="1">
              <w:r w:rsidR="005F6E8D" w:rsidRPr="00DD4F8D">
                <w:rPr>
                  <w:rFonts w:ascii="Arial" w:eastAsia="Times New Roman" w:hAnsi="Arial" w:cs="Arial"/>
                  <w:color w:val="0563C1"/>
                  <w:sz w:val="22"/>
                  <w:szCs w:val="22"/>
                  <w:u w:val="single"/>
                  <w:lang w:eastAsia="en-GB"/>
                </w:rPr>
                <w:t>Resolution 18/04 on BIOFAD experimental project</w:t>
              </w:r>
            </w:hyperlink>
          </w:p>
        </w:tc>
        <w:tc>
          <w:tcPr>
            <w:tcW w:w="5103" w:type="dxa"/>
          </w:tcPr>
          <w:p w14:paraId="325C6CBF" w14:textId="77777777" w:rsidR="005F6E8D" w:rsidRPr="00DD4F8D" w:rsidRDefault="005F6E8D" w:rsidP="001364FD">
            <w:pPr>
              <w:spacing w:after="60"/>
              <w:rPr>
                <w:rFonts w:ascii="Arial" w:eastAsia="Times New Roman" w:hAnsi="Arial" w:cs="Arial"/>
                <w:sz w:val="22"/>
                <w:szCs w:val="22"/>
                <w:lang w:eastAsia="en-GB"/>
              </w:rPr>
            </w:pPr>
          </w:p>
        </w:tc>
      </w:tr>
      <w:tr w:rsidR="005F6E8D" w:rsidRPr="00DD4F8D" w14:paraId="020019F0" w14:textId="77777777" w:rsidTr="00060931">
        <w:tc>
          <w:tcPr>
            <w:tcW w:w="1196" w:type="dxa"/>
          </w:tcPr>
          <w:p w14:paraId="781F09A2" w14:textId="77777777" w:rsidR="005F6E8D" w:rsidRPr="00DD4F8D" w:rsidRDefault="005F6E8D" w:rsidP="001364FD">
            <w:pPr>
              <w:spacing w:after="60"/>
              <w:rPr>
                <w:rFonts w:ascii="Arial" w:eastAsia="Times New Roman" w:hAnsi="Arial" w:cs="Arial"/>
                <w:sz w:val="22"/>
                <w:szCs w:val="22"/>
                <w:lang w:eastAsia="en-GB"/>
              </w:rPr>
            </w:pPr>
            <w:r w:rsidRPr="00DD4F8D">
              <w:rPr>
                <w:rFonts w:ascii="Arial" w:eastAsia="Times New Roman" w:hAnsi="Arial" w:cs="Arial"/>
                <w:sz w:val="22"/>
                <w:szCs w:val="22"/>
                <w:lang w:eastAsia="en-GB"/>
              </w:rPr>
              <w:t>WCPFC</w:t>
            </w:r>
          </w:p>
        </w:tc>
        <w:tc>
          <w:tcPr>
            <w:tcW w:w="2768" w:type="dxa"/>
          </w:tcPr>
          <w:p w14:paraId="59C17773" w14:textId="77777777" w:rsidR="005F6E8D" w:rsidRPr="00DD4F8D" w:rsidRDefault="000E4301" w:rsidP="001364FD">
            <w:pPr>
              <w:spacing w:after="60"/>
              <w:rPr>
                <w:rFonts w:ascii="Arial" w:eastAsia="Times New Roman" w:hAnsi="Arial" w:cs="Arial"/>
                <w:sz w:val="22"/>
                <w:szCs w:val="22"/>
                <w:lang w:eastAsia="en-GB"/>
              </w:rPr>
            </w:pPr>
            <w:hyperlink r:id="rId23" w:history="1">
              <w:r w:rsidR="005F6E8D" w:rsidRPr="00DD4F8D">
                <w:rPr>
                  <w:rFonts w:ascii="Arial" w:eastAsia="Times New Roman" w:hAnsi="Arial" w:cs="Arial"/>
                  <w:color w:val="0563C1"/>
                  <w:sz w:val="22"/>
                  <w:szCs w:val="22"/>
                  <w:u w:val="single"/>
                  <w:lang w:eastAsia="en-GB"/>
                </w:rPr>
                <w:t>Conservation and Management of Sea Turtles. Measure 2018-04</w:t>
              </w:r>
            </w:hyperlink>
          </w:p>
        </w:tc>
        <w:tc>
          <w:tcPr>
            <w:tcW w:w="5103" w:type="dxa"/>
          </w:tcPr>
          <w:p w14:paraId="6E104A52" w14:textId="77777777" w:rsidR="005F6E8D" w:rsidRPr="00DD4F8D" w:rsidRDefault="005F6E8D" w:rsidP="009D04F8">
            <w:pPr>
              <w:spacing w:after="60"/>
              <w:jc w:val="both"/>
              <w:rPr>
                <w:rFonts w:ascii="Arial" w:eastAsia="Times New Roman" w:hAnsi="Arial" w:cs="Arial"/>
                <w:sz w:val="22"/>
                <w:szCs w:val="22"/>
                <w:lang w:eastAsia="en-GB"/>
              </w:rPr>
            </w:pPr>
            <w:r w:rsidRPr="00DD4F8D">
              <w:rPr>
                <w:rFonts w:ascii="Arial" w:eastAsia="Times New Roman" w:hAnsi="Arial" w:cs="Arial"/>
                <w:i/>
                <w:iCs/>
                <w:sz w:val="22"/>
                <w:szCs w:val="22"/>
                <w:lang w:eastAsia="en-GB"/>
              </w:rPr>
              <w:t>“CCMs with purse seine vessels that fish for species covered by the Convention shall… ensure that operators of such vessels, while fishing in the Convention Area… To the extent practicable, release all sea turtles observed entangled in fish aggregating devices (FADs) or other fishing gear”.</w:t>
            </w:r>
          </w:p>
        </w:tc>
      </w:tr>
    </w:tbl>
    <w:p w14:paraId="58EFC043" w14:textId="77777777" w:rsidR="005F6E8D" w:rsidRPr="00DD4F8D" w:rsidRDefault="005F6E8D" w:rsidP="005F6E8D">
      <w:pPr>
        <w:spacing w:after="0" w:line="240" w:lineRule="auto"/>
        <w:jc w:val="both"/>
        <w:rPr>
          <w:rFonts w:eastAsia="Times New Roman" w:cs="Arial"/>
          <w:sz w:val="20"/>
          <w:szCs w:val="20"/>
          <w:lang w:eastAsia="en-GB"/>
        </w:rPr>
      </w:pPr>
      <w:r w:rsidRPr="00DD4F8D">
        <w:rPr>
          <w:rFonts w:eastAsia="Times New Roman" w:cs="Arial"/>
          <w:sz w:val="20"/>
          <w:szCs w:val="20"/>
          <w:lang w:eastAsia="en-GB"/>
        </w:rPr>
        <w:t xml:space="preserve"> </w:t>
      </w:r>
    </w:p>
    <w:p w14:paraId="65C595A5" w14:textId="00AFAD67" w:rsidR="005F6E8D" w:rsidRPr="00DD4F8D" w:rsidRDefault="005F6E8D" w:rsidP="005F6E8D">
      <w:pPr>
        <w:rPr>
          <w:rFonts w:eastAsia="Times New Roman" w:cs="Arial"/>
          <w:lang w:eastAsia="en-GB"/>
        </w:rPr>
        <w:sectPr w:rsidR="005F6E8D" w:rsidRPr="00DD4F8D" w:rsidSect="000E4301">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titlePg/>
          <w:docGrid w:linePitch="360"/>
        </w:sectPr>
      </w:pPr>
    </w:p>
    <w:p w14:paraId="68622BD8" w14:textId="77777777" w:rsidR="00DD4F8D" w:rsidRPr="00004428" w:rsidRDefault="00DD4F8D" w:rsidP="00004428">
      <w:pPr>
        <w:pStyle w:val="Heading1"/>
        <w:spacing w:line="240" w:lineRule="auto"/>
        <w:rPr>
          <w:rFonts w:ascii="Arial" w:hAnsi="Arial" w:cs="Arial"/>
          <w:color w:val="auto"/>
          <w:sz w:val="22"/>
          <w:szCs w:val="22"/>
          <w:u w:val="single"/>
          <w:lang w:eastAsia="en-GB"/>
        </w:rPr>
      </w:pPr>
      <w:bookmarkStart w:id="15" w:name="_Toc138240678"/>
      <w:r w:rsidRPr="00004428">
        <w:rPr>
          <w:rFonts w:ascii="Arial" w:hAnsi="Arial" w:cs="Arial"/>
          <w:color w:val="auto"/>
          <w:sz w:val="22"/>
          <w:szCs w:val="22"/>
          <w:u w:val="single"/>
          <w:lang w:eastAsia="en-GB"/>
        </w:rPr>
        <w:lastRenderedPageBreak/>
        <w:t>References</w:t>
      </w:r>
      <w:bookmarkEnd w:id="15"/>
      <w:r w:rsidRPr="00004428">
        <w:rPr>
          <w:rFonts w:ascii="Arial" w:hAnsi="Arial" w:cs="Arial"/>
          <w:color w:val="auto"/>
          <w:sz w:val="22"/>
          <w:szCs w:val="22"/>
          <w:u w:val="single"/>
          <w:lang w:eastAsia="en-GB"/>
        </w:rPr>
        <w:t xml:space="preserve"> </w:t>
      </w:r>
    </w:p>
    <w:p w14:paraId="1938E805" w14:textId="77777777" w:rsidR="00DD4F8D" w:rsidRPr="001F72E0" w:rsidRDefault="00DD4F8D" w:rsidP="001F72E0">
      <w:pPr>
        <w:spacing w:after="80" w:line="240" w:lineRule="auto"/>
        <w:ind w:left="540" w:hanging="540"/>
        <w:jc w:val="both"/>
        <w:rPr>
          <w:rFonts w:eastAsia="Times New Roman" w:cs="Arial"/>
          <w:sz w:val="20"/>
          <w:szCs w:val="20"/>
          <w:lang w:eastAsia="en-GB"/>
        </w:rPr>
      </w:pPr>
    </w:p>
    <w:p w14:paraId="3729C688"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Adam, M.S., </w:t>
      </w:r>
      <w:proofErr w:type="spellStart"/>
      <w:r w:rsidRPr="001F72E0">
        <w:rPr>
          <w:rFonts w:eastAsia="Times New Roman" w:cs="Arial"/>
          <w:sz w:val="20"/>
          <w:szCs w:val="20"/>
          <w:lang w:eastAsia="en-GB"/>
        </w:rPr>
        <w:t>Jauhary</w:t>
      </w:r>
      <w:proofErr w:type="spellEnd"/>
      <w:r w:rsidRPr="001F72E0">
        <w:rPr>
          <w:rFonts w:eastAsia="Times New Roman" w:cs="Arial"/>
          <w:sz w:val="20"/>
          <w:szCs w:val="20"/>
          <w:lang w:eastAsia="en-GB"/>
        </w:rPr>
        <w:t xml:space="preserve">, A.R., </w:t>
      </w:r>
      <w:proofErr w:type="spellStart"/>
      <w:r w:rsidRPr="001F72E0">
        <w:rPr>
          <w:rFonts w:eastAsia="Times New Roman" w:cs="Arial"/>
          <w:sz w:val="20"/>
          <w:szCs w:val="20"/>
          <w:lang w:eastAsia="en-GB"/>
        </w:rPr>
        <w:t>Azheem</w:t>
      </w:r>
      <w:proofErr w:type="spellEnd"/>
      <w:r w:rsidRPr="001F72E0">
        <w:rPr>
          <w:rFonts w:eastAsia="Times New Roman" w:cs="Arial"/>
          <w:sz w:val="20"/>
          <w:szCs w:val="20"/>
          <w:lang w:eastAsia="en-GB"/>
        </w:rPr>
        <w:t>, M., et al. (2019) Use of Anchored FADs in the Maldives – Notes for a Case Study for Assessing ALDFG. IOTC-2019-WPTT21-58</w:t>
      </w:r>
    </w:p>
    <w:p w14:paraId="4616055C"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Anderson, R.C. (2014) Cetaceans and Tuna Fisheries in the Western and Central Indian Ocean. IPNLF Technical Report 2, International Pole and Line Foundation, London. 133 pages. </w:t>
      </w:r>
    </w:p>
    <w:p w14:paraId="6CDF9546"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Blasi, M.F., </w:t>
      </w:r>
      <w:proofErr w:type="spellStart"/>
      <w:r w:rsidRPr="001F72E0">
        <w:rPr>
          <w:rFonts w:eastAsia="Times New Roman" w:cs="Arial"/>
          <w:sz w:val="20"/>
          <w:szCs w:val="20"/>
          <w:lang w:eastAsia="en-GB"/>
        </w:rPr>
        <w:t>Roscioni</w:t>
      </w:r>
      <w:proofErr w:type="spellEnd"/>
      <w:r w:rsidRPr="001F72E0">
        <w:rPr>
          <w:rFonts w:eastAsia="Times New Roman" w:cs="Arial"/>
          <w:sz w:val="20"/>
          <w:szCs w:val="20"/>
          <w:lang w:eastAsia="en-GB"/>
        </w:rPr>
        <w:t xml:space="preserve">, F. and </w:t>
      </w:r>
      <w:proofErr w:type="spellStart"/>
      <w:r w:rsidRPr="001F72E0">
        <w:rPr>
          <w:rFonts w:eastAsia="Times New Roman" w:cs="Arial"/>
          <w:sz w:val="20"/>
          <w:szCs w:val="20"/>
          <w:lang w:eastAsia="en-GB"/>
        </w:rPr>
        <w:t>Mattei</w:t>
      </w:r>
      <w:proofErr w:type="spellEnd"/>
      <w:r w:rsidRPr="001F72E0">
        <w:rPr>
          <w:rFonts w:eastAsia="Times New Roman" w:cs="Arial"/>
          <w:sz w:val="20"/>
          <w:szCs w:val="20"/>
          <w:lang w:eastAsia="en-GB"/>
        </w:rPr>
        <w:t>, D. (2016) Interaction of loggerhead turtles (</w:t>
      </w:r>
      <w:r w:rsidRPr="001F72E0">
        <w:rPr>
          <w:rFonts w:eastAsia="Times New Roman" w:cs="Arial"/>
          <w:i/>
          <w:iCs/>
          <w:sz w:val="20"/>
          <w:szCs w:val="20"/>
          <w:lang w:eastAsia="en-GB"/>
        </w:rPr>
        <w:t>Caretta caretta</w:t>
      </w:r>
      <w:r w:rsidRPr="001F72E0">
        <w:rPr>
          <w:rFonts w:eastAsia="Times New Roman" w:cs="Arial"/>
          <w:sz w:val="20"/>
          <w:szCs w:val="20"/>
          <w:lang w:eastAsia="en-GB"/>
        </w:rPr>
        <w:t xml:space="preserve">) with traditional fish aggregating devices (FADs) in the Mediterranean Sea. </w:t>
      </w:r>
      <w:r w:rsidRPr="001F72E0">
        <w:rPr>
          <w:rFonts w:eastAsia="Times New Roman" w:cs="Arial"/>
          <w:i/>
          <w:iCs/>
          <w:sz w:val="20"/>
          <w:szCs w:val="20"/>
          <w:lang w:eastAsia="en-GB"/>
        </w:rPr>
        <w:t>Herpetological Conservation and Biology</w:t>
      </w:r>
      <w:r w:rsidRPr="001F72E0">
        <w:rPr>
          <w:rFonts w:eastAsia="Times New Roman" w:cs="Arial"/>
          <w:sz w:val="20"/>
          <w:szCs w:val="20"/>
          <w:lang w:eastAsia="en-GB"/>
        </w:rPr>
        <w:t xml:space="preserve"> 11:386–401.</w:t>
      </w:r>
    </w:p>
    <w:p w14:paraId="2732D9BD" w14:textId="77777777" w:rsidR="00DD4F8D" w:rsidRPr="001F72E0" w:rsidRDefault="00DD4F8D" w:rsidP="001F72E0">
      <w:pPr>
        <w:spacing w:after="80" w:line="240" w:lineRule="auto"/>
        <w:ind w:left="540" w:hanging="540"/>
        <w:jc w:val="both"/>
        <w:rPr>
          <w:rFonts w:eastAsia="Times New Roman" w:cs="Arial"/>
          <w:sz w:val="20"/>
          <w:szCs w:val="20"/>
          <w:lang w:eastAsia="en-GB"/>
        </w:rPr>
      </w:pPr>
      <w:proofErr w:type="spellStart"/>
      <w:r w:rsidRPr="001F72E0">
        <w:rPr>
          <w:rFonts w:eastAsia="Times New Roman" w:cs="Arial"/>
          <w:sz w:val="20"/>
          <w:szCs w:val="20"/>
          <w:lang w:eastAsia="en-GB"/>
        </w:rPr>
        <w:t>Chanrachkij</w:t>
      </w:r>
      <w:proofErr w:type="spellEnd"/>
      <w:r w:rsidRPr="001F72E0">
        <w:rPr>
          <w:rFonts w:eastAsia="Times New Roman" w:cs="Arial"/>
          <w:sz w:val="20"/>
          <w:szCs w:val="20"/>
          <w:lang w:eastAsia="en-GB"/>
        </w:rPr>
        <w:t xml:space="preserve">, I and </w:t>
      </w:r>
      <w:proofErr w:type="spellStart"/>
      <w:r w:rsidRPr="001F72E0">
        <w:rPr>
          <w:rFonts w:eastAsia="Times New Roman" w:cs="Arial"/>
          <w:sz w:val="20"/>
          <w:szCs w:val="20"/>
          <w:lang w:eastAsia="en-GB"/>
        </w:rPr>
        <w:t>Loog</w:t>
      </w:r>
      <w:proofErr w:type="spellEnd"/>
      <w:r w:rsidRPr="001F72E0">
        <w:rPr>
          <w:rFonts w:eastAsia="Times New Roman" w:cs="Arial"/>
          <w:sz w:val="20"/>
          <w:szCs w:val="20"/>
          <w:lang w:eastAsia="en-GB"/>
        </w:rPr>
        <w:t xml:space="preserve">-on, A. (2003) Preliminary report on the ghost fishing phenomena by drifting FADs in eastern Indian Ocean. TD/RES/78. Southeast Asian Fisheries Development Center, Bangkok. Available at: </w:t>
      </w:r>
      <w:hyperlink r:id="rId30" w:history="1">
        <w:r w:rsidRPr="001F72E0">
          <w:rPr>
            <w:rFonts w:eastAsia="Times New Roman" w:cs="Arial"/>
            <w:color w:val="0563C1"/>
            <w:sz w:val="20"/>
            <w:szCs w:val="20"/>
            <w:u w:val="single"/>
            <w:lang w:eastAsia="en-GB"/>
          </w:rPr>
          <w:t>http://repository.seafdec.or.th/bitstream/handle/20.500.12067/574/TDRES78_Ghost_Fishing.PDF?sequence=1&amp;isAllowed=y</w:t>
        </w:r>
      </w:hyperlink>
      <w:r w:rsidRPr="001F72E0">
        <w:rPr>
          <w:rFonts w:eastAsia="Times New Roman" w:cs="Arial"/>
          <w:sz w:val="20"/>
          <w:szCs w:val="20"/>
          <w:lang w:eastAsia="en-GB"/>
        </w:rPr>
        <w:t xml:space="preserve">  </w:t>
      </w:r>
    </w:p>
    <w:p w14:paraId="4DD27C44" w14:textId="77777777" w:rsidR="00DD4F8D" w:rsidRPr="001F72E0" w:rsidRDefault="00DD4F8D" w:rsidP="001F72E0">
      <w:pPr>
        <w:spacing w:after="80" w:line="240" w:lineRule="auto"/>
        <w:ind w:left="540" w:hanging="540"/>
        <w:jc w:val="both"/>
        <w:rPr>
          <w:rFonts w:eastAsia="Times New Roman" w:cs="Arial"/>
          <w:sz w:val="20"/>
          <w:szCs w:val="20"/>
          <w:lang w:val="fr-FR" w:eastAsia="en-GB"/>
        </w:rPr>
      </w:pPr>
      <w:r w:rsidRPr="001F72E0">
        <w:rPr>
          <w:rFonts w:eastAsia="Times New Roman" w:cs="Arial"/>
          <w:sz w:val="20"/>
          <w:szCs w:val="20"/>
          <w:lang w:eastAsia="en-GB"/>
        </w:rPr>
        <w:t xml:space="preserve">Churchill, R. (2021) Just a Harmless Fishing Fad—or Does the Use of FADs Contravene International Marine Pollution Law? </w:t>
      </w:r>
      <w:proofErr w:type="spellStart"/>
      <w:r w:rsidRPr="001F72E0">
        <w:rPr>
          <w:rFonts w:eastAsia="Times New Roman" w:cs="Arial"/>
          <w:i/>
          <w:iCs/>
          <w:sz w:val="20"/>
          <w:szCs w:val="20"/>
          <w:lang w:val="fr-FR" w:eastAsia="en-GB"/>
        </w:rPr>
        <w:t>Ocean</w:t>
      </w:r>
      <w:proofErr w:type="spellEnd"/>
      <w:r w:rsidRPr="001F72E0">
        <w:rPr>
          <w:rFonts w:eastAsia="Times New Roman" w:cs="Arial"/>
          <w:i/>
          <w:iCs/>
          <w:sz w:val="20"/>
          <w:szCs w:val="20"/>
          <w:lang w:val="fr-FR" w:eastAsia="en-GB"/>
        </w:rPr>
        <w:t xml:space="preserve"> </w:t>
      </w:r>
      <w:proofErr w:type="spellStart"/>
      <w:r w:rsidRPr="001F72E0">
        <w:rPr>
          <w:rFonts w:eastAsia="Times New Roman" w:cs="Arial"/>
          <w:i/>
          <w:iCs/>
          <w:sz w:val="20"/>
          <w:szCs w:val="20"/>
          <w:lang w:val="fr-FR" w:eastAsia="en-GB"/>
        </w:rPr>
        <w:t>Development</w:t>
      </w:r>
      <w:proofErr w:type="spellEnd"/>
      <w:r w:rsidRPr="001F72E0">
        <w:rPr>
          <w:rFonts w:eastAsia="Times New Roman" w:cs="Arial"/>
          <w:i/>
          <w:iCs/>
          <w:sz w:val="20"/>
          <w:szCs w:val="20"/>
          <w:lang w:val="fr-FR" w:eastAsia="en-GB"/>
        </w:rPr>
        <w:t xml:space="preserve"> &amp; International Law</w:t>
      </w:r>
      <w:r w:rsidRPr="001F72E0">
        <w:rPr>
          <w:rFonts w:eastAsia="Times New Roman" w:cs="Arial"/>
          <w:sz w:val="20"/>
          <w:szCs w:val="20"/>
          <w:lang w:val="fr-FR" w:eastAsia="en-GB"/>
        </w:rPr>
        <w:t xml:space="preserve"> 52:2, 169-192.</w:t>
      </w:r>
    </w:p>
    <w:p w14:paraId="63277485" w14:textId="77777777" w:rsidR="00DD4F8D" w:rsidRPr="001F72E0" w:rsidRDefault="00DD4F8D" w:rsidP="001F72E0">
      <w:pPr>
        <w:spacing w:after="80" w:line="240" w:lineRule="auto"/>
        <w:ind w:left="540" w:hanging="540"/>
        <w:jc w:val="both"/>
        <w:rPr>
          <w:rFonts w:eastAsia="Times New Roman" w:cs="Arial"/>
          <w:sz w:val="20"/>
          <w:szCs w:val="20"/>
          <w:lang w:eastAsia="en-GB"/>
        </w:rPr>
      </w:pPr>
      <w:proofErr w:type="spellStart"/>
      <w:r w:rsidRPr="001F72E0">
        <w:rPr>
          <w:rFonts w:eastAsia="Times New Roman" w:cs="Arial"/>
          <w:sz w:val="20"/>
          <w:szCs w:val="20"/>
          <w:lang w:val="fr-FR" w:eastAsia="en-GB"/>
        </w:rPr>
        <w:t>Consoli</w:t>
      </w:r>
      <w:proofErr w:type="spellEnd"/>
      <w:r w:rsidRPr="001F72E0">
        <w:rPr>
          <w:rFonts w:eastAsia="Times New Roman" w:cs="Arial"/>
          <w:sz w:val="20"/>
          <w:szCs w:val="20"/>
          <w:lang w:val="fr-FR" w:eastAsia="en-GB"/>
        </w:rPr>
        <w:t xml:space="preserve">, P., </w:t>
      </w:r>
      <w:proofErr w:type="spellStart"/>
      <w:r w:rsidRPr="001F72E0">
        <w:rPr>
          <w:rFonts w:eastAsia="Times New Roman" w:cs="Arial"/>
          <w:sz w:val="20"/>
          <w:szCs w:val="20"/>
          <w:lang w:val="fr-FR" w:eastAsia="en-GB"/>
        </w:rPr>
        <w:t>Sinopoli</w:t>
      </w:r>
      <w:proofErr w:type="spellEnd"/>
      <w:r w:rsidRPr="001F72E0">
        <w:rPr>
          <w:rFonts w:eastAsia="Times New Roman" w:cs="Arial"/>
          <w:sz w:val="20"/>
          <w:szCs w:val="20"/>
          <w:lang w:val="fr-FR" w:eastAsia="en-GB"/>
        </w:rPr>
        <w:t xml:space="preserve">, M., Deidun, A., et al. </w:t>
      </w:r>
      <w:r w:rsidRPr="001F72E0">
        <w:rPr>
          <w:rFonts w:eastAsia="Times New Roman" w:cs="Arial"/>
          <w:sz w:val="20"/>
          <w:szCs w:val="20"/>
          <w:lang w:eastAsia="en-GB"/>
        </w:rPr>
        <w:t xml:space="preserve">(2020) The impact of marine litter from fish aggregation devices on vulnerable marine benthic habitats of the central Mediterranean Sea. </w:t>
      </w:r>
      <w:r w:rsidRPr="001F72E0">
        <w:rPr>
          <w:rFonts w:eastAsia="Times New Roman" w:cs="Arial"/>
          <w:i/>
          <w:iCs/>
          <w:sz w:val="20"/>
          <w:szCs w:val="20"/>
          <w:lang w:eastAsia="en-GB"/>
        </w:rPr>
        <w:t xml:space="preserve">Marine Pollution Bulletin </w:t>
      </w:r>
      <w:r w:rsidRPr="001F72E0">
        <w:rPr>
          <w:rFonts w:eastAsia="Times New Roman" w:cs="Arial"/>
          <w:sz w:val="20"/>
          <w:szCs w:val="20"/>
          <w:lang w:eastAsia="en-GB"/>
        </w:rPr>
        <w:t xml:space="preserve">152: 110928. </w:t>
      </w:r>
    </w:p>
    <w:p w14:paraId="5A3B2CD9" w14:textId="77777777" w:rsidR="00DD4F8D" w:rsidRPr="001F72E0" w:rsidRDefault="00DD4F8D" w:rsidP="001F72E0">
      <w:pPr>
        <w:spacing w:after="80" w:line="240" w:lineRule="auto"/>
        <w:ind w:left="540" w:hanging="540"/>
        <w:jc w:val="both"/>
        <w:rPr>
          <w:rFonts w:eastAsia="Times New Roman" w:cs="Arial"/>
          <w:sz w:val="20"/>
          <w:szCs w:val="20"/>
          <w:lang w:eastAsia="en-GB"/>
        </w:rPr>
      </w:pPr>
      <w:proofErr w:type="spellStart"/>
      <w:r w:rsidRPr="001F72E0">
        <w:rPr>
          <w:rFonts w:eastAsia="Times New Roman" w:cs="Arial"/>
          <w:sz w:val="20"/>
          <w:szCs w:val="20"/>
          <w:lang w:eastAsia="en-GB"/>
        </w:rPr>
        <w:t>Curnick</w:t>
      </w:r>
      <w:proofErr w:type="spellEnd"/>
      <w:r w:rsidRPr="001F72E0">
        <w:rPr>
          <w:rFonts w:eastAsia="Times New Roman" w:cs="Arial"/>
          <w:sz w:val="20"/>
          <w:szCs w:val="20"/>
          <w:lang w:eastAsia="en-GB"/>
        </w:rPr>
        <w:t xml:space="preserve">, D.J., </w:t>
      </w:r>
      <w:proofErr w:type="spellStart"/>
      <w:r w:rsidRPr="001F72E0">
        <w:rPr>
          <w:rFonts w:eastAsia="Times New Roman" w:cs="Arial"/>
          <w:sz w:val="20"/>
          <w:szCs w:val="20"/>
          <w:lang w:eastAsia="en-GB"/>
        </w:rPr>
        <w:t>Feary</w:t>
      </w:r>
      <w:proofErr w:type="spellEnd"/>
      <w:r w:rsidRPr="001F72E0">
        <w:rPr>
          <w:rFonts w:eastAsia="Times New Roman" w:cs="Arial"/>
          <w:sz w:val="20"/>
          <w:szCs w:val="20"/>
          <w:lang w:eastAsia="en-GB"/>
        </w:rPr>
        <w:t xml:space="preserve">, D.A. and Cavalcante, G.H. (2020) Risks to large marine protected areas posed by drifting fish aggregation devices. </w:t>
      </w:r>
      <w:r w:rsidRPr="001F72E0">
        <w:rPr>
          <w:rFonts w:eastAsia="Times New Roman" w:cs="Arial"/>
          <w:i/>
          <w:iCs/>
          <w:sz w:val="20"/>
          <w:szCs w:val="20"/>
          <w:lang w:eastAsia="en-GB"/>
        </w:rPr>
        <w:t xml:space="preserve">Conservation Biology </w:t>
      </w:r>
      <w:r w:rsidRPr="001F72E0">
        <w:rPr>
          <w:rFonts w:eastAsia="Times New Roman" w:cs="Arial"/>
          <w:sz w:val="20"/>
          <w:szCs w:val="20"/>
          <w:lang w:eastAsia="en-GB"/>
        </w:rPr>
        <w:t xml:space="preserve">35(4): 1222-1232. </w:t>
      </w:r>
    </w:p>
    <w:p w14:paraId="158F673E" w14:textId="77777777" w:rsidR="00DD4F8D" w:rsidRPr="001F72E0" w:rsidRDefault="00DD4F8D" w:rsidP="001F72E0">
      <w:pPr>
        <w:spacing w:after="80" w:line="240" w:lineRule="auto"/>
        <w:ind w:left="540" w:hanging="540"/>
        <w:jc w:val="both"/>
        <w:rPr>
          <w:rFonts w:eastAsia="Times New Roman" w:cs="Arial"/>
          <w:sz w:val="20"/>
          <w:szCs w:val="20"/>
          <w:lang w:eastAsia="en-GB"/>
        </w:rPr>
      </w:pPr>
      <w:proofErr w:type="spellStart"/>
      <w:r w:rsidRPr="001F72E0">
        <w:rPr>
          <w:rFonts w:eastAsia="Times New Roman" w:cs="Arial"/>
          <w:sz w:val="20"/>
          <w:szCs w:val="20"/>
          <w:lang w:eastAsia="en-GB"/>
        </w:rPr>
        <w:t>Escalle</w:t>
      </w:r>
      <w:proofErr w:type="spellEnd"/>
      <w:r w:rsidRPr="001F72E0">
        <w:rPr>
          <w:rFonts w:eastAsia="Times New Roman" w:cs="Arial"/>
          <w:sz w:val="20"/>
          <w:szCs w:val="20"/>
          <w:lang w:eastAsia="en-GB"/>
        </w:rPr>
        <w:t xml:space="preserve">, L., Brouwer, S. and Pilling, G. (2018) Evaluation of dFAD construction materials in the WCPO. Presented at the Fourteenth Regular Session of the Scientific Committee to the Western and Central Pacific Fisheries Commission (SC14-PP-EB-IP-01, Busan, Republic of Korea, 8–16 August 2018). </w:t>
      </w:r>
    </w:p>
    <w:p w14:paraId="5B49F7B5" w14:textId="77777777" w:rsidR="00DD4F8D" w:rsidRPr="001F72E0" w:rsidRDefault="00DD4F8D" w:rsidP="001F72E0">
      <w:pPr>
        <w:spacing w:after="80" w:line="240" w:lineRule="auto"/>
        <w:ind w:left="540" w:hanging="540"/>
        <w:jc w:val="both"/>
        <w:rPr>
          <w:rFonts w:eastAsia="Times New Roman" w:cs="Arial"/>
          <w:sz w:val="20"/>
          <w:szCs w:val="20"/>
          <w:lang w:eastAsia="en-GB"/>
        </w:rPr>
      </w:pPr>
      <w:proofErr w:type="spellStart"/>
      <w:r w:rsidRPr="001F72E0">
        <w:rPr>
          <w:rFonts w:eastAsia="Times New Roman" w:cs="Arial"/>
          <w:sz w:val="20"/>
          <w:szCs w:val="20"/>
          <w:lang w:eastAsia="en-GB"/>
        </w:rPr>
        <w:t>Escalle</w:t>
      </w:r>
      <w:proofErr w:type="spellEnd"/>
      <w:r w:rsidRPr="001F72E0">
        <w:rPr>
          <w:rFonts w:eastAsia="Times New Roman" w:cs="Arial"/>
          <w:sz w:val="20"/>
          <w:szCs w:val="20"/>
          <w:lang w:eastAsia="en-GB"/>
        </w:rPr>
        <w:t xml:space="preserve">, L., Phillips, J.S., </w:t>
      </w:r>
      <w:proofErr w:type="spellStart"/>
      <w:r w:rsidRPr="001F72E0">
        <w:rPr>
          <w:rFonts w:eastAsia="Times New Roman" w:cs="Arial"/>
          <w:sz w:val="20"/>
          <w:szCs w:val="20"/>
          <w:lang w:eastAsia="en-GB"/>
        </w:rPr>
        <w:t>Brownjohn</w:t>
      </w:r>
      <w:proofErr w:type="spellEnd"/>
      <w:r w:rsidRPr="001F72E0">
        <w:rPr>
          <w:rFonts w:eastAsia="Times New Roman" w:cs="Arial"/>
          <w:sz w:val="20"/>
          <w:szCs w:val="20"/>
          <w:lang w:eastAsia="en-GB"/>
        </w:rPr>
        <w:t xml:space="preserve">, M., et al. (2019) Environmental versus operational drivers of drifting FAD beaching in the Western and Central Pacific Ocean. </w:t>
      </w:r>
      <w:r w:rsidRPr="001F72E0">
        <w:rPr>
          <w:rFonts w:eastAsia="Times New Roman" w:cs="Arial"/>
          <w:i/>
          <w:iCs/>
          <w:sz w:val="20"/>
          <w:szCs w:val="20"/>
          <w:lang w:eastAsia="en-GB"/>
        </w:rPr>
        <w:t xml:space="preserve">Scientific Reports </w:t>
      </w:r>
      <w:r w:rsidRPr="001F72E0">
        <w:rPr>
          <w:rFonts w:eastAsia="Times New Roman" w:cs="Arial"/>
          <w:sz w:val="20"/>
          <w:szCs w:val="20"/>
          <w:lang w:eastAsia="en-GB"/>
        </w:rPr>
        <w:t xml:space="preserve">9: 14005. </w:t>
      </w:r>
    </w:p>
    <w:p w14:paraId="782CC6FA" w14:textId="77777777" w:rsidR="00DD4F8D" w:rsidRPr="001F72E0" w:rsidRDefault="00DD4F8D" w:rsidP="001F72E0">
      <w:pPr>
        <w:spacing w:after="80" w:line="240" w:lineRule="auto"/>
        <w:ind w:left="540" w:hanging="540"/>
        <w:jc w:val="both"/>
        <w:rPr>
          <w:rFonts w:eastAsia="Times New Roman" w:cs="Arial"/>
          <w:sz w:val="20"/>
          <w:szCs w:val="20"/>
          <w:lang w:val="it-IT" w:eastAsia="en-GB"/>
        </w:rPr>
      </w:pPr>
      <w:proofErr w:type="spellStart"/>
      <w:r w:rsidRPr="001F72E0">
        <w:rPr>
          <w:rFonts w:eastAsia="Times New Roman" w:cs="Arial"/>
          <w:sz w:val="20"/>
          <w:szCs w:val="20"/>
          <w:lang w:eastAsia="en-GB"/>
        </w:rPr>
        <w:t>Escalle</w:t>
      </w:r>
      <w:proofErr w:type="spellEnd"/>
      <w:r w:rsidRPr="001F72E0">
        <w:rPr>
          <w:rFonts w:eastAsia="Times New Roman" w:cs="Arial"/>
          <w:sz w:val="20"/>
          <w:szCs w:val="20"/>
          <w:lang w:eastAsia="en-GB"/>
        </w:rPr>
        <w:t xml:space="preserve">, L., Muller, B., Hare, S., Hamer, P., Pilling, G. and the PNA Office (2020) Report on analyses of the 2016/2020 PNA FAD tracking programme. </w:t>
      </w:r>
      <w:r w:rsidRPr="001F72E0">
        <w:rPr>
          <w:rFonts w:eastAsia="Times New Roman" w:cs="Arial"/>
          <w:sz w:val="20"/>
          <w:szCs w:val="20"/>
          <w:lang w:val="it-IT" w:eastAsia="en-GB"/>
        </w:rPr>
        <w:t xml:space="preserve">WCPFC-SC16-2020/MI-IP-14. </w:t>
      </w:r>
    </w:p>
    <w:p w14:paraId="19BF12D5"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val="it-IT" w:eastAsia="en-GB"/>
        </w:rPr>
        <w:t xml:space="preserve">Escalle, L., Hare, S.R., Vidal, T., et al. </w:t>
      </w:r>
      <w:r w:rsidRPr="001F72E0">
        <w:rPr>
          <w:rFonts w:eastAsia="Times New Roman" w:cs="Arial"/>
          <w:sz w:val="20"/>
          <w:szCs w:val="20"/>
          <w:lang w:eastAsia="en-GB"/>
        </w:rPr>
        <w:t xml:space="preserve">(2021) Quantifying drifting Fish Aggregating Device use by the world’s largest tuna fishery. </w:t>
      </w:r>
      <w:r w:rsidRPr="001F72E0">
        <w:rPr>
          <w:rFonts w:eastAsia="Times New Roman" w:cs="Arial"/>
          <w:i/>
          <w:iCs/>
          <w:sz w:val="20"/>
          <w:szCs w:val="20"/>
          <w:lang w:eastAsia="en-GB"/>
        </w:rPr>
        <w:t xml:space="preserve">ICES Journal of Marine Science </w:t>
      </w:r>
      <w:r w:rsidRPr="001F72E0">
        <w:rPr>
          <w:rFonts w:eastAsia="Times New Roman" w:cs="Arial"/>
          <w:sz w:val="20"/>
          <w:szCs w:val="20"/>
          <w:lang w:eastAsia="en-GB"/>
        </w:rPr>
        <w:t xml:space="preserve">78(7): 2432-2447. </w:t>
      </w:r>
    </w:p>
    <w:p w14:paraId="524227E1"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FAO (2010) Guidelines to reduce sea turtle mortality in fishing operations. FAO Fisheries and Aquaculture Department. 128pp. </w:t>
      </w:r>
    </w:p>
    <w:p w14:paraId="6CC1EF3E" w14:textId="77777777" w:rsidR="00DD4F8D" w:rsidRPr="001F72E0" w:rsidRDefault="00DD4F8D" w:rsidP="001F72E0">
      <w:pPr>
        <w:spacing w:after="80" w:line="240" w:lineRule="auto"/>
        <w:ind w:left="540" w:hanging="540"/>
        <w:jc w:val="both"/>
        <w:rPr>
          <w:rFonts w:eastAsia="Times New Roman" w:cs="Arial"/>
          <w:sz w:val="20"/>
          <w:szCs w:val="20"/>
          <w:lang w:val="it-IT" w:eastAsia="en-GB"/>
        </w:rPr>
      </w:pPr>
      <w:r w:rsidRPr="001F72E0">
        <w:rPr>
          <w:rFonts w:eastAsia="Times New Roman" w:cs="Arial"/>
          <w:sz w:val="20"/>
          <w:szCs w:val="20"/>
          <w:lang w:eastAsia="en-GB"/>
        </w:rPr>
        <w:t xml:space="preserve">FAO (2019) Voluntary Guidelines on the Marking of Fishing Gear. </w:t>
      </w:r>
      <w:r w:rsidRPr="001F72E0">
        <w:rPr>
          <w:rFonts w:eastAsia="Times New Roman" w:cs="Arial"/>
          <w:sz w:val="20"/>
          <w:szCs w:val="20"/>
          <w:lang w:val="fr-FR" w:eastAsia="en-GB"/>
        </w:rPr>
        <w:t xml:space="preserve">Directives volontaires sur le marquage des engins de </w:t>
      </w:r>
      <w:proofErr w:type="spellStart"/>
      <w:r w:rsidRPr="001F72E0">
        <w:rPr>
          <w:rFonts w:eastAsia="Times New Roman" w:cs="Arial"/>
          <w:sz w:val="20"/>
          <w:szCs w:val="20"/>
          <w:lang w:val="fr-FR" w:eastAsia="en-GB"/>
        </w:rPr>
        <w:t>pêche</w:t>
      </w:r>
      <w:proofErr w:type="spellEnd"/>
      <w:r w:rsidRPr="001F72E0">
        <w:rPr>
          <w:rFonts w:eastAsia="Times New Roman" w:cs="Arial"/>
          <w:sz w:val="20"/>
          <w:szCs w:val="20"/>
          <w:lang w:val="fr-FR" w:eastAsia="en-GB"/>
        </w:rPr>
        <w:t xml:space="preserve">. </w:t>
      </w:r>
      <w:r w:rsidRPr="001F72E0">
        <w:rPr>
          <w:rFonts w:eastAsia="Times New Roman" w:cs="Arial"/>
          <w:sz w:val="20"/>
          <w:szCs w:val="20"/>
          <w:lang w:val="es-ES" w:eastAsia="en-GB"/>
        </w:rPr>
        <w:t xml:space="preserve">Directrices voluntarias sobre el marcado de las artes de pesca. </w:t>
      </w:r>
      <w:r w:rsidRPr="001F72E0">
        <w:rPr>
          <w:rFonts w:eastAsia="Times New Roman" w:cs="Arial"/>
          <w:sz w:val="20"/>
          <w:szCs w:val="20"/>
          <w:lang w:val="it-IT" w:eastAsia="en-GB"/>
        </w:rPr>
        <w:t xml:space="preserve">Rome/Roma. 88 pp. Licence/Licencia: CC BY-NC-SA 3.0 IGO. </w:t>
      </w:r>
    </w:p>
    <w:p w14:paraId="67040D3D" w14:textId="47DAB85A"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val="it-IT" w:eastAsia="en-GB"/>
        </w:rPr>
        <w:t xml:space="preserve">Filmalter, J.D., Capello, M., Deneubourg, J.-L., et al. </w:t>
      </w:r>
      <w:r w:rsidRPr="001F72E0">
        <w:rPr>
          <w:rFonts w:eastAsia="Times New Roman" w:cs="Arial"/>
          <w:sz w:val="20"/>
          <w:szCs w:val="20"/>
          <w:lang w:eastAsia="en-GB"/>
        </w:rPr>
        <w:t xml:space="preserve">(2013) Looking behind the curtain: quantifying massive shark mortality in fish aggregating devices. </w:t>
      </w:r>
      <w:r w:rsidRPr="001F72E0">
        <w:rPr>
          <w:rFonts w:eastAsia="Times New Roman" w:cs="Arial"/>
          <w:i/>
          <w:iCs/>
          <w:sz w:val="20"/>
          <w:szCs w:val="20"/>
          <w:lang w:eastAsia="en-GB"/>
        </w:rPr>
        <w:t xml:space="preserve">Frontiers in Ecology and the Environment </w:t>
      </w:r>
      <w:r w:rsidRPr="001F72E0">
        <w:rPr>
          <w:rFonts w:eastAsia="Times New Roman" w:cs="Arial"/>
          <w:sz w:val="20"/>
          <w:szCs w:val="20"/>
          <w:lang w:eastAsia="en-GB"/>
        </w:rPr>
        <w:t xml:space="preserve">11(6): 291-296. </w:t>
      </w:r>
    </w:p>
    <w:p w14:paraId="4D4815D6"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0E4301">
        <w:rPr>
          <w:rFonts w:eastAsia="Times New Roman" w:cs="Arial"/>
          <w:sz w:val="20"/>
          <w:szCs w:val="20"/>
          <w:lang w:val="en-US" w:eastAsia="en-GB"/>
        </w:rPr>
        <w:t xml:space="preserve">Fossi, M.C., Marsili, L., Baini, M., et al. </w:t>
      </w:r>
      <w:r w:rsidRPr="001F72E0">
        <w:rPr>
          <w:rFonts w:eastAsia="Times New Roman" w:cs="Arial"/>
          <w:sz w:val="20"/>
          <w:szCs w:val="20"/>
          <w:lang w:eastAsia="en-GB"/>
        </w:rPr>
        <w:t xml:space="preserve">(2016) Fin whales and microplastics: The Mediterranean Sea and the Sea of Cortez scenarios. </w:t>
      </w:r>
      <w:r w:rsidRPr="001F72E0">
        <w:rPr>
          <w:rFonts w:eastAsia="Times New Roman" w:cs="Arial"/>
          <w:i/>
          <w:iCs/>
          <w:sz w:val="20"/>
          <w:szCs w:val="20"/>
          <w:lang w:eastAsia="en-GB"/>
        </w:rPr>
        <w:t>Environmental Pollution</w:t>
      </w:r>
      <w:r w:rsidRPr="001F72E0">
        <w:rPr>
          <w:rFonts w:eastAsia="Times New Roman" w:cs="Arial"/>
          <w:sz w:val="20"/>
          <w:szCs w:val="20"/>
          <w:lang w:eastAsia="en-GB"/>
        </w:rPr>
        <w:t xml:space="preserve"> 209: 68-78, https://doi.org/10.1016/j.envpol.2015.11.022</w:t>
      </w:r>
    </w:p>
    <w:p w14:paraId="37F9A493" w14:textId="77777777" w:rsidR="00DD4F8D" w:rsidRPr="001F72E0" w:rsidRDefault="00DD4F8D" w:rsidP="001F72E0">
      <w:pPr>
        <w:spacing w:after="80" w:line="240" w:lineRule="auto"/>
        <w:ind w:left="540" w:hanging="540"/>
        <w:jc w:val="both"/>
        <w:rPr>
          <w:rFonts w:eastAsia="Times New Roman" w:cs="Arial"/>
          <w:color w:val="0563C1"/>
          <w:sz w:val="20"/>
          <w:szCs w:val="20"/>
          <w:u w:val="single"/>
          <w:lang w:eastAsia="en-GB"/>
        </w:rPr>
      </w:pPr>
      <w:r w:rsidRPr="001F72E0">
        <w:rPr>
          <w:rFonts w:eastAsia="Times New Roman" w:cs="Arial"/>
          <w:sz w:val="20"/>
          <w:szCs w:val="20"/>
          <w:lang w:eastAsia="en-GB"/>
        </w:rPr>
        <w:t xml:space="preserve">Gershman, D., Nickson, A. and O’Toole, M. (2015) Estimating the use of FADs around the world. A report from the Pew Charitable Trusts. Pp20. Available at: </w:t>
      </w:r>
      <w:hyperlink r:id="rId31" w:history="1">
        <w:r w:rsidRPr="001F72E0">
          <w:rPr>
            <w:rFonts w:eastAsia="Times New Roman" w:cs="Arial"/>
            <w:color w:val="0563C1"/>
            <w:sz w:val="20"/>
            <w:szCs w:val="20"/>
            <w:u w:val="single"/>
            <w:lang w:eastAsia="en-GB"/>
          </w:rPr>
          <w:t>https://www.livingfacts.org/-/media/assets/2015/11/global_fad_report.pdf</w:t>
        </w:r>
      </w:hyperlink>
    </w:p>
    <w:p w14:paraId="3F943056"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Gilman, E., </w:t>
      </w:r>
      <w:proofErr w:type="spellStart"/>
      <w:r w:rsidRPr="001F72E0">
        <w:rPr>
          <w:rFonts w:eastAsia="Times New Roman" w:cs="Arial"/>
          <w:sz w:val="20"/>
          <w:szCs w:val="20"/>
          <w:lang w:eastAsia="en-GB"/>
        </w:rPr>
        <w:t>Humberstone</w:t>
      </w:r>
      <w:proofErr w:type="spellEnd"/>
      <w:r w:rsidRPr="001F72E0">
        <w:rPr>
          <w:rFonts w:eastAsia="Times New Roman" w:cs="Arial"/>
          <w:sz w:val="20"/>
          <w:szCs w:val="20"/>
          <w:lang w:eastAsia="en-GB"/>
        </w:rPr>
        <w:t xml:space="preserve">, J., Wilson, J.R. et al. (2022) Matching fishery-specific drivers of abandoned, lost and discarded fishing gear to relevant interventions. </w:t>
      </w:r>
      <w:r w:rsidRPr="001F72E0">
        <w:rPr>
          <w:rFonts w:eastAsia="Times New Roman" w:cs="Arial"/>
          <w:i/>
          <w:iCs/>
          <w:sz w:val="20"/>
          <w:szCs w:val="20"/>
          <w:lang w:eastAsia="en-GB"/>
        </w:rPr>
        <w:t xml:space="preserve">Marine Policy </w:t>
      </w:r>
      <w:r w:rsidRPr="001F72E0">
        <w:rPr>
          <w:rFonts w:eastAsia="Times New Roman" w:cs="Arial"/>
          <w:sz w:val="20"/>
          <w:szCs w:val="20"/>
          <w:lang w:eastAsia="en-GB"/>
        </w:rPr>
        <w:t xml:space="preserve">141: 105097. </w:t>
      </w:r>
    </w:p>
    <w:p w14:paraId="330F28E3"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Gomez, G., Farquhar, S., Bell, H., et al. (2020) The IUU Nature of FADs: Implications for Tuna Management and Markets. </w:t>
      </w:r>
      <w:r w:rsidRPr="001F72E0">
        <w:rPr>
          <w:rFonts w:eastAsia="Times New Roman" w:cs="Arial"/>
          <w:i/>
          <w:iCs/>
          <w:sz w:val="20"/>
          <w:szCs w:val="20"/>
          <w:lang w:eastAsia="en-GB"/>
        </w:rPr>
        <w:t>Coastal Management</w:t>
      </w:r>
      <w:r w:rsidRPr="001F72E0">
        <w:rPr>
          <w:rFonts w:eastAsia="Times New Roman" w:cs="Arial"/>
          <w:sz w:val="20"/>
          <w:szCs w:val="20"/>
          <w:lang w:eastAsia="en-GB"/>
        </w:rPr>
        <w:t xml:space="preserve"> 48:6: 534-558. </w:t>
      </w:r>
    </w:p>
    <w:p w14:paraId="0D4B497D"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Hall, M. and Roman, M. (2013) Bycatch and non-tuna catch in the tropical tuna purse seine fisheries of the world. FAO Fisheries and Aquaculture Technical Paper No. 568. Rome, FAO. 249 pages.  </w:t>
      </w:r>
    </w:p>
    <w:p w14:paraId="1CCC732E"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IATTC (2014) Options for marking and identification of fish-aggregating devices (FADs). Inter-American Tropical Tuna Commission Scientific Advisory Committee Fifth Meeting, La Jolla, California (USA) 12-16 May 2014. Document SAC-05-04b. 3 pages. </w:t>
      </w:r>
    </w:p>
    <w:p w14:paraId="4981349A" w14:textId="77777777" w:rsidR="001F72E0" w:rsidRDefault="001F72E0">
      <w:pPr>
        <w:rPr>
          <w:rFonts w:eastAsia="Times New Roman" w:cs="Arial"/>
          <w:sz w:val="20"/>
          <w:szCs w:val="20"/>
          <w:lang w:eastAsia="en-GB"/>
        </w:rPr>
      </w:pPr>
      <w:r>
        <w:rPr>
          <w:rFonts w:eastAsia="Times New Roman" w:cs="Arial"/>
          <w:sz w:val="20"/>
          <w:szCs w:val="20"/>
          <w:lang w:eastAsia="en-GB"/>
        </w:rPr>
        <w:br w:type="page"/>
      </w:r>
    </w:p>
    <w:p w14:paraId="384E76A6" w14:textId="49B540BB" w:rsidR="00DD4F8D" w:rsidRPr="001F72E0" w:rsidRDefault="00DD4F8D" w:rsidP="001F72E0">
      <w:pPr>
        <w:spacing w:after="80" w:line="240" w:lineRule="auto"/>
        <w:ind w:left="540" w:hanging="540"/>
        <w:jc w:val="both"/>
        <w:rPr>
          <w:rFonts w:eastAsia="Times New Roman" w:cs="Arial"/>
          <w:i/>
          <w:iCs/>
          <w:sz w:val="20"/>
          <w:szCs w:val="20"/>
          <w:lang w:val="fr-FR" w:eastAsia="en-GB"/>
        </w:rPr>
      </w:pPr>
      <w:r w:rsidRPr="001F72E0">
        <w:rPr>
          <w:rFonts w:eastAsia="Times New Roman" w:cs="Arial"/>
          <w:sz w:val="20"/>
          <w:szCs w:val="20"/>
          <w:lang w:eastAsia="en-GB"/>
        </w:rPr>
        <w:lastRenderedPageBreak/>
        <w:t>IATTC (2021) Report on the tuna fishery, stocks, and ecosystem in the Eastern Pacific Ocean in 2020. Inter-American Tropical Tuna Commission 98</w:t>
      </w:r>
      <w:r w:rsidRPr="001F72E0">
        <w:rPr>
          <w:rFonts w:eastAsia="Times New Roman" w:cs="Arial"/>
          <w:sz w:val="20"/>
          <w:szCs w:val="20"/>
          <w:vertAlign w:val="superscript"/>
          <w:lang w:eastAsia="en-GB"/>
        </w:rPr>
        <w:t>th</w:t>
      </w:r>
      <w:r w:rsidRPr="001F72E0">
        <w:rPr>
          <w:rFonts w:eastAsia="Times New Roman" w:cs="Arial"/>
          <w:sz w:val="20"/>
          <w:szCs w:val="20"/>
          <w:lang w:eastAsia="en-GB"/>
        </w:rPr>
        <w:t xml:space="preserve"> meeting (by videoconference) 23-27 August 2021. </w:t>
      </w:r>
      <w:r w:rsidRPr="001F72E0">
        <w:rPr>
          <w:rFonts w:eastAsia="Times New Roman" w:cs="Arial"/>
          <w:sz w:val="20"/>
          <w:szCs w:val="20"/>
          <w:lang w:val="fr-FR" w:eastAsia="en-GB"/>
        </w:rPr>
        <w:t xml:space="preserve">Document IATTC-98-01. 148 pages. </w:t>
      </w:r>
      <w:proofErr w:type="spellStart"/>
      <w:r w:rsidRPr="001F72E0">
        <w:rPr>
          <w:rFonts w:eastAsia="Times New Roman" w:cs="Arial"/>
          <w:sz w:val="20"/>
          <w:szCs w:val="20"/>
          <w:lang w:val="fr-FR" w:eastAsia="en-GB"/>
        </w:rPr>
        <w:t>Available</w:t>
      </w:r>
      <w:proofErr w:type="spellEnd"/>
      <w:r w:rsidRPr="001F72E0">
        <w:rPr>
          <w:rFonts w:eastAsia="Times New Roman" w:cs="Arial"/>
          <w:sz w:val="20"/>
          <w:szCs w:val="20"/>
          <w:lang w:val="fr-FR" w:eastAsia="en-GB"/>
        </w:rPr>
        <w:t xml:space="preserve"> at: </w:t>
      </w:r>
      <w:r w:rsidR="000E4301">
        <w:fldChar w:fldCharType="begin"/>
      </w:r>
      <w:r w:rsidR="000E4301" w:rsidRPr="000E4301">
        <w:rPr>
          <w:lang w:val="fr-FR"/>
        </w:rPr>
        <w:instrText xml:space="preserve"> HYPERLINK "https://web1.iattc.org/meetings/Meetings2021/IATTC-98a/Docs/_English/IATTC-98a-01_The%20fishery%20and%20status%20of%20the%20stocks%202020.pdf" </w:instrText>
      </w:r>
      <w:r w:rsidR="000E4301">
        <w:fldChar w:fldCharType="separate"/>
      </w:r>
      <w:r w:rsidRPr="001F72E0">
        <w:rPr>
          <w:rFonts w:eastAsia="Times New Roman" w:cs="Arial"/>
          <w:color w:val="0563C1"/>
          <w:sz w:val="20"/>
          <w:szCs w:val="20"/>
          <w:u w:val="single"/>
          <w:lang w:val="fr-FR" w:eastAsia="en-GB"/>
        </w:rPr>
        <w:t>https://web1.iattc.org/meetings/Meetings2021/IATTC-98a/Docs/_English/IATTC-98a-01_The%20fishery%20and%20status%20of%20the%20stocks%202020.pdf</w:t>
      </w:r>
      <w:r w:rsidR="000E4301">
        <w:rPr>
          <w:rFonts w:eastAsia="Times New Roman" w:cs="Arial"/>
          <w:color w:val="0563C1"/>
          <w:sz w:val="20"/>
          <w:szCs w:val="20"/>
          <w:u w:val="single"/>
          <w:lang w:val="fr-FR" w:eastAsia="en-GB"/>
        </w:rPr>
        <w:fldChar w:fldCharType="end"/>
      </w:r>
      <w:r w:rsidRPr="001F72E0">
        <w:rPr>
          <w:rFonts w:eastAsia="Times New Roman" w:cs="Arial"/>
          <w:sz w:val="20"/>
          <w:szCs w:val="20"/>
          <w:lang w:val="fr-FR" w:eastAsia="en-GB"/>
        </w:rPr>
        <w:t xml:space="preserve"> </w:t>
      </w:r>
    </w:p>
    <w:p w14:paraId="3B9A91F4" w14:textId="77777777" w:rsidR="00DD4F8D" w:rsidRPr="001F72E0" w:rsidRDefault="00DD4F8D" w:rsidP="001F72E0">
      <w:pPr>
        <w:spacing w:after="80" w:line="240" w:lineRule="auto"/>
        <w:ind w:left="540" w:hanging="540"/>
        <w:jc w:val="both"/>
        <w:rPr>
          <w:rFonts w:eastAsia="Times New Roman" w:cs="Arial"/>
          <w:sz w:val="20"/>
          <w:szCs w:val="20"/>
          <w:lang w:val="en-US" w:eastAsia="en-GB"/>
        </w:rPr>
      </w:pPr>
      <w:proofErr w:type="spellStart"/>
      <w:r w:rsidRPr="001F72E0">
        <w:rPr>
          <w:rFonts w:eastAsia="Times New Roman" w:cs="Arial"/>
          <w:sz w:val="20"/>
          <w:szCs w:val="20"/>
          <w:lang w:val="fr-FR" w:eastAsia="en-GB"/>
        </w:rPr>
        <w:t>Imzilen</w:t>
      </w:r>
      <w:proofErr w:type="spellEnd"/>
      <w:r w:rsidRPr="001F72E0">
        <w:rPr>
          <w:rFonts w:eastAsia="Times New Roman" w:cs="Arial"/>
          <w:sz w:val="20"/>
          <w:szCs w:val="20"/>
          <w:lang w:val="fr-FR" w:eastAsia="en-GB"/>
        </w:rPr>
        <w:t xml:space="preserve">, T., </w:t>
      </w:r>
      <w:proofErr w:type="spellStart"/>
      <w:r w:rsidRPr="001F72E0">
        <w:rPr>
          <w:rFonts w:eastAsia="Times New Roman" w:cs="Arial"/>
          <w:sz w:val="20"/>
          <w:szCs w:val="20"/>
          <w:lang w:val="fr-FR" w:eastAsia="en-GB"/>
        </w:rPr>
        <w:t>Lett</w:t>
      </w:r>
      <w:proofErr w:type="spellEnd"/>
      <w:r w:rsidRPr="001F72E0">
        <w:rPr>
          <w:rFonts w:eastAsia="Times New Roman" w:cs="Arial"/>
          <w:sz w:val="20"/>
          <w:szCs w:val="20"/>
          <w:lang w:val="fr-FR" w:eastAsia="en-GB"/>
        </w:rPr>
        <w:t xml:space="preserve">, C., </w:t>
      </w:r>
      <w:proofErr w:type="spellStart"/>
      <w:r w:rsidRPr="001F72E0">
        <w:rPr>
          <w:rFonts w:eastAsia="Times New Roman" w:cs="Arial"/>
          <w:sz w:val="20"/>
          <w:szCs w:val="20"/>
          <w:lang w:val="fr-FR" w:eastAsia="en-GB"/>
        </w:rPr>
        <w:t>Chassot</w:t>
      </w:r>
      <w:proofErr w:type="spellEnd"/>
      <w:r w:rsidRPr="001F72E0">
        <w:rPr>
          <w:rFonts w:eastAsia="Times New Roman" w:cs="Arial"/>
          <w:sz w:val="20"/>
          <w:szCs w:val="20"/>
          <w:lang w:val="fr-FR" w:eastAsia="en-GB"/>
        </w:rPr>
        <w:t xml:space="preserve">, E., et al. </w:t>
      </w:r>
      <w:r w:rsidRPr="001F72E0">
        <w:rPr>
          <w:rFonts w:eastAsia="Times New Roman" w:cs="Arial"/>
          <w:sz w:val="20"/>
          <w:szCs w:val="20"/>
          <w:lang w:eastAsia="en-GB"/>
        </w:rPr>
        <w:t xml:space="preserve">(2021) Spatial management can significantly reduce </w:t>
      </w:r>
      <w:proofErr w:type="spellStart"/>
      <w:r w:rsidRPr="001F72E0">
        <w:rPr>
          <w:rFonts w:eastAsia="Times New Roman" w:cs="Arial"/>
          <w:sz w:val="20"/>
          <w:szCs w:val="20"/>
          <w:lang w:eastAsia="en-GB"/>
        </w:rPr>
        <w:t>dFAD</w:t>
      </w:r>
      <w:proofErr w:type="spellEnd"/>
      <w:r w:rsidRPr="001F72E0">
        <w:rPr>
          <w:rFonts w:eastAsia="Times New Roman" w:cs="Arial"/>
          <w:sz w:val="20"/>
          <w:szCs w:val="20"/>
          <w:lang w:eastAsia="en-GB"/>
        </w:rPr>
        <w:t xml:space="preserve"> </w:t>
      </w:r>
      <w:proofErr w:type="spellStart"/>
      <w:r w:rsidRPr="001F72E0">
        <w:rPr>
          <w:rFonts w:eastAsia="Times New Roman" w:cs="Arial"/>
          <w:sz w:val="20"/>
          <w:szCs w:val="20"/>
          <w:lang w:eastAsia="en-GB"/>
        </w:rPr>
        <w:t>beachings</w:t>
      </w:r>
      <w:proofErr w:type="spellEnd"/>
      <w:r w:rsidRPr="001F72E0">
        <w:rPr>
          <w:rFonts w:eastAsia="Times New Roman" w:cs="Arial"/>
          <w:sz w:val="20"/>
          <w:szCs w:val="20"/>
          <w:lang w:eastAsia="en-GB"/>
        </w:rPr>
        <w:t xml:space="preserve"> in Indian and Atlantic Ocean tropical tuna purse seine fisheries. </w:t>
      </w:r>
      <w:r w:rsidRPr="001F72E0">
        <w:rPr>
          <w:rFonts w:eastAsia="Times New Roman" w:cs="Arial"/>
          <w:i/>
          <w:iCs/>
          <w:sz w:val="20"/>
          <w:szCs w:val="20"/>
          <w:lang w:val="en-US" w:eastAsia="en-GB"/>
        </w:rPr>
        <w:t xml:space="preserve">Biological Conservation </w:t>
      </w:r>
      <w:r w:rsidRPr="001F72E0">
        <w:rPr>
          <w:rFonts w:eastAsia="Times New Roman" w:cs="Arial"/>
          <w:sz w:val="20"/>
          <w:szCs w:val="20"/>
          <w:lang w:val="en-US" w:eastAsia="en-GB"/>
        </w:rPr>
        <w:t xml:space="preserve">254: 108939. </w:t>
      </w:r>
    </w:p>
    <w:p w14:paraId="69E43F1B" w14:textId="77777777" w:rsidR="00DD4F8D" w:rsidRPr="001F72E0" w:rsidRDefault="00DD4F8D" w:rsidP="001F72E0">
      <w:pPr>
        <w:spacing w:after="80" w:line="240" w:lineRule="auto"/>
        <w:ind w:left="540" w:hanging="540"/>
        <w:jc w:val="both"/>
        <w:rPr>
          <w:rFonts w:eastAsia="Times New Roman" w:cs="Arial"/>
          <w:color w:val="0563C1"/>
          <w:sz w:val="20"/>
          <w:szCs w:val="20"/>
          <w:u w:val="single"/>
          <w:lang w:eastAsia="en-GB"/>
        </w:rPr>
      </w:pPr>
      <w:r w:rsidRPr="000E4301">
        <w:rPr>
          <w:rFonts w:eastAsia="Times New Roman" w:cs="Arial"/>
          <w:sz w:val="20"/>
          <w:szCs w:val="20"/>
          <w:lang w:val="en-US" w:eastAsia="en-GB"/>
        </w:rPr>
        <w:t xml:space="preserve">Imzilen, T., Lett, C., Chassot, E., et al. </w:t>
      </w:r>
      <w:r w:rsidRPr="001F72E0">
        <w:rPr>
          <w:rFonts w:eastAsia="Times New Roman" w:cs="Arial"/>
          <w:sz w:val="20"/>
          <w:szCs w:val="20"/>
          <w:lang w:eastAsia="en-GB"/>
        </w:rPr>
        <w:t xml:space="preserve">(2022) Recovery at sea of abandoned, lost or discarded drifting fish aggregating devices. </w:t>
      </w:r>
      <w:r w:rsidRPr="001F72E0">
        <w:rPr>
          <w:rFonts w:eastAsia="Times New Roman" w:cs="Arial"/>
          <w:i/>
          <w:iCs/>
          <w:sz w:val="20"/>
          <w:szCs w:val="20"/>
          <w:lang w:eastAsia="en-GB"/>
        </w:rPr>
        <w:t>Nature Sustainability.</w:t>
      </w:r>
      <w:r w:rsidRPr="001F72E0">
        <w:rPr>
          <w:rFonts w:eastAsia="Times New Roman" w:cs="Arial"/>
          <w:sz w:val="20"/>
          <w:szCs w:val="20"/>
          <w:lang w:eastAsia="en-GB"/>
        </w:rPr>
        <w:t xml:space="preserve"> </w:t>
      </w:r>
      <w:hyperlink r:id="rId32" w:history="1">
        <w:r w:rsidRPr="001F72E0">
          <w:rPr>
            <w:rFonts w:eastAsia="Times New Roman" w:cs="Arial"/>
            <w:color w:val="0563C1"/>
            <w:sz w:val="20"/>
            <w:szCs w:val="20"/>
            <w:u w:val="single"/>
            <w:lang w:eastAsia="en-GB"/>
          </w:rPr>
          <w:t>https://doi.org/10.1038/s41893-022-00883-y</w:t>
        </w:r>
      </w:hyperlink>
    </w:p>
    <w:p w14:paraId="1A97B320"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IOTC (2019) Resolution 19/02 Procedures on a Fish Aggregating Devices (FADs) Management Plan. Available at: </w:t>
      </w:r>
      <w:hyperlink r:id="rId33" w:history="1">
        <w:r w:rsidRPr="001F72E0">
          <w:rPr>
            <w:rFonts w:eastAsia="Times New Roman" w:cs="Arial"/>
            <w:color w:val="0563C1"/>
            <w:sz w:val="20"/>
            <w:szCs w:val="20"/>
            <w:u w:val="single"/>
            <w:lang w:eastAsia="en-GB"/>
          </w:rPr>
          <w:t>https://www.iotc.org/cmm/resolution-1902-procedures-fish-aggregating-devices-fads-management-plan</w:t>
        </w:r>
      </w:hyperlink>
      <w:r w:rsidRPr="001F72E0">
        <w:rPr>
          <w:rFonts w:eastAsia="Times New Roman" w:cs="Arial"/>
          <w:sz w:val="20"/>
          <w:szCs w:val="20"/>
          <w:lang w:eastAsia="en-GB"/>
        </w:rPr>
        <w:t xml:space="preserve"> </w:t>
      </w:r>
      <w:r w:rsidRPr="001F72E0">
        <w:rPr>
          <w:rFonts w:eastAsia="Times New Roman" w:cs="Arial"/>
          <w:color w:val="0563C1"/>
          <w:sz w:val="20"/>
          <w:szCs w:val="20"/>
          <w:u w:val="single"/>
          <w:lang w:eastAsia="en-GB"/>
        </w:rPr>
        <w:t xml:space="preserve"> </w:t>
      </w:r>
    </w:p>
    <w:p w14:paraId="783D5175"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IOTC Secretariat (2020) Summary overview of buoy data submitted to the IOTC Secretariat for the period Jan-July 2020. Working Party on Data Collection and Statistics (WPDCS). IOTC-2020-WPDCS16-17. Available at: </w:t>
      </w:r>
      <w:hyperlink r:id="rId34" w:history="1">
        <w:r w:rsidRPr="001F72E0">
          <w:rPr>
            <w:rFonts w:eastAsia="Times New Roman" w:cs="Arial"/>
            <w:color w:val="0563C1"/>
            <w:sz w:val="20"/>
            <w:szCs w:val="20"/>
            <w:u w:val="single"/>
            <w:lang w:eastAsia="en-GB"/>
          </w:rPr>
          <w:t>https://iotc.org/documents/iotc-secretariat</w:t>
        </w:r>
      </w:hyperlink>
      <w:r w:rsidRPr="001F72E0">
        <w:rPr>
          <w:rFonts w:eastAsia="Times New Roman" w:cs="Arial"/>
          <w:sz w:val="20"/>
          <w:szCs w:val="20"/>
          <w:lang w:eastAsia="en-GB"/>
        </w:rPr>
        <w:t xml:space="preserve"> </w:t>
      </w:r>
    </w:p>
    <w:p w14:paraId="176CC902"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ISSF (2019) Non-Entangling and Biodegradable FADs Guide. Available at: </w:t>
      </w:r>
      <w:hyperlink r:id="rId35" w:history="1">
        <w:r w:rsidRPr="001F72E0">
          <w:rPr>
            <w:rFonts w:eastAsia="Times New Roman" w:cs="Arial"/>
            <w:color w:val="0563C1"/>
            <w:sz w:val="20"/>
            <w:szCs w:val="20"/>
            <w:u w:val="single"/>
            <w:lang w:eastAsia="en-GB"/>
          </w:rPr>
          <w:t>https://www.iss-foundation.org/fishery-goals-and-resources/our-best-practices-resources/non-entangling-and-biodegradable-fads-guide/download-info/non-entangling-and-biodegradable-fads-guide-english/</w:t>
        </w:r>
      </w:hyperlink>
    </w:p>
    <w:p w14:paraId="07D056C0"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JWGFAD (Joint t-RFMO FAD Working Group) (2019) Second Meeting Report. 8-10 May 2019, San Diego, USA. Available at: </w:t>
      </w:r>
      <w:hyperlink r:id="rId36" w:history="1">
        <w:r w:rsidRPr="001F72E0">
          <w:rPr>
            <w:rFonts w:eastAsia="Times New Roman" w:cs="Arial"/>
            <w:color w:val="0563C1"/>
            <w:sz w:val="20"/>
            <w:szCs w:val="20"/>
            <w:u w:val="single"/>
            <w:lang w:eastAsia="en-GB"/>
          </w:rPr>
          <w:t>https://www.iccat.int/Documents/Meetings/Docs/2019/REPORTS/JWGFAD-02_ENG.pdf</w:t>
        </w:r>
      </w:hyperlink>
      <w:r w:rsidRPr="001F72E0">
        <w:rPr>
          <w:rFonts w:eastAsia="Times New Roman" w:cs="Arial"/>
          <w:sz w:val="20"/>
          <w:szCs w:val="20"/>
          <w:lang w:eastAsia="en-GB"/>
        </w:rPr>
        <w:t xml:space="preserve"> </w:t>
      </w:r>
    </w:p>
    <w:p w14:paraId="3AF7B738" w14:textId="77777777" w:rsidR="00DD4F8D" w:rsidRPr="001F72E0" w:rsidRDefault="00DD4F8D" w:rsidP="001F72E0">
      <w:pPr>
        <w:spacing w:after="80" w:line="240" w:lineRule="auto"/>
        <w:ind w:left="540" w:hanging="540"/>
        <w:jc w:val="both"/>
        <w:rPr>
          <w:rFonts w:eastAsia="Times New Roman" w:cs="Arial"/>
          <w:sz w:val="20"/>
          <w:szCs w:val="20"/>
          <w:lang w:val="en-US" w:eastAsia="en-GB"/>
        </w:rPr>
      </w:pPr>
      <w:proofErr w:type="spellStart"/>
      <w:r w:rsidRPr="001F72E0">
        <w:rPr>
          <w:rFonts w:eastAsia="Times New Roman" w:cs="Arial"/>
          <w:sz w:val="20"/>
          <w:szCs w:val="20"/>
          <w:lang w:val="fr-FR" w:eastAsia="en-GB"/>
        </w:rPr>
        <w:t>Maufroy</w:t>
      </w:r>
      <w:proofErr w:type="spellEnd"/>
      <w:r w:rsidRPr="001F72E0">
        <w:rPr>
          <w:rFonts w:eastAsia="Times New Roman" w:cs="Arial"/>
          <w:sz w:val="20"/>
          <w:szCs w:val="20"/>
          <w:lang w:val="fr-FR" w:eastAsia="en-GB"/>
        </w:rPr>
        <w:t xml:space="preserve">, A., </w:t>
      </w:r>
      <w:proofErr w:type="spellStart"/>
      <w:r w:rsidRPr="001F72E0">
        <w:rPr>
          <w:rFonts w:eastAsia="Times New Roman" w:cs="Arial"/>
          <w:sz w:val="20"/>
          <w:szCs w:val="20"/>
          <w:lang w:val="fr-FR" w:eastAsia="en-GB"/>
        </w:rPr>
        <w:t>Chassot</w:t>
      </w:r>
      <w:proofErr w:type="spellEnd"/>
      <w:r w:rsidRPr="001F72E0">
        <w:rPr>
          <w:rFonts w:eastAsia="Times New Roman" w:cs="Arial"/>
          <w:sz w:val="20"/>
          <w:szCs w:val="20"/>
          <w:lang w:val="fr-FR" w:eastAsia="en-GB"/>
        </w:rPr>
        <w:t xml:space="preserve">, E., </w:t>
      </w:r>
      <w:proofErr w:type="spellStart"/>
      <w:r w:rsidRPr="001F72E0">
        <w:rPr>
          <w:rFonts w:eastAsia="Times New Roman" w:cs="Arial"/>
          <w:sz w:val="20"/>
          <w:szCs w:val="20"/>
          <w:lang w:val="fr-FR" w:eastAsia="en-GB"/>
        </w:rPr>
        <w:t>Joo</w:t>
      </w:r>
      <w:proofErr w:type="spellEnd"/>
      <w:r w:rsidRPr="001F72E0">
        <w:rPr>
          <w:rFonts w:eastAsia="Times New Roman" w:cs="Arial"/>
          <w:sz w:val="20"/>
          <w:szCs w:val="20"/>
          <w:lang w:val="fr-FR" w:eastAsia="en-GB"/>
        </w:rPr>
        <w:t xml:space="preserve">, R., et al. </w:t>
      </w:r>
      <w:r w:rsidRPr="001F72E0">
        <w:rPr>
          <w:rFonts w:eastAsia="Times New Roman" w:cs="Arial"/>
          <w:sz w:val="20"/>
          <w:szCs w:val="20"/>
          <w:lang w:eastAsia="en-GB"/>
        </w:rPr>
        <w:t xml:space="preserve">(2015) Large-scale examination of </w:t>
      </w:r>
      <w:proofErr w:type="spellStart"/>
      <w:r w:rsidRPr="001F72E0">
        <w:rPr>
          <w:rFonts w:eastAsia="Times New Roman" w:cs="Arial"/>
          <w:sz w:val="20"/>
          <w:szCs w:val="20"/>
          <w:lang w:eastAsia="en-GB"/>
        </w:rPr>
        <w:t>spatio</w:t>
      </w:r>
      <w:proofErr w:type="spellEnd"/>
      <w:r w:rsidRPr="001F72E0">
        <w:rPr>
          <w:rFonts w:eastAsia="Times New Roman" w:cs="Arial"/>
          <w:sz w:val="20"/>
          <w:szCs w:val="20"/>
          <w:lang w:eastAsia="en-GB"/>
        </w:rPr>
        <w:t xml:space="preserve">-temporal patterns of drifting fish aggregating devices (dFADs) from tropical tuna fisheries of the Indian and Atlantic Oceans. </w:t>
      </w:r>
      <w:proofErr w:type="spellStart"/>
      <w:r w:rsidRPr="001F72E0">
        <w:rPr>
          <w:rFonts w:eastAsia="Times New Roman" w:cs="Arial"/>
          <w:i/>
          <w:iCs/>
          <w:sz w:val="20"/>
          <w:szCs w:val="20"/>
          <w:lang w:val="en-US" w:eastAsia="en-GB"/>
        </w:rPr>
        <w:t>PloS</w:t>
      </w:r>
      <w:proofErr w:type="spellEnd"/>
      <w:r w:rsidRPr="001F72E0">
        <w:rPr>
          <w:rFonts w:eastAsia="Times New Roman" w:cs="Arial"/>
          <w:i/>
          <w:iCs/>
          <w:sz w:val="20"/>
          <w:szCs w:val="20"/>
          <w:lang w:val="en-US" w:eastAsia="en-GB"/>
        </w:rPr>
        <w:t xml:space="preserve"> ONE </w:t>
      </w:r>
      <w:r w:rsidRPr="001F72E0">
        <w:rPr>
          <w:rFonts w:eastAsia="Times New Roman" w:cs="Arial"/>
          <w:sz w:val="20"/>
          <w:szCs w:val="20"/>
          <w:lang w:val="en-US" w:eastAsia="en-GB"/>
        </w:rPr>
        <w:t xml:space="preserve">10(5): e0128023. </w:t>
      </w:r>
    </w:p>
    <w:p w14:paraId="517667CA" w14:textId="77777777" w:rsidR="00DD4F8D" w:rsidRPr="001F72E0" w:rsidRDefault="00DD4F8D" w:rsidP="001F72E0">
      <w:pPr>
        <w:spacing w:after="80" w:line="240" w:lineRule="auto"/>
        <w:ind w:left="540" w:hanging="540"/>
        <w:jc w:val="both"/>
        <w:rPr>
          <w:rFonts w:eastAsia="Times New Roman" w:cs="Arial"/>
          <w:sz w:val="20"/>
          <w:szCs w:val="20"/>
          <w:lang w:val="it-IT" w:eastAsia="en-GB"/>
        </w:rPr>
      </w:pPr>
      <w:r w:rsidRPr="000E4301">
        <w:rPr>
          <w:rFonts w:eastAsia="Times New Roman" w:cs="Arial"/>
          <w:sz w:val="20"/>
          <w:szCs w:val="20"/>
          <w:lang w:val="en-US" w:eastAsia="en-GB"/>
        </w:rPr>
        <w:t xml:space="preserve">Maufroy, A., Kaplan, D.M., Chassot, E., et al. </w:t>
      </w:r>
      <w:r w:rsidRPr="001F72E0">
        <w:rPr>
          <w:rFonts w:eastAsia="Times New Roman" w:cs="Arial"/>
          <w:sz w:val="20"/>
          <w:szCs w:val="20"/>
          <w:lang w:eastAsia="en-GB"/>
        </w:rPr>
        <w:t xml:space="preserve">(2018) Drifting fish aggregating devices (dFADs) beaching in the Atlantic Ocean: an estimate for the French purse seine fleet (2007-2015). </w:t>
      </w:r>
      <w:r w:rsidRPr="001F72E0">
        <w:rPr>
          <w:rFonts w:eastAsia="Times New Roman" w:cs="Arial"/>
          <w:i/>
          <w:iCs/>
          <w:sz w:val="20"/>
          <w:szCs w:val="20"/>
          <w:lang w:val="it-IT" w:eastAsia="en-GB"/>
        </w:rPr>
        <w:t xml:space="preserve">Collect. Vol. Sci. Pap. ICCAT, </w:t>
      </w:r>
      <w:r w:rsidRPr="001F72E0">
        <w:rPr>
          <w:rFonts w:eastAsia="Times New Roman" w:cs="Arial"/>
          <w:sz w:val="20"/>
          <w:szCs w:val="20"/>
          <w:lang w:val="it-IT" w:eastAsia="en-GB"/>
        </w:rPr>
        <w:t xml:space="preserve">74(5): 2219-2229. </w:t>
      </w:r>
    </w:p>
    <w:p w14:paraId="17BAB122" w14:textId="77777777" w:rsidR="00DD4F8D" w:rsidRPr="001F72E0" w:rsidRDefault="00DD4F8D" w:rsidP="001F72E0">
      <w:pPr>
        <w:spacing w:after="80" w:line="240" w:lineRule="auto"/>
        <w:ind w:left="540" w:hanging="540"/>
        <w:jc w:val="both"/>
        <w:rPr>
          <w:rFonts w:eastAsia="Times New Roman" w:cs="Arial"/>
          <w:sz w:val="20"/>
          <w:szCs w:val="20"/>
          <w:lang w:val="es-ES" w:eastAsia="en-GB"/>
        </w:rPr>
      </w:pPr>
      <w:r w:rsidRPr="001F72E0">
        <w:rPr>
          <w:rFonts w:eastAsia="Times New Roman" w:cs="Arial"/>
          <w:sz w:val="20"/>
          <w:szCs w:val="20"/>
          <w:lang w:val="it-IT" w:eastAsia="en-GB"/>
        </w:rPr>
        <w:t xml:space="preserve">Moreno, G., Dagorn, E., Capello, M., et al. </w:t>
      </w:r>
      <w:r w:rsidRPr="001F72E0">
        <w:rPr>
          <w:rFonts w:eastAsia="Times New Roman" w:cs="Arial"/>
          <w:sz w:val="20"/>
          <w:szCs w:val="20"/>
          <w:lang w:eastAsia="en-GB"/>
        </w:rPr>
        <w:t xml:space="preserve">(2016) Fish aggregating devices (FADs) as scientific platforms. </w:t>
      </w:r>
      <w:proofErr w:type="spellStart"/>
      <w:r w:rsidRPr="001F72E0">
        <w:rPr>
          <w:rFonts w:eastAsia="Times New Roman" w:cs="Arial"/>
          <w:i/>
          <w:iCs/>
          <w:sz w:val="20"/>
          <w:szCs w:val="20"/>
          <w:lang w:val="es-ES" w:eastAsia="en-GB"/>
        </w:rPr>
        <w:t>Fisheries</w:t>
      </w:r>
      <w:proofErr w:type="spellEnd"/>
      <w:r w:rsidRPr="001F72E0">
        <w:rPr>
          <w:rFonts w:eastAsia="Times New Roman" w:cs="Arial"/>
          <w:i/>
          <w:iCs/>
          <w:sz w:val="20"/>
          <w:szCs w:val="20"/>
          <w:lang w:val="es-ES" w:eastAsia="en-GB"/>
        </w:rPr>
        <w:t xml:space="preserve"> </w:t>
      </w:r>
      <w:proofErr w:type="spellStart"/>
      <w:r w:rsidRPr="001F72E0">
        <w:rPr>
          <w:rFonts w:eastAsia="Times New Roman" w:cs="Arial"/>
          <w:i/>
          <w:iCs/>
          <w:sz w:val="20"/>
          <w:szCs w:val="20"/>
          <w:lang w:val="es-ES" w:eastAsia="en-GB"/>
        </w:rPr>
        <w:t>Research</w:t>
      </w:r>
      <w:proofErr w:type="spellEnd"/>
      <w:r w:rsidRPr="001F72E0">
        <w:rPr>
          <w:rFonts w:eastAsia="Times New Roman" w:cs="Arial"/>
          <w:i/>
          <w:iCs/>
          <w:sz w:val="20"/>
          <w:szCs w:val="20"/>
          <w:lang w:val="es-ES" w:eastAsia="en-GB"/>
        </w:rPr>
        <w:t xml:space="preserve"> </w:t>
      </w:r>
      <w:r w:rsidRPr="001F72E0">
        <w:rPr>
          <w:rFonts w:eastAsia="Times New Roman" w:cs="Arial"/>
          <w:sz w:val="20"/>
          <w:szCs w:val="20"/>
          <w:lang w:val="es-ES" w:eastAsia="en-GB"/>
        </w:rPr>
        <w:t xml:space="preserve">178: 122-129. </w:t>
      </w:r>
    </w:p>
    <w:p w14:paraId="1D460951" w14:textId="77777777" w:rsidR="00DD4F8D" w:rsidRPr="001F72E0" w:rsidRDefault="00DD4F8D" w:rsidP="001F72E0">
      <w:pPr>
        <w:spacing w:after="80" w:line="240" w:lineRule="auto"/>
        <w:ind w:left="540" w:hanging="540"/>
        <w:jc w:val="both"/>
        <w:rPr>
          <w:rFonts w:eastAsia="Times New Roman" w:cs="Arial"/>
          <w:sz w:val="20"/>
          <w:szCs w:val="20"/>
          <w:lang w:val="it-IT" w:eastAsia="en-GB"/>
        </w:rPr>
      </w:pPr>
      <w:r w:rsidRPr="001F72E0">
        <w:rPr>
          <w:rFonts w:eastAsia="Times New Roman" w:cs="Arial"/>
          <w:sz w:val="20"/>
          <w:szCs w:val="20"/>
          <w:lang w:val="es-ES" w:eastAsia="en-GB"/>
        </w:rPr>
        <w:t xml:space="preserve">Moreno, G., Salvador, J., Murua, J., et al. </w:t>
      </w:r>
      <w:r w:rsidRPr="001F72E0">
        <w:rPr>
          <w:rFonts w:eastAsia="Times New Roman" w:cs="Arial"/>
          <w:sz w:val="20"/>
          <w:szCs w:val="20"/>
          <w:lang w:eastAsia="en-GB"/>
        </w:rPr>
        <w:t xml:space="preserve">(2020) A multidisciplinary approach to build new designs of biodegradable Fish Aggregating Devices (FADs). Western and Central Pacific Fisheries Commission. Scientific Committee Sixteenth Regular Session, Electronic Meeting 11-20 August 2020. </w:t>
      </w:r>
      <w:r w:rsidRPr="001F72E0">
        <w:rPr>
          <w:rFonts w:eastAsia="Times New Roman" w:cs="Arial"/>
          <w:sz w:val="20"/>
          <w:szCs w:val="20"/>
          <w:lang w:val="it-IT" w:eastAsia="en-GB"/>
        </w:rPr>
        <w:t xml:space="preserve">WCPFC-SC16-2020/EB-IP-08. </w:t>
      </w:r>
    </w:p>
    <w:p w14:paraId="0A4AC237"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val="it-IT" w:eastAsia="en-GB"/>
        </w:rPr>
        <w:t xml:space="preserve">Moreno, G., Salvador, J., Murua, H., et al. </w:t>
      </w:r>
      <w:r w:rsidRPr="001F72E0">
        <w:rPr>
          <w:rFonts w:eastAsia="Times New Roman" w:cs="Arial"/>
          <w:sz w:val="20"/>
          <w:szCs w:val="20"/>
          <w:lang w:eastAsia="en-GB"/>
        </w:rPr>
        <w:t xml:space="preserve">(2021) The Jelly-FAD: a paradigm shift in Bio-FAD design. Working Party on Ecosystems and Bycatch (WPEB). IOTC-2021-WPEB17(AS)-21. Available at: </w:t>
      </w:r>
      <w:hyperlink r:id="rId37" w:history="1">
        <w:r w:rsidRPr="001F72E0">
          <w:rPr>
            <w:rFonts w:eastAsia="Times New Roman" w:cs="Arial"/>
            <w:color w:val="0563C1"/>
            <w:sz w:val="20"/>
            <w:szCs w:val="20"/>
            <w:u w:val="single"/>
            <w:lang w:eastAsia="en-GB"/>
          </w:rPr>
          <w:t>https://iotc.org/documents/jelly-fad-paradigm-shift-bio-fad-design</w:t>
        </w:r>
      </w:hyperlink>
      <w:r w:rsidRPr="001F72E0">
        <w:rPr>
          <w:rFonts w:eastAsia="Times New Roman" w:cs="Arial"/>
          <w:sz w:val="20"/>
          <w:szCs w:val="20"/>
          <w:lang w:eastAsia="en-GB"/>
        </w:rPr>
        <w:t xml:space="preserve"> </w:t>
      </w:r>
    </w:p>
    <w:p w14:paraId="71096B4E"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val="it-IT" w:eastAsia="en-GB"/>
        </w:rPr>
        <w:t xml:space="preserve">Murua, J., Moreno, G., Itano, D., et al. </w:t>
      </w:r>
      <w:r w:rsidRPr="001F72E0">
        <w:rPr>
          <w:rFonts w:eastAsia="Times New Roman" w:cs="Arial"/>
          <w:sz w:val="20"/>
          <w:szCs w:val="20"/>
          <w:lang w:eastAsia="en-GB"/>
        </w:rPr>
        <w:t xml:space="preserve">(2019) ISSF Skippers’ Workshops Round 8. ISSF Technical Report 2019-01. I International Seafood Sustainability Foundation, Washington, D.C., USA. </w:t>
      </w:r>
    </w:p>
    <w:p w14:paraId="234D78F5"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0E4301">
        <w:rPr>
          <w:rFonts w:eastAsia="Times New Roman" w:cs="Arial"/>
          <w:sz w:val="20"/>
          <w:szCs w:val="20"/>
          <w:lang w:val="en-US" w:eastAsia="en-GB"/>
        </w:rPr>
        <w:t xml:space="preserve">Murua, H., Dagorn, L., Justel-Rubio, A., et al. </w:t>
      </w:r>
      <w:r w:rsidRPr="001F72E0">
        <w:rPr>
          <w:rFonts w:eastAsia="Times New Roman" w:cs="Arial"/>
          <w:sz w:val="20"/>
          <w:szCs w:val="20"/>
          <w:lang w:eastAsia="en-GB"/>
        </w:rPr>
        <w:t>(2021) Questions and Answers about FADs and Bycatch (Version 3). ISSF Technical Report 2021-11. International Seafood Sustainability Foundation, Washington, D.C., USA.</w:t>
      </w:r>
    </w:p>
    <w:p w14:paraId="471F6D7B"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NOAA (2017) Fishing Gear: Fish Aggregating Devices. Available at: </w:t>
      </w:r>
      <w:hyperlink r:id="rId38" w:history="1">
        <w:r w:rsidRPr="001F72E0">
          <w:rPr>
            <w:rFonts w:eastAsia="Times New Roman" w:cs="Arial"/>
            <w:color w:val="0563C1"/>
            <w:sz w:val="20"/>
            <w:szCs w:val="20"/>
            <w:u w:val="single"/>
            <w:lang w:eastAsia="en-GB"/>
          </w:rPr>
          <w:t>https://www.fisheries.noaa.gov/national/bycatch/fishing-gear-fish-aggregating-devices Accessed 18 June 2022</w:t>
        </w:r>
      </w:hyperlink>
      <w:r w:rsidRPr="001F72E0">
        <w:rPr>
          <w:rFonts w:eastAsia="Times New Roman" w:cs="Arial"/>
          <w:sz w:val="20"/>
          <w:szCs w:val="20"/>
          <w:lang w:eastAsia="en-GB"/>
        </w:rPr>
        <w:t xml:space="preserve">. </w:t>
      </w:r>
    </w:p>
    <w:p w14:paraId="76AFF63B"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val="fr-FR" w:eastAsia="en-GB"/>
        </w:rPr>
        <w:t xml:space="preserve">Proctor, C.H., </w:t>
      </w:r>
      <w:proofErr w:type="spellStart"/>
      <w:r w:rsidRPr="001F72E0">
        <w:rPr>
          <w:rFonts w:eastAsia="Times New Roman" w:cs="Arial"/>
          <w:sz w:val="20"/>
          <w:szCs w:val="20"/>
          <w:lang w:val="fr-FR" w:eastAsia="en-GB"/>
        </w:rPr>
        <w:t>Natsir</w:t>
      </w:r>
      <w:proofErr w:type="spellEnd"/>
      <w:r w:rsidRPr="001F72E0">
        <w:rPr>
          <w:rFonts w:eastAsia="Times New Roman" w:cs="Arial"/>
          <w:sz w:val="20"/>
          <w:szCs w:val="20"/>
          <w:lang w:val="fr-FR" w:eastAsia="en-GB"/>
        </w:rPr>
        <w:t xml:space="preserve">, M., </w:t>
      </w:r>
      <w:proofErr w:type="spellStart"/>
      <w:r w:rsidRPr="001F72E0">
        <w:rPr>
          <w:rFonts w:eastAsia="Times New Roman" w:cs="Arial"/>
          <w:sz w:val="20"/>
          <w:szCs w:val="20"/>
          <w:lang w:val="fr-FR" w:eastAsia="en-GB"/>
        </w:rPr>
        <w:t>Mahiswara</w:t>
      </w:r>
      <w:proofErr w:type="spellEnd"/>
      <w:r w:rsidRPr="001F72E0">
        <w:rPr>
          <w:rFonts w:eastAsia="Times New Roman" w:cs="Arial"/>
          <w:sz w:val="20"/>
          <w:szCs w:val="20"/>
          <w:lang w:val="fr-FR" w:eastAsia="en-GB"/>
        </w:rPr>
        <w:t xml:space="preserve">, et al. </w:t>
      </w:r>
      <w:r w:rsidRPr="001F72E0">
        <w:rPr>
          <w:rFonts w:eastAsia="Times New Roman" w:cs="Arial"/>
          <w:sz w:val="20"/>
          <w:szCs w:val="20"/>
          <w:lang w:eastAsia="en-GB"/>
        </w:rPr>
        <w:t xml:space="preserve">(2019) A characterisation of FAD-based tuna fisheries in Indonesian waters. Final Report as output of ACIAR Project FIS/2009/059. Australian Centre for International Agricultural Research, Canberra. 111pp. </w:t>
      </w:r>
    </w:p>
    <w:p w14:paraId="50E195B0" w14:textId="77777777" w:rsidR="00DD4F8D" w:rsidRPr="001F72E0" w:rsidRDefault="00DD4F8D" w:rsidP="001F72E0">
      <w:pPr>
        <w:spacing w:after="80" w:line="240" w:lineRule="auto"/>
        <w:ind w:left="540" w:hanging="540"/>
        <w:jc w:val="both"/>
        <w:rPr>
          <w:rFonts w:eastAsia="Times New Roman" w:cs="Arial"/>
          <w:sz w:val="20"/>
          <w:szCs w:val="20"/>
          <w:lang w:eastAsia="en-GB"/>
        </w:rPr>
      </w:pPr>
      <w:proofErr w:type="spellStart"/>
      <w:r w:rsidRPr="001F72E0">
        <w:rPr>
          <w:rFonts w:eastAsia="Times New Roman" w:cs="Arial"/>
          <w:sz w:val="20"/>
          <w:szCs w:val="20"/>
          <w:lang w:eastAsia="en-GB"/>
        </w:rPr>
        <w:t>Rajruchithong</w:t>
      </w:r>
      <w:proofErr w:type="spellEnd"/>
      <w:r w:rsidRPr="001F72E0">
        <w:rPr>
          <w:rFonts w:eastAsia="Times New Roman" w:cs="Arial"/>
          <w:sz w:val="20"/>
          <w:szCs w:val="20"/>
          <w:lang w:eastAsia="en-GB"/>
        </w:rPr>
        <w:t xml:space="preserve">, S., </w:t>
      </w:r>
      <w:proofErr w:type="spellStart"/>
      <w:r w:rsidRPr="001F72E0">
        <w:rPr>
          <w:rFonts w:eastAsia="Times New Roman" w:cs="Arial"/>
          <w:sz w:val="20"/>
          <w:szCs w:val="20"/>
          <w:lang w:eastAsia="en-GB"/>
        </w:rPr>
        <w:t>Prajakjitt</w:t>
      </w:r>
      <w:proofErr w:type="spellEnd"/>
      <w:r w:rsidRPr="001F72E0">
        <w:rPr>
          <w:rFonts w:eastAsia="Times New Roman" w:cs="Arial"/>
          <w:sz w:val="20"/>
          <w:szCs w:val="20"/>
          <w:lang w:eastAsia="en-GB"/>
        </w:rPr>
        <w:t xml:space="preserve">, P. and </w:t>
      </w:r>
      <w:proofErr w:type="spellStart"/>
      <w:r w:rsidRPr="001F72E0">
        <w:rPr>
          <w:rFonts w:eastAsia="Times New Roman" w:cs="Arial"/>
          <w:sz w:val="20"/>
          <w:szCs w:val="20"/>
          <w:lang w:eastAsia="en-GB"/>
        </w:rPr>
        <w:t>Siriraksophon</w:t>
      </w:r>
      <w:proofErr w:type="spellEnd"/>
      <w:r w:rsidRPr="001F72E0">
        <w:rPr>
          <w:rFonts w:eastAsia="Times New Roman" w:cs="Arial"/>
          <w:sz w:val="20"/>
          <w:szCs w:val="20"/>
          <w:lang w:eastAsia="en-GB"/>
        </w:rPr>
        <w:t xml:space="preserve">, S. (2005) Bycatch from tuna purse seine and longline fishing gears in the Eastern Indian Ocean by MV SEAFDEC. Indian Ocean Tuna Commission, report IOTC-2005-Wpby-07. Available at: </w:t>
      </w:r>
      <w:hyperlink r:id="rId39" w:history="1">
        <w:r w:rsidRPr="001F72E0">
          <w:rPr>
            <w:rFonts w:eastAsia="Times New Roman" w:cs="Arial"/>
            <w:color w:val="0563C1"/>
            <w:sz w:val="20"/>
            <w:szCs w:val="20"/>
            <w:u w:val="single"/>
            <w:lang w:eastAsia="en-GB"/>
          </w:rPr>
          <w:t>https://www.iotc.org/documents/seafdec-bycatch-data-collection-1994-2004</w:t>
        </w:r>
      </w:hyperlink>
      <w:r w:rsidRPr="001F72E0">
        <w:rPr>
          <w:rFonts w:eastAsia="Times New Roman" w:cs="Arial"/>
          <w:sz w:val="20"/>
          <w:szCs w:val="20"/>
          <w:lang w:eastAsia="en-GB"/>
        </w:rPr>
        <w:t xml:space="preserve"> </w:t>
      </w:r>
    </w:p>
    <w:p w14:paraId="033E679D" w14:textId="77777777" w:rsidR="00DD4F8D" w:rsidRPr="001F72E0" w:rsidRDefault="00DD4F8D" w:rsidP="001F72E0">
      <w:pPr>
        <w:spacing w:after="80" w:line="240" w:lineRule="auto"/>
        <w:ind w:left="540" w:hanging="540"/>
        <w:jc w:val="both"/>
        <w:rPr>
          <w:rFonts w:eastAsia="Times New Roman" w:cs="Arial"/>
          <w:color w:val="080100"/>
          <w:sz w:val="20"/>
          <w:szCs w:val="20"/>
          <w:shd w:val="clear" w:color="auto" w:fill="FFFFFF"/>
          <w:lang w:eastAsia="en-GB"/>
        </w:rPr>
      </w:pPr>
      <w:r w:rsidRPr="000E4301">
        <w:rPr>
          <w:rFonts w:eastAsia="Times New Roman" w:cs="Arial"/>
          <w:color w:val="080100"/>
          <w:sz w:val="20"/>
          <w:szCs w:val="20"/>
          <w:shd w:val="clear" w:color="auto" w:fill="FFFFFF"/>
          <w:lang w:eastAsia="en-GB"/>
        </w:rPr>
        <w:t xml:space="preserve">Rigby, C.L., Barreto, R., Carlson, J., et al. </w:t>
      </w:r>
      <w:r w:rsidRPr="001F72E0">
        <w:rPr>
          <w:rFonts w:eastAsia="Times New Roman" w:cs="Arial"/>
          <w:color w:val="080100"/>
          <w:sz w:val="20"/>
          <w:szCs w:val="20"/>
          <w:shd w:val="clear" w:color="auto" w:fill="FFFFFF"/>
          <w:lang w:eastAsia="en-GB"/>
        </w:rPr>
        <w:t>(</w:t>
      </w:r>
      <w:r w:rsidRPr="001F72E0">
        <w:rPr>
          <w:rFonts w:eastAsia="Times New Roman" w:cs="Arial"/>
          <w:color w:val="080100"/>
          <w:sz w:val="20"/>
          <w:szCs w:val="20"/>
          <w:bdr w:val="none" w:sz="0" w:space="0" w:color="auto" w:frame="1"/>
          <w:lang w:eastAsia="en-GB"/>
        </w:rPr>
        <w:t>2019) </w:t>
      </w:r>
      <w:r w:rsidRPr="001F72E0">
        <w:rPr>
          <w:rFonts w:eastAsia="Times New Roman" w:cs="Arial"/>
          <w:i/>
          <w:iCs/>
          <w:color w:val="080100"/>
          <w:sz w:val="20"/>
          <w:szCs w:val="20"/>
          <w:bdr w:val="none" w:sz="0" w:space="0" w:color="auto" w:frame="1"/>
          <w:lang w:eastAsia="en-GB"/>
        </w:rPr>
        <w:t xml:space="preserve">Carcharhinus </w:t>
      </w:r>
      <w:proofErr w:type="spellStart"/>
      <w:r w:rsidRPr="001F72E0">
        <w:rPr>
          <w:rFonts w:eastAsia="Times New Roman" w:cs="Arial"/>
          <w:i/>
          <w:iCs/>
          <w:color w:val="080100"/>
          <w:sz w:val="20"/>
          <w:szCs w:val="20"/>
          <w:bdr w:val="none" w:sz="0" w:space="0" w:color="auto" w:frame="1"/>
          <w:lang w:eastAsia="en-GB"/>
        </w:rPr>
        <w:t>longimanus</w:t>
      </w:r>
      <w:proofErr w:type="spellEnd"/>
      <w:r w:rsidRPr="001F72E0">
        <w:rPr>
          <w:rFonts w:eastAsia="Times New Roman" w:cs="Arial"/>
          <w:color w:val="080100"/>
          <w:sz w:val="20"/>
          <w:szCs w:val="20"/>
          <w:bdr w:val="none" w:sz="0" w:space="0" w:color="auto" w:frame="1"/>
          <w:lang w:eastAsia="en-GB"/>
        </w:rPr>
        <w:t>. </w:t>
      </w:r>
      <w:r w:rsidRPr="001F72E0">
        <w:rPr>
          <w:rFonts w:eastAsia="Times New Roman" w:cs="Arial"/>
          <w:i/>
          <w:iCs/>
          <w:color w:val="080100"/>
          <w:sz w:val="20"/>
          <w:szCs w:val="20"/>
          <w:bdr w:val="none" w:sz="0" w:space="0" w:color="auto" w:frame="1"/>
          <w:lang w:eastAsia="en-GB"/>
        </w:rPr>
        <w:t>The IUCN Red List of Threatened Species</w:t>
      </w:r>
      <w:r w:rsidRPr="001F72E0">
        <w:rPr>
          <w:rFonts w:eastAsia="Times New Roman" w:cs="Arial"/>
          <w:color w:val="080100"/>
          <w:sz w:val="20"/>
          <w:szCs w:val="20"/>
          <w:bdr w:val="none" w:sz="0" w:space="0" w:color="auto" w:frame="1"/>
          <w:lang w:eastAsia="en-GB"/>
        </w:rPr>
        <w:t> 2019: e.T39374A2911619. </w:t>
      </w:r>
      <w:hyperlink r:id="rId40" w:history="1">
        <w:r w:rsidRPr="001F72E0">
          <w:rPr>
            <w:rFonts w:eastAsia="Times New Roman" w:cs="Arial"/>
            <w:color w:val="080100"/>
            <w:sz w:val="20"/>
            <w:szCs w:val="20"/>
            <w:u w:val="single"/>
            <w:bdr w:val="none" w:sz="0" w:space="0" w:color="auto" w:frame="1"/>
            <w:lang w:eastAsia="en-GB"/>
          </w:rPr>
          <w:t>https://dx.doi.org/10.2305/IUCN.UK.2019-3.RLTS.T39374A2911619.en</w:t>
        </w:r>
      </w:hyperlink>
      <w:r w:rsidRPr="001F72E0">
        <w:rPr>
          <w:rFonts w:eastAsia="Times New Roman" w:cs="Arial"/>
          <w:color w:val="080100"/>
          <w:sz w:val="20"/>
          <w:szCs w:val="20"/>
          <w:bdr w:val="none" w:sz="0" w:space="0" w:color="auto" w:frame="1"/>
          <w:lang w:eastAsia="en-GB"/>
        </w:rPr>
        <w:t>. </w:t>
      </w:r>
      <w:r w:rsidRPr="001F72E0">
        <w:rPr>
          <w:rFonts w:eastAsia="Times New Roman" w:cs="Arial"/>
          <w:color w:val="080100"/>
          <w:sz w:val="20"/>
          <w:szCs w:val="20"/>
          <w:shd w:val="clear" w:color="auto" w:fill="FFFFFF"/>
          <w:lang w:eastAsia="en-GB"/>
        </w:rPr>
        <w:t>Accessed on 12 May 2022.</w:t>
      </w:r>
    </w:p>
    <w:p w14:paraId="33DCAAF1" w14:textId="77777777" w:rsidR="001F72E0" w:rsidRDefault="001F72E0">
      <w:pPr>
        <w:rPr>
          <w:rFonts w:eastAsia="Times New Roman" w:cs="Arial"/>
          <w:color w:val="080100"/>
          <w:sz w:val="20"/>
          <w:szCs w:val="20"/>
          <w:shd w:val="clear" w:color="auto" w:fill="FFFFFF"/>
          <w:lang w:eastAsia="en-GB"/>
        </w:rPr>
      </w:pPr>
      <w:r>
        <w:rPr>
          <w:rFonts w:eastAsia="Times New Roman" w:cs="Arial"/>
          <w:color w:val="080100"/>
          <w:sz w:val="20"/>
          <w:szCs w:val="20"/>
          <w:shd w:val="clear" w:color="auto" w:fill="FFFFFF"/>
          <w:lang w:eastAsia="en-GB"/>
        </w:rPr>
        <w:br w:type="page"/>
      </w:r>
    </w:p>
    <w:p w14:paraId="4F511FDE" w14:textId="7CCBDCA5"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color w:val="080100"/>
          <w:sz w:val="20"/>
          <w:szCs w:val="20"/>
          <w:shd w:val="clear" w:color="auto" w:fill="FFFFFF"/>
          <w:lang w:eastAsia="en-GB"/>
        </w:rPr>
        <w:lastRenderedPageBreak/>
        <w:t>Rigby, C.L., Sherman, C.S., Chin, A., et al. (</w:t>
      </w:r>
      <w:r w:rsidRPr="001F72E0">
        <w:rPr>
          <w:rFonts w:eastAsia="Times New Roman" w:cs="Arial"/>
          <w:color w:val="080100"/>
          <w:sz w:val="20"/>
          <w:szCs w:val="20"/>
          <w:bdr w:val="none" w:sz="0" w:space="0" w:color="auto" w:frame="1"/>
          <w:lang w:eastAsia="en-GB"/>
        </w:rPr>
        <w:t>2021)7u </w:t>
      </w:r>
      <w:r w:rsidRPr="001F72E0">
        <w:rPr>
          <w:rFonts w:eastAsia="Times New Roman" w:cs="Arial"/>
          <w:i/>
          <w:iCs/>
          <w:color w:val="080100"/>
          <w:sz w:val="20"/>
          <w:szCs w:val="20"/>
          <w:bdr w:val="none" w:sz="0" w:space="0" w:color="auto" w:frame="1"/>
          <w:lang w:eastAsia="en-GB"/>
        </w:rPr>
        <w:t xml:space="preserve">Carcharhinus </w:t>
      </w:r>
      <w:proofErr w:type="spellStart"/>
      <w:r w:rsidRPr="001F72E0">
        <w:rPr>
          <w:rFonts w:eastAsia="Times New Roman" w:cs="Arial"/>
          <w:i/>
          <w:iCs/>
          <w:color w:val="080100"/>
          <w:sz w:val="20"/>
          <w:szCs w:val="20"/>
          <w:bdr w:val="none" w:sz="0" w:space="0" w:color="auto" w:frame="1"/>
          <w:lang w:eastAsia="en-GB"/>
        </w:rPr>
        <w:t>falciformis</w:t>
      </w:r>
      <w:proofErr w:type="spellEnd"/>
      <w:r w:rsidRPr="001F72E0">
        <w:rPr>
          <w:rFonts w:eastAsia="Times New Roman" w:cs="Arial"/>
          <w:i/>
          <w:iCs/>
          <w:color w:val="080100"/>
          <w:sz w:val="20"/>
          <w:szCs w:val="20"/>
          <w:bdr w:val="none" w:sz="0" w:space="0" w:color="auto" w:frame="1"/>
          <w:lang w:eastAsia="en-GB"/>
        </w:rPr>
        <w:t xml:space="preserve"> </w:t>
      </w:r>
      <w:r w:rsidRPr="001F72E0">
        <w:rPr>
          <w:rFonts w:eastAsia="Times New Roman" w:cs="Arial"/>
          <w:color w:val="080100"/>
          <w:sz w:val="20"/>
          <w:szCs w:val="20"/>
          <w:bdr w:val="none" w:sz="0" w:space="0" w:color="auto" w:frame="1"/>
          <w:lang w:eastAsia="en-GB"/>
        </w:rPr>
        <w:t>(amended version of 2017 assessment). </w:t>
      </w:r>
      <w:r w:rsidRPr="001F72E0">
        <w:rPr>
          <w:rFonts w:eastAsia="Times New Roman" w:cs="Arial"/>
          <w:i/>
          <w:iCs/>
          <w:color w:val="080100"/>
          <w:sz w:val="20"/>
          <w:szCs w:val="20"/>
          <w:bdr w:val="none" w:sz="0" w:space="0" w:color="auto" w:frame="1"/>
          <w:lang w:eastAsia="en-GB"/>
        </w:rPr>
        <w:t>The IUCN Red List of Threatened Species</w:t>
      </w:r>
      <w:r w:rsidRPr="001F72E0">
        <w:rPr>
          <w:rFonts w:eastAsia="Times New Roman" w:cs="Arial"/>
          <w:color w:val="080100"/>
          <w:sz w:val="20"/>
          <w:szCs w:val="20"/>
          <w:bdr w:val="none" w:sz="0" w:space="0" w:color="auto" w:frame="1"/>
          <w:lang w:eastAsia="en-GB"/>
        </w:rPr>
        <w:t> 2021: e.T39370A205782570. </w:t>
      </w:r>
      <w:hyperlink r:id="rId41" w:history="1">
        <w:r w:rsidRPr="001F72E0">
          <w:rPr>
            <w:rFonts w:eastAsia="Times New Roman" w:cs="Arial"/>
            <w:color w:val="080100"/>
            <w:sz w:val="20"/>
            <w:szCs w:val="20"/>
            <w:u w:val="single"/>
            <w:bdr w:val="none" w:sz="0" w:space="0" w:color="auto" w:frame="1"/>
            <w:lang w:eastAsia="en-GB"/>
          </w:rPr>
          <w:t>https://dx.doi.org/10.2305/IUCN.UK.2021-3.RLTS.T39370A205782570.en</w:t>
        </w:r>
      </w:hyperlink>
      <w:r w:rsidRPr="001F72E0">
        <w:rPr>
          <w:rFonts w:eastAsia="Times New Roman" w:cs="Arial"/>
          <w:color w:val="080100"/>
          <w:sz w:val="20"/>
          <w:szCs w:val="20"/>
          <w:bdr w:val="none" w:sz="0" w:space="0" w:color="auto" w:frame="1"/>
          <w:lang w:eastAsia="en-GB"/>
        </w:rPr>
        <w:t>. </w:t>
      </w:r>
      <w:r w:rsidRPr="001F72E0">
        <w:rPr>
          <w:rFonts w:eastAsia="Times New Roman" w:cs="Arial"/>
          <w:color w:val="080100"/>
          <w:sz w:val="20"/>
          <w:szCs w:val="20"/>
          <w:shd w:val="clear" w:color="auto" w:fill="FFFFFF"/>
          <w:lang w:eastAsia="en-GB"/>
        </w:rPr>
        <w:t>Accessed on 12 May 2022.</w:t>
      </w:r>
    </w:p>
    <w:p w14:paraId="1E899257"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Scott, G.P. and Lopez, J. (2014) The Use of Fads in Tuna Fisheries. European Parliament’s Committee on Fisheries. Available at: </w:t>
      </w:r>
      <w:hyperlink r:id="rId42" w:history="1">
        <w:r w:rsidRPr="001F72E0">
          <w:rPr>
            <w:rFonts w:eastAsia="Times New Roman" w:cs="Arial"/>
            <w:color w:val="0563C1"/>
            <w:sz w:val="20"/>
            <w:szCs w:val="20"/>
            <w:u w:val="single"/>
            <w:lang w:eastAsia="en-GB"/>
          </w:rPr>
          <w:t>https://www.europarl.europa.eu/RegData/etudes/note/join/2014/514002/IPOL-PECH_NT(2014)514002_EN.pdf</w:t>
        </w:r>
      </w:hyperlink>
      <w:r w:rsidRPr="001F72E0">
        <w:rPr>
          <w:rFonts w:eastAsia="Times New Roman" w:cs="Arial"/>
          <w:sz w:val="20"/>
          <w:szCs w:val="20"/>
          <w:lang w:eastAsia="en-GB"/>
        </w:rPr>
        <w:t xml:space="preserve"> </w:t>
      </w:r>
    </w:p>
    <w:p w14:paraId="4108627D" w14:textId="77777777" w:rsidR="00DD4F8D" w:rsidRPr="001F72E0" w:rsidRDefault="00DD4F8D" w:rsidP="001F72E0">
      <w:pPr>
        <w:spacing w:after="80" w:line="240" w:lineRule="auto"/>
        <w:ind w:left="540" w:hanging="540"/>
        <w:jc w:val="both"/>
        <w:rPr>
          <w:rFonts w:eastAsia="Times New Roman" w:cs="Arial"/>
          <w:sz w:val="20"/>
          <w:szCs w:val="20"/>
          <w:lang w:val="fr-FR" w:eastAsia="en-GB"/>
        </w:rPr>
      </w:pPr>
      <w:proofErr w:type="spellStart"/>
      <w:r w:rsidRPr="001F72E0">
        <w:rPr>
          <w:rFonts w:eastAsia="Times New Roman" w:cs="Arial"/>
          <w:sz w:val="20"/>
          <w:szCs w:val="20"/>
          <w:lang w:eastAsia="en-GB"/>
        </w:rPr>
        <w:t>Sinopoli</w:t>
      </w:r>
      <w:proofErr w:type="spellEnd"/>
      <w:r w:rsidRPr="001F72E0">
        <w:rPr>
          <w:rFonts w:eastAsia="Times New Roman" w:cs="Arial"/>
          <w:sz w:val="20"/>
          <w:szCs w:val="20"/>
          <w:lang w:eastAsia="en-GB"/>
        </w:rPr>
        <w:t xml:space="preserve">, M., </w:t>
      </w:r>
      <w:proofErr w:type="spellStart"/>
      <w:r w:rsidRPr="001F72E0">
        <w:rPr>
          <w:rFonts w:eastAsia="Times New Roman" w:cs="Arial"/>
          <w:sz w:val="20"/>
          <w:szCs w:val="20"/>
          <w:lang w:eastAsia="en-GB"/>
        </w:rPr>
        <w:t>Cillari</w:t>
      </w:r>
      <w:proofErr w:type="spellEnd"/>
      <w:r w:rsidRPr="001F72E0">
        <w:rPr>
          <w:rFonts w:eastAsia="Times New Roman" w:cs="Arial"/>
          <w:sz w:val="20"/>
          <w:szCs w:val="20"/>
          <w:lang w:eastAsia="en-GB"/>
        </w:rPr>
        <w:t xml:space="preserve">, T., </w:t>
      </w:r>
      <w:proofErr w:type="spellStart"/>
      <w:r w:rsidRPr="001F72E0">
        <w:rPr>
          <w:rFonts w:eastAsia="Times New Roman" w:cs="Arial"/>
          <w:sz w:val="20"/>
          <w:szCs w:val="20"/>
          <w:lang w:eastAsia="en-GB"/>
        </w:rPr>
        <w:t>Andaloro</w:t>
      </w:r>
      <w:proofErr w:type="spellEnd"/>
      <w:r w:rsidRPr="001F72E0">
        <w:rPr>
          <w:rFonts w:eastAsia="Times New Roman" w:cs="Arial"/>
          <w:sz w:val="20"/>
          <w:szCs w:val="20"/>
          <w:lang w:eastAsia="en-GB"/>
        </w:rPr>
        <w:t xml:space="preserve">, F. (2020) Are FADs a significant source of marine litter? Assessment of released debris and mitigation strategy in the Mediterranean Sea. </w:t>
      </w:r>
      <w:r w:rsidRPr="001F72E0">
        <w:rPr>
          <w:rFonts w:eastAsia="Times New Roman" w:cs="Arial"/>
          <w:i/>
          <w:iCs/>
          <w:sz w:val="20"/>
          <w:szCs w:val="20"/>
          <w:lang w:val="fr-FR" w:eastAsia="en-GB"/>
        </w:rPr>
        <w:t xml:space="preserve">Journal of </w:t>
      </w:r>
      <w:proofErr w:type="spellStart"/>
      <w:r w:rsidRPr="001F72E0">
        <w:rPr>
          <w:rFonts w:eastAsia="Times New Roman" w:cs="Arial"/>
          <w:i/>
          <w:iCs/>
          <w:sz w:val="20"/>
          <w:szCs w:val="20"/>
          <w:lang w:val="fr-FR" w:eastAsia="en-GB"/>
        </w:rPr>
        <w:t>Environmental</w:t>
      </w:r>
      <w:proofErr w:type="spellEnd"/>
      <w:r w:rsidRPr="001F72E0">
        <w:rPr>
          <w:rFonts w:eastAsia="Times New Roman" w:cs="Arial"/>
          <w:i/>
          <w:iCs/>
          <w:sz w:val="20"/>
          <w:szCs w:val="20"/>
          <w:lang w:val="fr-FR" w:eastAsia="en-GB"/>
        </w:rPr>
        <w:t xml:space="preserve"> Management </w:t>
      </w:r>
      <w:r w:rsidRPr="001F72E0">
        <w:rPr>
          <w:rFonts w:eastAsia="Times New Roman" w:cs="Arial"/>
          <w:sz w:val="20"/>
          <w:szCs w:val="20"/>
          <w:lang w:val="fr-FR" w:eastAsia="en-GB"/>
        </w:rPr>
        <w:t>253: 109749</w:t>
      </w:r>
    </w:p>
    <w:p w14:paraId="011898E5" w14:textId="77777777" w:rsidR="00DD4F8D" w:rsidRPr="001F72E0" w:rsidRDefault="00DD4F8D" w:rsidP="001F72E0">
      <w:pPr>
        <w:spacing w:after="80" w:line="240" w:lineRule="auto"/>
        <w:ind w:left="540" w:hanging="540"/>
        <w:jc w:val="both"/>
        <w:rPr>
          <w:rFonts w:eastAsia="Times New Roman" w:cs="Arial"/>
          <w:sz w:val="20"/>
          <w:szCs w:val="20"/>
          <w:lang w:eastAsia="en-GB"/>
        </w:rPr>
      </w:pPr>
      <w:proofErr w:type="spellStart"/>
      <w:r w:rsidRPr="001F72E0">
        <w:rPr>
          <w:rFonts w:eastAsia="Times New Roman" w:cs="Arial"/>
          <w:sz w:val="20"/>
          <w:szCs w:val="20"/>
          <w:lang w:val="fr-FR" w:eastAsia="en-GB"/>
        </w:rPr>
        <w:t>Sokimi</w:t>
      </w:r>
      <w:proofErr w:type="spellEnd"/>
      <w:r w:rsidRPr="001F72E0">
        <w:rPr>
          <w:rFonts w:eastAsia="Times New Roman" w:cs="Arial"/>
          <w:sz w:val="20"/>
          <w:szCs w:val="20"/>
          <w:lang w:val="fr-FR" w:eastAsia="en-GB"/>
        </w:rPr>
        <w:t xml:space="preserve">, W., Blanc, M., Colas, B., et al. </w:t>
      </w:r>
      <w:r w:rsidRPr="001F72E0">
        <w:rPr>
          <w:rFonts w:eastAsia="Times New Roman" w:cs="Arial"/>
          <w:sz w:val="20"/>
          <w:szCs w:val="20"/>
          <w:lang w:eastAsia="en-GB"/>
        </w:rPr>
        <w:t xml:space="preserve">(2020) Manual on anchored fish aggregating devices (FADs): an update on FAD gear technology, designs and deployment methods for the Pacific Island region. Noumea, New Caledonia: Pacific Community. 56 pages. Available at: </w:t>
      </w:r>
      <w:hyperlink r:id="rId43" w:history="1">
        <w:r w:rsidRPr="001F72E0">
          <w:rPr>
            <w:rFonts w:eastAsia="Times New Roman" w:cs="Arial"/>
            <w:color w:val="0563C1"/>
            <w:sz w:val="20"/>
            <w:szCs w:val="20"/>
            <w:u w:val="single"/>
            <w:lang w:eastAsia="en-GB"/>
          </w:rPr>
          <w:t>https://www.spc.int</w:t>
        </w:r>
      </w:hyperlink>
      <w:r w:rsidRPr="001F72E0">
        <w:rPr>
          <w:rFonts w:eastAsia="Times New Roman" w:cs="Arial"/>
          <w:sz w:val="20"/>
          <w:szCs w:val="20"/>
          <w:lang w:eastAsia="en-GB"/>
        </w:rPr>
        <w:t xml:space="preserve"> </w:t>
      </w:r>
    </w:p>
    <w:p w14:paraId="62AABA2C" w14:textId="77777777" w:rsidR="00DD4F8D" w:rsidRPr="001F72E0" w:rsidRDefault="00DD4F8D" w:rsidP="001F72E0">
      <w:pPr>
        <w:spacing w:after="80" w:line="240" w:lineRule="auto"/>
        <w:ind w:left="540" w:hanging="540"/>
        <w:jc w:val="both"/>
        <w:rPr>
          <w:rFonts w:eastAsia="Times New Roman" w:cs="Arial"/>
          <w:sz w:val="20"/>
          <w:szCs w:val="20"/>
          <w:lang w:eastAsia="en-GB"/>
        </w:rPr>
      </w:pPr>
      <w:proofErr w:type="spellStart"/>
      <w:r w:rsidRPr="001F72E0">
        <w:rPr>
          <w:rFonts w:eastAsia="Times New Roman" w:cs="Arial"/>
          <w:sz w:val="20"/>
          <w:szCs w:val="20"/>
          <w:lang w:eastAsia="en-GB"/>
        </w:rPr>
        <w:t>Taquet</w:t>
      </w:r>
      <w:proofErr w:type="spellEnd"/>
      <w:r w:rsidRPr="001F72E0">
        <w:rPr>
          <w:rFonts w:eastAsia="Times New Roman" w:cs="Arial"/>
          <w:sz w:val="20"/>
          <w:szCs w:val="20"/>
          <w:lang w:eastAsia="en-GB"/>
        </w:rPr>
        <w:t xml:space="preserve">, M. (2013) Fish aggregating devices (FADs): good or bad fishing tools? A question of scale and knowledge. </w:t>
      </w:r>
      <w:r w:rsidRPr="001F72E0">
        <w:rPr>
          <w:rFonts w:eastAsia="Times New Roman" w:cs="Arial"/>
          <w:i/>
          <w:iCs/>
          <w:sz w:val="20"/>
          <w:szCs w:val="20"/>
          <w:lang w:eastAsia="en-GB"/>
        </w:rPr>
        <w:t xml:space="preserve">Aquatic Living Resources </w:t>
      </w:r>
      <w:r w:rsidRPr="001F72E0">
        <w:rPr>
          <w:rFonts w:eastAsia="Times New Roman" w:cs="Arial"/>
          <w:sz w:val="20"/>
          <w:szCs w:val="20"/>
          <w:lang w:eastAsia="en-GB"/>
        </w:rPr>
        <w:t>26: 25-35.</w:t>
      </w:r>
    </w:p>
    <w:p w14:paraId="1EFD04CE"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1F72E0">
        <w:rPr>
          <w:rFonts w:eastAsia="Times New Roman" w:cs="Arial"/>
          <w:sz w:val="20"/>
          <w:szCs w:val="20"/>
          <w:lang w:eastAsia="en-GB"/>
        </w:rPr>
        <w:t xml:space="preserve">WCPFC (2022) Conservation and Management Measures (CMMs) and Resolutions of the Western Central Pacific Fisheries Commission (WCPFC). Available at: </w:t>
      </w:r>
      <w:hyperlink r:id="rId44" w:history="1">
        <w:r w:rsidRPr="001F72E0">
          <w:rPr>
            <w:rFonts w:eastAsia="Times New Roman" w:cs="Arial"/>
            <w:color w:val="0563C1"/>
            <w:sz w:val="20"/>
            <w:szCs w:val="20"/>
            <w:u w:val="single"/>
            <w:lang w:eastAsia="en-GB"/>
          </w:rPr>
          <w:t>https://www.wcpfc.int/system/files/booklets/31/CMM%20and%20Resolutions.pdf</w:t>
        </w:r>
      </w:hyperlink>
      <w:r w:rsidRPr="001F72E0">
        <w:rPr>
          <w:rFonts w:eastAsia="Times New Roman" w:cs="Arial"/>
          <w:sz w:val="20"/>
          <w:szCs w:val="20"/>
          <w:lang w:eastAsia="en-GB"/>
        </w:rPr>
        <w:t xml:space="preserve"> </w:t>
      </w:r>
    </w:p>
    <w:p w14:paraId="120650C4" w14:textId="77777777" w:rsidR="00DD4F8D" w:rsidRPr="001F72E0" w:rsidRDefault="00DD4F8D" w:rsidP="001F72E0">
      <w:pPr>
        <w:spacing w:after="80" w:line="240" w:lineRule="auto"/>
        <w:ind w:left="540" w:hanging="540"/>
        <w:jc w:val="both"/>
        <w:rPr>
          <w:rFonts w:eastAsia="Times New Roman" w:cs="Arial"/>
          <w:sz w:val="20"/>
          <w:szCs w:val="20"/>
          <w:lang w:eastAsia="en-GB"/>
        </w:rPr>
      </w:pPr>
      <w:proofErr w:type="spellStart"/>
      <w:r w:rsidRPr="001F72E0">
        <w:rPr>
          <w:rFonts w:eastAsia="Times New Roman" w:cs="Arial"/>
          <w:sz w:val="20"/>
          <w:szCs w:val="20"/>
          <w:lang w:val="fr-FR" w:eastAsia="en-GB"/>
        </w:rPr>
        <w:t>Zudaire</w:t>
      </w:r>
      <w:proofErr w:type="spellEnd"/>
      <w:r w:rsidRPr="001F72E0">
        <w:rPr>
          <w:rFonts w:eastAsia="Times New Roman" w:cs="Arial"/>
          <w:sz w:val="20"/>
          <w:szCs w:val="20"/>
          <w:lang w:val="fr-FR" w:eastAsia="en-GB"/>
        </w:rPr>
        <w:t xml:space="preserve">, I., Santiago, J., Grande, M., et al. </w:t>
      </w:r>
      <w:r w:rsidRPr="001F72E0">
        <w:rPr>
          <w:rFonts w:eastAsia="Times New Roman" w:cs="Arial"/>
          <w:sz w:val="20"/>
          <w:szCs w:val="20"/>
          <w:lang w:eastAsia="en-GB"/>
        </w:rPr>
        <w:t xml:space="preserve">(2018) FAD Watch: a collaborate initiative to minimize the impact of FADs in coastal ecosystems. </w:t>
      </w:r>
      <w:r w:rsidRPr="001F72E0">
        <w:rPr>
          <w:rFonts w:eastAsia="Times New Roman" w:cs="Arial"/>
          <w:i/>
          <w:iCs/>
          <w:sz w:val="20"/>
          <w:szCs w:val="20"/>
          <w:lang w:eastAsia="en-GB"/>
        </w:rPr>
        <w:t>Working Party on Ecosystems and Bycatch</w:t>
      </w:r>
      <w:r w:rsidRPr="001F72E0">
        <w:rPr>
          <w:rFonts w:eastAsia="Times New Roman" w:cs="Arial"/>
          <w:sz w:val="20"/>
          <w:szCs w:val="20"/>
          <w:lang w:eastAsia="en-GB"/>
        </w:rPr>
        <w:t xml:space="preserve">. IOTC-2018-WPEB14-12. </w:t>
      </w:r>
    </w:p>
    <w:p w14:paraId="3AD21FD8" w14:textId="77777777" w:rsidR="00DD4F8D" w:rsidRPr="001F72E0" w:rsidRDefault="00DD4F8D" w:rsidP="001F72E0">
      <w:pPr>
        <w:spacing w:after="80" w:line="240" w:lineRule="auto"/>
        <w:ind w:left="540" w:hanging="540"/>
        <w:jc w:val="both"/>
        <w:rPr>
          <w:rFonts w:eastAsia="Times New Roman" w:cs="Arial"/>
          <w:sz w:val="20"/>
          <w:szCs w:val="20"/>
          <w:lang w:eastAsia="en-GB"/>
        </w:rPr>
      </w:pPr>
      <w:r w:rsidRPr="000E4301">
        <w:rPr>
          <w:rFonts w:eastAsia="Times New Roman" w:cs="Arial"/>
          <w:sz w:val="20"/>
          <w:szCs w:val="20"/>
          <w:lang w:val="en-US" w:eastAsia="en-GB"/>
        </w:rPr>
        <w:t xml:space="preserve">Zudaire, I., Tolotti, M.T., Murua, J., et al. </w:t>
      </w:r>
      <w:r w:rsidRPr="001F72E0">
        <w:rPr>
          <w:rFonts w:eastAsia="Times New Roman" w:cs="Arial"/>
          <w:sz w:val="20"/>
          <w:szCs w:val="20"/>
          <w:lang w:eastAsia="en-GB"/>
        </w:rPr>
        <w:t xml:space="preserve">(2020) Testing designs and identify options to mitigate impacts of drifting fads on the ecosystem. Second Interim Report. European Commission. Specific Contract No. 7 EASME/EMFF/2017/1.3.2.6 under Framework Contract No. EASME/EMFF/2016/008. 193 pp. </w:t>
      </w:r>
    </w:p>
    <w:p w14:paraId="4A0F002D" w14:textId="030BEE07" w:rsidR="00661875" w:rsidRPr="001F72E0" w:rsidRDefault="00661875" w:rsidP="001F72E0">
      <w:pPr>
        <w:spacing w:after="80" w:line="240" w:lineRule="auto"/>
        <w:ind w:left="540" w:hanging="540"/>
        <w:jc w:val="both"/>
        <w:rPr>
          <w:rFonts w:eastAsia="Times New Roman" w:cs="Arial"/>
          <w:sz w:val="20"/>
          <w:szCs w:val="20"/>
          <w:lang w:eastAsia="en-GB"/>
        </w:rPr>
      </w:pPr>
    </w:p>
    <w:sectPr w:rsidR="00661875" w:rsidRPr="001F72E0" w:rsidSect="009D7E04">
      <w:headerReference w:type="first" r:id="rId45"/>
      <w:footerReference w:type="first" r:id="rId46"/>
      <w:pgSz w:w="11906" w:h="16838"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50A88" w14:textId="77777777" w:rsidR="00C8484C" w:rsidRDefault="00C8484C" w:rsidP="002E0DE9">
      <w:pPr>
        <w:spacing w:after="0" w:line="240" w:lineRule="auto"/>
      </w:pPr>
      <w:r>
        <w:separator/>
      </w:r>
    </w:p>
  </w:endnote>
  <w:endnote w:type="continuationSeparator" w:id="0">
    <w:p w14:paraId="73D90E25" w14:textId="77777777" w:rsidR="00C8484C" w:rsidRDefault="00C8484C" w:rsidP="002E0DE9">
      <w:pPr>
        <w:spacing w:after="0" w:line="240" w:lineRule="auto"/>
      </w:pPr>
      <w:r>
        <w:continuationSeparator/>
      </w:r>
    </w:p>
  </w:endnote>
  <w:endnote w:type="continuationNotice" w:id="1">
    <w:p w14:paraId="57E44D16" w14:textId="77777777" w:rsidR="00C8484C" w:rsidRDefault="00C848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78254"/>
      <w:docPartObj>
        <w:docPartGallery w:val="Page Numbers (Bottom of Page)"/>
        <w:docPartUnique/>
      </w:docPartObj>
    </w:sdtPr>
    <w:sdtEndPr>
      <w:rPr>
        <w:noProof/>
        <w:sz w:val="18"/>
        <w:szCs w:val="18"/>
      </w:rPr>
    </w:sdtEndPr>
    <w:sdtContent>
      <w:p w14:paraId="5287CE87" w14:textId="624133BD" w:rsidR="002F7919" w:rsidRPr="002F7919" w:rsidRDefault="002F7919">
        <w:pPr>
          <w:pStyle w:val="Footer"/>
          <w:jc w:val="center"/>
          <w:rPr>
            <w:sz w:val="18"/>
            <w:szCs w:val="18"/>
          </w:rPr>
        </w:pPr>
        <w:r w:rsidRPr="002F7919">
          <w:rPr>
            <w:sz w:val="18"/>
            <w:szCs w:val="18"/>
          </w:rPr>
          <w:fldChar w:fldCharType="begin"/>
        </w:r>
        <w:r w:rsidRPr="002F7919">
          <w:rPr>
            <w:sz w:val="18"/>
            <w:szCs w:val="18"/>
          </w:rPr>
          <w:instrText xml:space="preserve"> PAGE   \* MERGEFORMAT </w:instrText>
        </w:r>
        <w:r w:rsidRPr="002F7919">
          <w:rPr>
            <w:sz w:val="18"/>
            <w:szCs w:val="18"/>
          </w:rPr>
          <w:fldChar w:fldCharType="separate"/>
        </w:r>
        <w:r w:rsidRPr="002F7919">
          <w:rPr>
            <w:noProof/>
            <w:sz w:val="18"/>
            <w:szCs w:val="18"/>
          </w:rPr>
          <w:t>2</w:t>
        </w:r>
        <w:r w:rsidRPr="002F791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467352"/>
      <w:docPartObj>
        <w:docPartGallery w:val="Page Numbers (Bottom of Page)"/>
        <w:docPartUnique/>
      </w:docPartObj>
    </w:sdtPr>
    <w:sdtEndPr>
      <w:rPr>
        <w:noProof/>
        <w:sz w:val="18"/>
        <w:szCs w:val="18"/>
      </w:rPr>
    </w:sdtEndPr>
    <w:sdtContent>
      <w:p w14:paraId="55D44509" w14:textId="5A61B59E" w:rsidR="002F7919" w:rsidRPr="002F7919" w:rsidRDefault="002F7919">
        <w:pPr>
          <w:pStyle w:val="Footer"/>
          <w:jc w:val="center"/>
          <w:rPr>
            <w:sz w:val="18"/>
            <w:szCs w:val="18"/>
          </w:rPr>
        </w:pPr>
        <w:r w:rsidRPr="002F7919">
          <w:rPr>
            <w:sz w:val="18"/>
            <w:szCs w:val="18"/>
          </w:rPr>
          <w:fldChar w:fldCharType="begin"/>
        </w:r>
        <w:r w:rsidRPr="002F7919">
          <w:rPr>
            <w:sz w:val="18"/>
            <w:szCs w:val="18"/>
          </w:rPr>
          <w:instrText xml:space="preserve"> PAGE   \* MERGEFORMAT </w:instrText>
        </w:r>
        <w:r w:rsidRPr="002F7919">
          <w:rPr>
            <w:sz w:val="18"/>
            <w:szCs w:val="18"/>
          </w:rPr>
          <w:fldChar w:fldCharType="separate"/>
        </w:r>
        <w:r w:rsidRPr="002F7919">
          <w:rPr>
            <w:noProof/>
            <w:sz w:val="18"/>
            <w:szCs w:val="18"/>
          </w:rPr>
          <w:t>2</w:t>
        </w:r>
        <w:r w:rsidRPr="002F7919">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94D5" w14:textId="77777777" w:rsidR="000E4301" w:rsidRDefault="000E43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870611"/>
      <w:docPartObj>
        <w:docPartGallery w:val="Page Numbers (Bottom of Page)"/>
        <w:docPartUnique/>
      </w:docPartObj>
    </w:sdtPr>
    <w:sdtEndPr>
      <w:rPr>
        <w:noProof/>
        <w:sz w:val="18"/>
        <w:szCs w:val="18"/>
      </w:rPr>
    </w:sdtEndPr>
    <w:sdtContent>
      <w:p w14:paraId="4E533F86" w14:textId="0AE2534D" w:rsidR="001F72E0" w:rsidRPr="001F72E0" w:rsidRDefault="001F72E0">
        <w:pPr>
          <w:pStyle w:val="Footer"/>
          <w:jc w:val="center"/>
          <w:rPr>
            <w:sz w:val="18"/>
            <w:szCs w:val="18"/>
          </w:rPr>
        </w:pPr>
        <w:r w:rsidRPr="001F72E0">
          <w:rPr>
            <w:sz w:val="18"/>
            <w:szCs w:val="18"/>
          </w:rPr>
          <w:fldChar w:fldCharType="begin"/>
        </w:r>
        <w:r w:rsidRPr="001F72E0">
          <w:rPr>
            <w:sz w:val="18"/>
            <w:szCs w:val="18"/>
          </w:rPr>
          <w:instrText xml:space="preserve"> PAGE   \* MERGEFORMAT </w:instrText>
        </w:r>
        <w:r w:rsidRPr="001F72E0">
          <w:rPr>
            <w:sz w:val="18"/>
            <w:szCs w:val="18"/>
          </w:rPr>
          <w:fldChar w:fldCharType="separate"/>
        </w:r>
        <w:r w:rsidRPr="001F72E0">
          <w:rPr>
            <w:noProof/>
            <w:sz w:val="18"/>
            <w:szCs w:val="18"/>
          </w:rPr>
          <w:t>2</w:t>
        </w:r>
        <w:r w:rsidRPr="001F72E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E850C" w14:textId="77777777" w:rsidR="00C8484C" w:rsidRDefault="00C8484C" w:rsidP="002E0DE9">
      <w:pPr>
        <w:spacing w:after="0" w:line="240" w:lineRule="auto"/>
      </w:pPr>
      <w:r>
        <w:separator/>
      </w:r>
    </w:p>
  </w:footnote>
  <w:footnote w:type="continuationSeparator" w:id="0">
    <w:p w14:paraId="3827490D" w14:textId="77777777" w:rsidR="00C8484C" w:rsidRDefault="00C8484C" w:rsidP="002E0DE9">
      <w:pPr>
        <w:spacing w:after="0" w:line="240" w:lineRule="auto"/>
      </w:pPr>
      <w:r>
        <w:continuationSeparator/>
      </w:r>
    </w:p>
  </w:footnote>
  <w:footnote w:type="continuationNotice" w:id="1">
    <w:p w14:paraId="31CF843E" w14:textId="77777777" w:rsidR="00C8484C" w:rsidRDefault="00C8484C">
      <w:pPr>
        <w:spacing w:after="0" w:line="240" w:lineRule="auto"/>
      </w:pPr>
    </w:p>
  </w:footnote>
  <w:footnote w:id="2">
    <w:p w14:paraId="284C19D0" w14:textId="77777777" w:rsidR="00DD4F8D" w:rsidRPr="005B0263" w:rsidRDefault="00DD4F8D" w:rsidP="00DD4F8D">
      <w:pPr>
        <w:pStyle w:val="FootnoteText"/>
        <w:rPr>
          <w:rFonts w:cs="Arial"/>
          <w:sz w:val="16"/>
          <w:szCs w:val="16"/>
        </w:rPr>
      </w:pPr>
      <w:r w:rsidRPr="005B0263">
        <w:rPr>
          <w:rStyle w:val="FootnoteReference"/>
          <w:rFonts w:cs="Arial"/>
          <w:sz w:val="16"/>
          <w:szCs w:val="16"/>
        </w:rPr>
        <w:footnoteRef/>
      </w:r>
      <w:r w:rsidRPr="005B0263">
        <w:rPr>
          <w:rFonts w:cs="Arial"/>
          <w:sz w:val="16"/>
          <w:szCs w:val="16"/>
        </w:rPr>
        <w:t xml:space="preserve"> Data for 2019 (10,373 dFADs) and 2020 (8,586 dFADs) were marked as preliminary.</w:t>
      </w:r>
    </w:p>
  </w:footnote>
  <w:footnote w:id="3">
    <w:p w14:paraId="0A87190E" w14:textId="77777777" w:rsidR="00DD4F8D" w:rsidRPr="005B0263" w:rsidRDefault="00DD4F8D" w:rsidP="00DD4F8D">
      <w:pPr>
        <w:pStyle w:val="pf0"/>
        <w:spacing w:before="0" w:beforeAutospacing="0" w:after="0" w:afterAutospacing="0"/>
        <w:rPr>
          <w:rFonts w:ascii="Arial" w:hAnsi="Arial" w:cs="Arial"/>
          <w:sz w:val="16"/>
          <w:szCs w:val="16"/>
          <w:lang w:val="en-US"/>
        </w:rPr>
      </w:pPr>
      <w:r w:rsidRPr="005B0263">
        <w:rPr>
          <w:rStyle w:val="FootnoteReference"/>
          <w:rFonts w:ascii="Arial" w:hAnsi="Arial" w:cs="Arial"/>
          <w:sz w:val="16"/>
          <w:szCs w:val="16"/>
        </w:rPr>
        <w:footnoteRef/>
      </w:r>
      <w:r w:rsidRPr="005B0263">
        <w:rPr>
          <w:rFonts w:ascii="Arial" w:hAnsi="Arial" w:cs="Arial"/>
          <w:sz w:val="16"/>
          <w:szCs w:val="16"/>
        </w:rPr>
        <w:t xml:space="preserve"> </w:t>
      </w:r>
      <w:r w:rsidRPr="005B0263">
        <w:rPr>
          <w:rStyle w:val="cf01"/>
          <w:rFonts w:ascii="Arial" w:hAnsi="Arial" w:cs="Arial"/>
          <w:sz w:val="16"/>
          <w:szCs w:val="16"/>
        </w:rPr>
        <w:t>Escalle et al (2020) “considered that a FAD was abandoned when drifting outside the fishing ground of the company owning it (where the majority of that company’s vessels were fishing).”</w:t>
      </w:r>
    </w:p>
  </w:footnote>
  <w:footnote w:id="4">
    <w:p w14:paraId="7BD8F56A" w14:textId="77777777" w:rsidR="00DD4F8D" w:rsidRPr="005B0263" w:rsidRDefault="00DD4F8D" w:rsidP="00DD4F8D">
      <w:pPr>
        <w:pStyle w:val="FootnoteText"/>
        <w:rPr>
          <w:rFonts w:cs="Arial"/>
          <w:sz w:val="16"/>
          <w:szCs w:val="16"/>
        </w:rPr>
      </w:pPr>
      <w:r w:rsidRPr="005B0263">
        <w:rPr>
          <w:rStyle w:val="FootnoteReference"/>
          <w:rFonts w:cs="Arial"/>
          <w:sz w:val="16"/>
          <w:szCs w:val="16"/>
        </w:rPr>
        <w:footnoteRef/>
      </w:r>
      <w:r w:rsidRPr="005B0263">
        <w:rPr>
          <w:rFonts w:cs="Arial"/>
          <w:sz w:val="16"/>
          <w:szCs w:val="16"/>
        </w:rPr>
        <w:t xml:space="preserve"> </w:t>
      </w:r>
      <w:hyperlink r:id="rId1" w:history="1">
        <w:r w:rsidRPr="00A02A3E">
          <w:rPr>
            <w:rStyle w:val="Hyperlink"/>
            <w:rFonts w:cs="Arial"/>
            <w:sz w:val="16"/>
            <w:szCs w:val="16"/>
          </w:rPr>
          <w:t>https://cites.org/eng/app/appendices.php</w:t>
        </w:r>
      </w:hyperlink>
      <w:r>
        <w:rPr>
          <w:rFonts w:cs="Arial"/>
          <w:sz w:val="16"/>
          <w:szCs w:val="16"/>
        </w:rPr>
        <w:t xml:space="preserve"> </w:t>
      </w:r>
    </w:p>
  </w:footnote>
  <w:footnote w:id="5">
    <w:p w14:paraId="4D4BE0B6" w14:textId="77777777" w:rsidR="00DD4F8D" w:rsidRDefault="00DD4F8D" w:rsidP="00DD4F8D">
      <w:pPr>
        <w:pStyle w:val="FootnoteText"/>
      </w:pPr>
      <w:r w:rsidRPr="005B0263">
        <w:rPr>
          <w:rStyle w:val="FootnoteReference"/>
          <w:rFonts w:cs="Arial"/>
          <w:sz w:val="16"/>
          <w:szCs w:val="16"/>
        </w:rPr>
        <w:footnoteRef/>
      </w:r>
      <w:r w:rsidRPr="005B0263">
        <w:rPr>
          <w:rFonts w:cs="Arial"/>
          <w:sz w:val="16"/>
          <w:szCs w:val="16"/>
        </w:rPr>
        <w:t xml:space="preserve"> </w:t>
      </w:r>
      <w:hyperlink r:id="rId2" w:history="1">
        <w:r w:rsidRPr="00A02A3E">
          <w:rPr>
            <w:rStyle w:val="Hyperlink"/>
            <w:rFonts w:cs="Arial"/>
            <w:sz w:val="16"/>
            <w:szCs w:val="16"/>
          </w:rPr>
          <w:t>https://www.cms.int/sites/default/files/basic_page_documents/appendices_cop13_e_0.pdf</w:t>
        </w:r>
      </w:hyperlink>
      <w:r>
        <w:rPr>
          <w:rFonts w:cs="Arial"/>
          <w:sz w:val="16"/>
          <w:szCs w:val="16"/>
        </w:rPr>
        <w:t xml:space="preserve"> </w:t>
      </w:r>
    </w:p>
  </w:footnote>
  <w:footnote w:id="6">
    <w:p w14:paraId="72F89409" w14:textId="77777777" w:rsidR="00DD4F8D" w:rsidRPr="005B0263" w:rsidRDefault="00DD4F8D" w:rsidP="00DD4F8D">
      <w:pPr>
        <w:pStyle w:val="FootnoteText"/>
        <w:rPr>
          <w:rFonts w:cs="Arial"/>
        </w:rPr>
      </w:pPr>
      <w:r w:rsidRPr="005B0263">
        <w:rPr>
          <w:rStyle w:val="FootnoteReference"/>
          <w:rFonts w:cs="Arial"/>
          <w:sz w:val="16"/>
          <w:szCs w:val="16"/>
        </w:rPr>
        <w:footnoteRef/>
      </w:r>
      <w:r w:rsidRPr="005B0263">
        <w:rPr>
          <w:rFonts w:cs="Arial"/>
          <w:sz w:val="16"/>
          <w:szCs w:val="16"/>
        </w:rPr>
        <w:t xml:space="preserve"> These were not identified to species level. It is possible that they refer to dolphins.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0904" w14:textId="40FE4963" w:rsidR="00DD4F8D" w:rsidRPr="002843F5" w:rsidRDefault="00DD4F8D" w:rsidP="006E39B4">
    <w:pPr>
      <w:pStyle w:val="Header"/>
      <w:pBdr>
        <w:bottom w:val="single" w:sz="4" w:space="1" w:color="auto"/>
      </w:pBdr>
      <w:rPr>
        <w:rFonts w:cs="Arial"/>
        <w:i/>
        <w:sz w:val="18"/>
        <w:szCs w:val="18"/>
        <w:lang w:val="de-DE"/>
      </w:rPr>
    </w:pPr>
    <w:bookmarkStart w:id="13" w:name="_Hlk138338517"/>
    <w:bookmarkStart w:id="14" w:name="_Hlk138338518"/>
    <w:r w:rsidRPr="002843F5">
      <w:rPr>
        <w:rFonts w:cs="Arial"/>
        <w:i/>
        <w:sz w:val="18"/>
        <w:szCs w:val="18"/>
        <w:lang w:val="de-DE"/>
      </w:rPr>
      <w:t>UNEP/CMS/COP14/</w:t>
    </w:r>
    <w:r w:rsidR="0013700C">
      <w:rPr>
        <w:rFonts w:cs="Arial"/>
        <w:i/>
        <w:sz w:val="18"/>
        <w:szCs w:val="18"/>
        <w:lang w:val="de-DE"/>
      </w:rPr>
      <w:t>Doc</w:t>
    </w:r>
    <w:r w:rsidRPr="002843F5">
      <w:rPr>
        <w:rFonts w:cs="Arial"/>
        <w:i/>
        <w:sz w:val="18"/>
        <w:szCs w:val="18"/>
        <w:lang w:val="de-DE"/>
      </w:rPr>
      <w:t>.</w:t>
    </w:r>
    <w:r w:rsidR="003B3E6D">
      <w:rPr>
        <w:rFonts w:cs="Arial"/>
        <w:i/>
        <w:sz w:val="18"/>
        <w:szCs w:val="18"/>
        <w:lang w:val="de-DE"/>
      </w:rPr>
      <w:t>27.1.2</w:t>
    </w:r>
    <w:r w:rsidR="0013700C">
      <w:rPr>
        <w:rFonts w:cs="Arial"/>
        <w:i/>
        <w:sz w:val="18"/>
        <w:szCs w:val="18"/>
        <w:lang w:val="de-DE"/>
      </w:rPr>
      <w:t>/Annex 1</w:t>
    </w:r>
    <w:bookmarkEnd w:id="13"/>
    <w:bookmarkEnd w:id="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D978" w14:textId="7F9392CC" w:rsidR="00DD4F8D" w:rsidRPr="002843F5" w:rsidRDefault="00DD4F8D" w:rsidP="006E39B4">
    <w:pPr>
      <w:pStyle w:val="Header"/>
      <w:pBdr>
        <w:bottom w:val="single" w:sz="4" w:space="1" w:color="auto"/>
      </w:pBdr>
      <w:jc w:val="right"/>
      <w:rPr>
        <w:rFonts w:cs="Arial"/>
        <w:i/>
        <w:sz w:val="18"/>
        <w:szCs w:val="18"/>
        <w:lang w:val="de-DE"/>
      </w:rPr>
    </w:pPr>
    <w:r w:rsidRPr="002843F5">
      <w:rPr>
        <w:rFonts w:cs="Arial"/>
        <w:i/>
        <w:sz w:val="18"/>
        <w:szCs w:val="18"/>
        <w:lang w:val="de-DE"/>
      </w:rPr>
      <w:t>UNEP/CMS/COP14/</w:t>
    </w:r>
    <w:r w:rsidR="0013700C">
      <w:rPr>
        <w:rFonts w:cs="Arial"/>
        <w:i/>
        <w:sz w:val="18"/>
        <w:szCs w:val="18"/>
        <w:lang w:val="de-DE"/>
      </w:rPr>
      <w:t>Doc</w:t>
    </w:r>
    <w:r w:rsidR="003B3E6D" w:rsidRPr="002843F5">
      <w:rPr>
        <w:rFonts w:cs="Arial"/>
        <w:i/>
        <w:sz w:val="18"/>
        <w:szCs w:val="18"/>
        <w:lang w:val="de-DE"/>
      </w:rPr>
      <w:t>.</w:t>
    </w:r>
    <w:r w:rsidR="003B3E6D">
      <w:rPr>
        <w:rFonts w:cs="Arial"/>
        <w:i/>
        <w:sz w:val="18"/>
        <w:szCs w:val="18"/>
        <w:lang w:val="de-DE"/>
      </w:rPr>
      <w:t>27.1.2</w:t>
    </w:r>
    <w:r w:rsidR="0013700C">
      <w:rPr>
        <w:rFonts w:cs="Arial"/>
        <w:i/>
        <w:sz w:val="18"/>
        <w:szCs w:val="18"/>
        <w:lang w:val="de-DE"/>
      </w:rPr>
      <w:t>/Annex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BE5C" w14:textId="77777777" w:rsidR="000E4301" w:rsidRPr="002843F5" w:rsidRDefault="000E4301" w:rsidP="000E4301">
    <w:pPr>
      <w:pStyle w:val="Header"/>
      <w:pBdr>
        <w:bottom w:val="single" w:sz="4" w:space="1" w:color="auto"/>
      </w:pBdr>
      <w:jc w:val="right"/>
      <w:rPr>
        <w:rFonts w:cs="Arial"/>
        <w:i/>
        <w:sz w:val="18"/>
        <w:szCs w:val="18"/>
        <w:lang w:val="de-DE"/>
      </w:rPr>
    </w:pPr>
    <w:r w:rsidRPr="002843F5">
      <w:rPr>
        <w:rFonts w:cs="Arial"/>
        <w:i/>
        <w:sz w:val="18"/>
        <w:szCs w:val="18"/>
        <w:lang w:val="de-DE"/>
      </w:rPr>
      <w:t>UNEP/CMS/COP14/</w:t>
    </w:r>
    <w:r>
      <w:rPr>
        <w:rFonts w:cs="Arial"/>
        <w:i/>
        <w:sz w:val="18"/>
        <w:szCs w:val="18"/>
        <w:lang w:val="de-DE"/>
      </w:rPr>
      <w:t>Doc</w:t>
    </w:r>
    <w:r w:rsidRPr="002843F5">
      <w:rPr>
        <w:rFonts w:cs="Arial"/>
        <w:i/>
        <w:sz w:val="18"/>
        <w:szCs w:val="18"/>
        <w:lang w:val="de-DE"/>
      </w:rPr>
      <w:t>.</w:t>
    </w:r>
    <w:r>
      <w:rPr>
        <w:rFonts w:cs="Arial"/>
        <w:i/>
        <w:sz w:val="18"/>
        <w:szCs w:val="18"/>
        <w:lang w:val="de-DE"/>
      </w:rPr>
      <w:t>27.1.2/Annex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85DA" w14:textId="56856B7A" w:rsidR="003468C7" w:rsidRPr="00661875" w:rsidRDefault="003468C7" w:rsidP="001F72E0">
    <w:pPr>
      <w:pStyle w:val="Header"/>
      <w:pBdr>
        <w:bottom w:val="single" w:sz="4" w:space="1" w:color="auto"/>
      </w:pBdr>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w:t>
    </w:r>
    <w:r w:rsidR="0013700C">
      <w:rPr>
        <w:rFonts w:cs="Arial"/>
        <w:i/>
        <w:sz w:val="18"/>
        <w:szCs w:val="18"/>
        <w:lang w:val="de-DE"/>
      </w:rPr>
      <w:t>Doc.27.1.2/Annex 1</w:t>
    </w:r>
    <w:r w:rsidRPr="003468C7">
      <w:rPr>
        <w:rFonts w:cs="Arial"/>
        <w:i/>
        <w:sz w:val="18"/>
        <w:szCs w:val="18"/>
        <w:lang w:val="de-DE"/>
      </w:rPr>
      <w:t xml:space="preserve">  </w:t>
    </w:r>
  </w:p>
  <w:p w14:paraId="3A50FA74" w14:textId="77777777" w:rsidR="003468C7" w:rsidRPr="002E0DE9" w:rsidRDefault="003468C7" w:rsidP="00661875">
    <w:pPr>
      <w:tabs>
        <w:tab w:val="center" w:pos="4680"/>
        <w:tab w:val="right" w:pos="9360"/>
      </w:tabs>
      <w:suppressAutoHyphens/>
      <w:autoSpaceDN w:val="0"/>
      <w:spacing w:after="0" w:line="240" w:lineRule="auto"/>
      <w:ind w:right="-547"/>
      <w:textAlignment w:val="baseline"/>
      <w:rPr>
        <w:rFonts w:ascii="Calibri" w:eastAsia="Calibri" w:hAnsi="Calibri"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8CF"/>
    <w:multiLevelType w:val="hybridMultilevel"/>
    <w:tmpl w:val="B948A8D0"/>
    <w:lvl w:ilvl="0" w:tplc="20000017">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9245BE"/>
    <w:multiLevelType w:val="hybridMultilevel"/>
    <w:tmpl w:val="591A9FE8"/>
    <w:lvl w:ilvl="0" w:tplc="1F463DA8">
      <w:start w:val="1"/>
      <w:numFmt w:val="upperLetter"/>
      <w:pStyle w:val="FourthnumberingA"/>
      <w:lvlText w:val="%1."/>
      <w:lvlJc w:val="righ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 w15:restartNumberingAfterBreak="0">
    <w:nsid w:val="1A224C00"/>
    <w:multiLevelType w:val="hybridMultilevel"/>
    <w:tmpl w:val="7DAE170C"/>
    <w:lvl w:ilvl="0" w:tplc="125825B2">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DF48E4"/>
    <w:multiLevelType w:val="hybridMultilevel"/>
    <w:tmpl w:val="86841666"/>
    <w:lvl w:ilvl="0" w:tplc="93A4A280">
      <w:start w:val="1"/>
      <w:numFmt w:val="lowerLetter"/>
      <w:pStyle w:val="Secondnumbering"/>
      <w:lvlText w:val="%1)."/>
      <w:lvlJc w:val="righ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50853875"/>
    <w:multiLevelType w:val="hybridMultilevel"/>
    <w:tmpl w:val="E4ECB920"/>
    <w:lvl w:ilvl="0" w:tplc="20000017">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1A62060"/>
    <w:multiLevelType w:val="hybridMultilevel"/>
    <w:tmpl w:val="E45C30C4"/>
    <w:lvl w:ilvl="0" w:tplc="5046ED82">
      <w:start w:val="1"/>
      <w:numFmt w:val="lowerRoman"/>
      <w:pStyle w:val="Thirdnumberingi"/>
      <w:lvlText w:val="%1)."/>
      <w:lvlJc w:val="right"/>
      <w:pPr>
        <w:ind w:left="2001" w:hanging="360"/>
      </w:pPr>
      <w:rPr>
        <w:rFonts w:hint="default"/>
      </w:rPr>
    </w:lvl>
    <w:lvl w:ilvl="1" w:tplc="04090019" w:tentative="1">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6" w15:restartNumberingAfterBreak="0">
    <w:nsid w:val="60764D84"/>
    <w:multiLevelType w:val="hybridMultilevel"/>
    <w:tmpl w:val="DB4A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B30392"/>
    <w:multiLevelType w:val="hybridMultilevel"/>
    <w:tmpl w:val="DB1A317A"/>
    <w:lvl w:ilvl="0" w:tplc="90442228">
      <w:start w:val="1"/>
      <w:numFmt w:val="decimal"/>
      <w:pStyle w:val="Firstnumbering"/>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272B45"/>
    <w:multiLevelType w:val="hybridMultilevel"/>
    <w:tmpl w:val="62BEAF8E"/>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num w:numId="1" w16cid:durableId="1620141094">
    <w:abstractNumId w:val="7"/>
  </w:num>
  <w:num w:numId="2" w16cid:durableId="762184874">
    <w:abstractNumId w:val="3"/>
  </w:num>
  <w:num w:numId="3" w16cid:durableId="2076468786">
    <w:abstractNumId w:val="5"/>
  </w:num>
  <w:num w:numId="4" w16cid:durableId="657264745">
    <w:abstractNumId w:val="1"/>
  </w:num>
  <w:num w:numId="5" w16cid:durableId="961615291">
    <w:abstractNumId w:val="6"/>
  </w:num>
  <w:num w:numId="6" w16cid:durableId="1811239441">
    <w:abstractNumId w:val="8"/>
  </w:num>
  <w:num w:numId="7" w16cid:durableId="827939936">
    <w:abstractNumId w:val="2"/>
  </w:num>
  <w:num w:numId="8" w16cid:durableId="194117663">
    <w:abstractNumId w:val="0"/>
  </w:num>
  <w:num w:numId="9" w16cid:durableId="50529345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97"/>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E9"/>
    <w:rsid w:val="00000940"/>
    <w:rsid w:val="00001773"/>
    <w:rsid w:val="0000312F"/>
    <w:rsid w:val="00004428"/>
    <w:rsid w:val="00006DB0"/>
    <w:rsid w:val="00006ED9"/>
    <w:rsid w:val="0001212C"/>
    <w:rsid w:val="00013718"/>
    <w:rsid w:val="000177E5"/>
    <w:rsid w:val="0001796B"/>
    <w:rsid w:val="0002094E"/>
    <w:rsid w:val="00021B8A"/>
    <w:rsid w:val="0002477E"/>
    <w:rsid w:val="00025717"/>
    <w:rsid w:val="0002575D"/>
    <w:rsid w:val="00025EE0"/>
    <w:rsid w:val="000279CB"/>
    <w:rsid w:val="00034AFB"/>
    <w:rsid w:val="000415A6"/>
    <w:rsid w:val="00042250"/>
    <w:rsid w:val="00043195"/>
    <w:rsid w:val="000461C6"/>
    <w:rsid w:val="00047A4A"/>
    <w:rsid w:val="00050B8A"/>
    <w:rsid w:val="00050C8D"/>
    <w:rsid w:val="000512E8"/>
    <w:rsid w:val="000537B3"/>
    <w:rsid w:val="00053FD4"/>
    <w:rsid w:val="00055E01"/>
    <w:rsid w:val="00060931"/>
    <w:rsid w:val="00062463"/>
    <w:rsid w:val="000624CC"/>
    <w:rsid w:val="000634C4"/>
    <w:rsid w:val="00067285"/>
    <w:rsid w:val="00071A44"/>
    <w:rsid w:val="0007662E"/>
    <w:rsid w:val="000810C0"/>
    <w:rsid w:val="0008142B"/>
    <w:rsid w:val="00084390"/>
    <w:rsid w:val="00084A15"/>
    <w:rsid w:val="00086018"/>
    <w:rsid w:val="00086262"/>
    <w:rsid w:val="00090B0D"/>
    <w:rsid w:val="000A0018"/>
    <w:rsid w:val="000A2424"/>
    <w:rsid w:val="000B5AAE"/>
    <w:rsid w:val="000C0D9C"/>
    <w:rsid w:val="000C349E"/>
    <w:rsid w:val="000C3E2F"/>
    <w:rsid w:val="000C7043"/>
    <w:rsid w:val="000C76C0"/>
    <w:rsid w:val="000D0818"/>
    <w:rsid w:val="000D2B05"/>
    <w:rsid w:val="000D318F"/>
    <w:rsid w:val="000D5675"/>
    <w:rsid w:val="000D6DE6"/>
    <w:rsid w:val="000D73F8"/>
    <w:rsid w:val="000E1027"/>
    <w:rsid w:val="000E4301"/>
    <w:rsid w:val="000E7369"/>
    <w:rsid w:val="000E7C69"/>
    <w:rsid w:val="000E7DAF"/>
    <w:rsid w:val="000F05ED"/>
    <w:rsid w:val="000F3513"/>
    <w:rsid w:val="000F44BA"/>
    <w:rsid w:val="00100948"/>
    <w:rsid w:val="00100961"/>
    <w:rsid w:val="001021AE"/>
    <w:rsid w:val="001024C4"/>
    <w:rsid w:val="00106C06"/>
    <w:rsid w:val="00111CC9"/>
    <w:rsid w:val="00116A47"/>
    <w:rsid w:val="001173CE"/>
    <w:rsid w:val="0011751B"/>
    <w:rsid w:val="0012043E"/>
    <w:rsid w:val="00120C27"/>
    <w:rsid w:val="0012543F"/>
    <w:rsid w:val="00126A6A"/>
    <w:rsid w:val="0012700D"/>
    <w:rsid w:val="00133227"/>
    <w:rsid w:val="0013434A"/>
    <w:rsid w:val="0013490B"/>
    <w:rsid w:val="00135446"/>
    <w:rsid w:val="0013700C"/>
    <w:rsid w:val="00140E7E"/>
    <w:rsid w:val="0014111F"/>
    <w:rsid w:val="0014281F"/>
    <w:rsid w:val="00143191"/>
    <w:rsid w:val="00147F8A"/>
    <w:rsid w:val="00150969"/>
    <w:rsid w:val="00154A56"/>
    <w:rsid w:val="00154B95"/>
    <w:rsid w:val="00162443"/>
    <w:rsid w:val="00163E23"/>
    <w:rsid w:val="00163E4F"/>
    <w:rsid w:val="00165B1D"/>
    <w:rsid w:val="00167A30"/>
    <w:rsid w:val="0017011C"/>
    <w:rsid w:val="0017266D"/>
    <w:rsid w:val="00173EF0"/>
    <w:rsid w:val="00174204"/>
    <w:rsid w:val="00175847"/>
    <w:rsid w:val="001806AA"/>
    <w:rsid w:val="00181640"/>
    <w:rsid w:val="001824A4"/>
    <w:rsid w:val="001841AE"/>
    <w:rsid w:val="001841B5"/>
    <w:rsid w:val="00184B49"/>
    <w:rsid w:val="00187CDD"/>
    <w:rsid w:val="001912FD"/>
    <w:rsid w:val="00195247"/>
    <w:rsid w:val="001969E1"/>
    <w:rsid w:val="00197417"/>
    <w:rsid w:val="00197C31"/>
    <w:rsid w:val="001A1D5E"/>
    <w:rsid w:val="001A2180"/>
    <w:rsid w:val="001A2ED9"/>
    <w:rsid w:val="001A5917"/>
    <w:rsid w:val="001A5B3F"/>
    <w:rsid w:val="001A707E"/>
    <w:rsid w:val="001A79DF"/>
    <w:rsid w:val="001A7FF5"/>
    <w:rsid w:val="001B05DF"/>
    <w:rsid w:val="001B1A8B"/>
    <w:rsid w:val="001B2190"/>
    <w:rsid w:val="001B3B81"/>
    <w:rsid w:val="001B4668"/>
    <w:rsid w:val="001B6B23"/>
    <w:rsid w:val="001C2A7C"/>
    <w:rsid w:val="001C4E11"/>
    <w:rsid w:val="001C740F"/>
    <w:rsid w:val="001D01D6"/>
    <w:rsid w:val="001D4293"/>
    <w:rsid w:val="001D4997"/>
    <w:rsid w:val="001D5BD4"/>
    <w:rsid w:val="001E24B5"/>
    <w:rsid w:val="001E7270"/>
    <w:rsid w:val="001F2A5E"/>
    <w:rsid w:val="001F5994"/>
    <w:rsid w:val="001F5F73"/>
    <w:rsid w:val="001F72E0"/>
    <w:rsid w:val="00200D44"/>
    <w:rsid w:val="0020199B"/>
    <w:rsid w:val="00201DFA"/>
    <w:rsid w:val="00202FAA"/>
    <w:rsid w:val="0020414F"/>
    <w:rsid w:val="00205820"/>
    <w:rsid w:val="00205BE4"/>
    <w:rsid w:val="00210130"/>
    <w:rsid w:val="00217192"/>
    <w:rsid w:val="00223153"/>
    <w:rsid w:val="0022458F"/>
    <w:rsid w:val="00224CB4"/>
    <w:rsid w:val="00226153"/>
    <w:rsid w:val="00227DA0"/>
    <w:rsid w:val="00230ADA"/>
    <w:rsid w:val="00230B7A"/>
    <w:rsid w:val="00233881"/>
    <w:rsid w:val="00240599"/>
    <w:rsid w:val="00240F90"/>
    <w:rsid w:val="00241728"/>
    <w:rsid w:val="002449E3"/>
    <w:rsid w:val="00246390"/>
    <w:rsid w:val="002562F5"/>
    <w:rsid w:val="00256E8D"/>
    <w:rsid w:val="00260E43"/>
    <w:rsid w:val="002615E6"/>
    <w:rsid w:val="0026172C"/>
    <w:rsid w:val="00271C47"/>
    <w:rsid w:val="00272234"/>
    <w:rsid w:val="00274DED"/>
    <w:rsid w:val="0027617B"/>
    <w:rsid w:val="00276599"/>
    <w:rsid w:val="00280A1B"/>
    <w:rsid w:val="00281B9F"/>
    <w:rsid w:val="002829D9"/>
    <w:rsid w:val="002832AF"/>
    <w:rsid w:val="002837AF"/>
    <w:rsid w:val="00284F2A"/>
    <w:rsid w:val="00285616"/>
    <w:rsid w:val="00285663"/>
    <w:rsid w:val="002908E0"/>
    <w:rsid w:val="00296DF5"/>
    <w:rsid w:val="00297F6C"/>
    <w:rsid w:val="00297F7B"/>
    <w:rsid w:val="002A012C"/>
    <w:rsid w:val="002A3A9C"/>
    <w:rsid w:val="002A5124"/>
    <w:rsid w:val="002A597C"/>
    <w:rsid w:val="002A65AE"/>
    <w:rsid w:val="002B23AA"/>
    <w:rsid w:val="002B2C94"/>
    <w:rsid w:val="002B2CD7"/>
    <w:rsid w:val="002C01B3"/>
    <w:rsid w:val="002C0A36"/>
    <w:rsid w:val="002C0BB2"/>
    <w:rsid w:val="002C2234"/>
    <w:rsid w:val="002C23C7"/>
    <w:rsid w:val="002C37F3"/>
    <w:rsid w:val="002C6BD6"/>
    <w:rsid w:val="002C7679"/>
    <w:rsid w:val="002D6582"/>
    <w:rsid w:val="002E0DE9"/>
    <w:rsid w:val="002F0651"/>
    <w:rsid w:val="002F5381"/>
    <w:rsid w:val="002F78EF"/>
    <w:rsid w:val="002F7919"/>
    <w:rsid w:val="00300501"/>
    <w:rsid w:val="003009CE"/>
    <w:rsid w:val="00301EA9"/>
    <w:rsid w:val="00303924"/>
    <w:rsid w:val="00304669"/>
    <w:rsid w:val="0030534A"/>
    <w:rsid w:val="00310B43"/>
    <w:rsid w:val="00316865"/>
    <w:rsid w:val="00317982"/>
    <w:rsid w:val="00320F64"/>
    <w:rsid w:val="003217F1"/>
    <w:rsid w:val="00322248"/>
    <w:rsid w:val="003238E9"/>
    <w:rsid w:val="003241D9"/>
    <w:rsid w:val="003254AF"/>
    <w:rsid w:val="00325CF0"/>
    <w:rsid w:val="00327443"/>
    <w:rsid w:val="003277AF"/>
    <w:rsid w:val="00335289"/>
    <w:rsid w:val="003371F8"/>
    <w:rsid w:val="00337430"/>
    <w:rsid w:val="00340533"/>
    <w:rsid w:val="00340F24"/>
    <w:rsid w:val="00341ED1"/>
    <w:rsid w:val="00343063"/>
    <w:rsid w:val="00343CF9"/>
    <w:rsid w:val="00346605"/>
    <w:rsid w:val="00346828"/>
    <w:rsid w:val="003468C7"/>
    <w:rsid w:val="00350B0B"/>
    <w:rsid w:val="00352FBA"/>
    <w:rsid w:val="00354239"/>
    <w:rsid w:val="0035643F"/>
    <w:rsid w:val="00356F6F"/>
    <w:rsid w:val="00360838"/>
    <w:rsid w:val="00364C9F"/>
    <w:rsid w:val="003669D2"/>
    <w:rsid w:val="00371DE1"/>
    <w:rsid w:val="00377062"/>
    <w:rsid w:val="00382DEC"/>
    <w:rsid w:val="00382E48"/>
    <w:rsid w:val="00383651"/>
    <w:rsid w:val="00385DCA"/>
    <w:rsid w:val="003904BC"/>
    <w:rsid w:val="00390D85"/>
    <w:rsid w:val="00392513"/>
    <w:rsid w:val="0039629A"/>
    <w:rsid w:val="00397078"/>
    <w:rsid w:val="003A32E0"/>
    <w:rsid w:val="003B00E8"/>
    <w:rsid w:val="003B0A59"/>
    <w:rsid w:val="003B252F"/>
    <w:rsid w:val="003B3E6D"/>
    <w:rsid w:val="003B75DD"/>
    <w:rsid w:val="003B7A50"/>
    <w:rsid w:val="003C04CC"/>
    <w:rsid w:val="003C4241"/>
    <w:rsid w:val="003C6BD7"/>
    <w:rsid w:val="003C74FA"/>
    <w:rsid w:val="003D3794"/>
    <w:rsid w:val="003E0F1E"/>
    <w:rsid w:val="003E257A"/>
    <w:rsid w:val="003E3C1B"/>
    <w:rsid w:val="003E69DF"/>
    <w:rsid w:val="003F1294"/>
    <w:rsid w:val="003F3F8C"/>
    <w:rsid w:val="003F5BAD"/>
    <w:rsid w:val="00402444"/>
    <w:rsid w:val="004046EA"/>
    <w:rsid w:val="00406B4C"/>
    <w:rsid w:val="00406F15"/>
    <w:rsid w:val="004108CF"/>
    <w:rsid w:val="004115EE"/>
    <w:rsid w:val="004131E5"/>
    <w:rsid w:val="004133C7"/>
    <w:rsid w:val="00413EB7"/>
    <w:rsid w:val="00417AB1"/>
    <w:rsid w:val="00424D1D"/>
    <w:rsid w:val="00424F87"/>
    <w:rsid w:val="0042632E"/>
    <w:rsid w:val="00426525"/>
    <w:rsid w:val="00426C56"/>
    <w:rsid w:val="00432A45"/>
    <w:rsid w:val="00434813"/>
    <w:rsid w:val="00442EA7"/>
    <w:rsid w:val="00444E05"/>
    <w:rsid w:val="004467C3"/>
    <w:rsid w:val="00447392"/>
    <w:rsid w:val="0045299B"/>
    <w:rsid w:val="0045439A"/>
    <w:rsid w:val="004569F6"/>
    <w:rsid w:val="00457709"/>
    <w:rsid w:val="004613F3"/>
    <w:rsid w:val="00461FB4"/>
    <w:rsid w:val="00462E5E"/>
    <w:rsid w:val="004655B2"/>
    <w:rsid w:val="004656A5"/>
    <w:rsid w:val="00472742"/>
    <w:rsid w:val="00472BFB"/>
    <w:rsid w:val="004733C1"/>
    <w:rsid w:val="00473B12"/>
    <w:rsid w:val="00475CAE"/>
    <w:rsid w:val="00476F9E"/>
    <w:rsid w:val="00480996"/>
    <w:rsid w:val="00480B59"/>
    <w:rsid w:val="0048118D"/>
    <w:rsid w:val="0049000A"/>
    <w:rsid w:val="00490D3B"/>
    <w:rsid w:val="00493C37"/>
    <w:rsid w:val="004A07F1"/>
    <w:rsid w:val="004A265B"/>
    <w:rsid w:val="004A7A25"/>
    <w:rsid w:val="004A7DC0"/>
    <w:rsid w:val="004B2B9F"/>
    <w:rsid w:val="004B2EE8"/>
    <w:rsid w:val="004B3FFD"/>
    <w:rsid w:val="004B4B59"/>
    <w:rsid w:val="004B50B0"/>
    <w:rsid w:val="004B5658"/>
    <w:rsid w:val="004B5A1C"/>
    <w:rsid w:val="004B64EC"/>
    <w:rsid w:val="004B7071"/>
    <w:rsid w:val="004C0245"/>
    <w:rsid w:val="004C1425"/>
    <w:rsid w:val="004C1A28"/>
    <w:rsid w:val="004C31AE"/>
    <w:rsid w:val="004C327C"/>
    <w:rsid w:val="004C7C2D"/>
    <w:rsid w:val="004D0211"/>
    <w:rsid w:val="004D12BB"/>
    <w:rsid w:val="004D17DF"/>
    <w:rsid w:val="004D25E7"/>
    <w:rsid w:val="004D3B9D"/>
    <w:rsid w:val="004D3DF1"/>
    <w:rsid w:val="004D67A5"/>
    <w:rsid w:val="004E02E6"/>
    <w:rsid w:val="004E105B"/>
    <w:rsid w:val="004E1AA7"/>
    <w:rsid w:val="004E5390"/>
    <w:rsid w:val="004E5E5B"/>
    <w:rsid w:val="004F175E"/>
    <w:rsid w:val="004F5F09"/>
    <w:rsid w:val="00500391"/>
    <w:rsid w:val="00501FBD"/>
    <w:rsid w:val="005050BE"/>
    <w:rsid w:val="00507820"/>
    <w:rsid w:val="00510121"/>
    <w:rsid w:val="00511E06"/>
    <w:rsid w:val="00512414"/>
    <w:rsid w:val="005131F2"/>
    <w:rsid w:val="005149C7"/>
    <w:rsid w:val="005150D1"/>
    <w:rsid w:val="00517EB0"/>
    <w:rsid w:val="00522E8A"/>
    <w:rsid w:val="00526B21"/>
    <w:rsid w:val="005302FF"/>
    <w:rsid w:val="005309D8"/>
    <w:rsid w:val="005330F7"/>
    <w:rsid w:val="00533C13"/>
    <w:rsid w:val="005349D8"/>
    <w:rsid w:val="00537513"/>
    <w:rsid w:val="00542493"/>
    <w:rsid w:val="00542F89"/>
    <w:rsid w:val="005519DB"/>
    <w:rsid w:val="005524A2"/>
    <w:rsid w:val="00552CA2"/>
    <w:rsid w:val="00554D5B"/>
    <w:rsid w:val="00557E5F"/>
    <w:rsid w:val="00560E7F"/>
    <w:rsid w:val="005614A1"/>
    <w:rsid w:val="00561999"/>
    <w:rsid w:val="005624E1"/>
    <w:rsid w:val="00562A3C"/>
    <w:rsid w:val="00563167"/>
    <w:rsid w:val="00563489"/>
    <w:rsid w:val="00563598"/>
    <w:rsid w:val="005665F8"/>
    <w:rsid w:val="0056724C"/>
    <w:rsid w:val="00567BE6"/>
    <w:rsid w:val="0057055F"/>
    <w:rsid w:val="00571016"/>
    <w:rsid w:val="00573B05"/>
    <w:rsid w:val="0057441D"/>
    <w:rsid w:val="00577927"/>
    <w:rsid w:val="00577E7B"/>
    <w:rsid w:val="005834EA"/>
    <w:rsid w:val="00584196"/>
    <w:rsid w:val="00584F57"/>
    <w:rsid w:val="0058769A"/>
    <w:rsid w:val="00590248"/>
    <w:rsid w:val="00590F24"/>
    <w:rsid w:val="00592815"/>
    <w:rsid w:val="00594F7B"/>
    <w:rsid w:val="00596986"/>
    <w:rsid w:val="005A0FA9"/>
    <w:rsid w:val="005A21E9"/>
    <w:rsid w:val="005A2672"/>
    <w:rsid w:val="005A2951"/>
    <w:rsid w:val="005A6497"/>
    <w:rsid w:val="005B0786"/>
    <w:rsid w:val="005B1322"/>
    <w:rsid w:val="005C07CB"/>
    <w:rsid w:val="005C1397"/>
    <w:rsid w:val="005C380E"/>
    <w:rsid w:val="005C3EB8"/>
    <w:rsid w:val="005D00A9"/>
    <w:rsid w:val="005D2283"/>
    <w:rsid w:val="005D488F"/>
    <w:rsid w:val="005D6210"/>
    <w:rsid w:val="005D6333"/>
    <w:rsid w:val="005D7ED8"/>
    <w:rsid w:val="005E23CF"/>
    <w:rsid w:val="005E2411"/>
    <w:rsid w:val="005E2514"/>
    <w:rsid w:val="005E3900"/>
    <w:rsid w:val="005E78D5"/>
    <w:rsid w:val="005E7E69"/>
    <w:rsid w:val="005F0599"/>
    <w:rsid w:val="005F0F49"/>
    <w:rsid w:val="005F1F81"/>
    <w:rsid w:val="005F2163"/>
    <w:rsid w:val="005F29AC"/>
    <w:rsid w:val="005F49B7"/>
    <w:rsid w:val="005F4A14"/>
    <w:rsid w:val="005F627A"/>
    <w:rsid w:val="005F6E8D"/>
    <w:rsid w:val="006004D1"/>
    <w:rsid w:val="00603259"/>
    <w:rsid w:val="00603F6C"/>
    <w:rsid w:val="00604179"/>
    <w:rsid w:val="0060451D"/>
    <w:rsid w:val="006100C4"/>
    <w:rsid w:val="00613B11"/>
    <w:rsid w:val="00616F69"/>
    <w:rsid w:val="00617428"/>
    <w:rsid w:val="0062027F"/>
    <w:rsid w:val="00621068"/>
    <w:rsid w:val="00623173"/>
    <w:rsid w:val="00624932"/>
    <w:rsid w:val="006251B3"/>
    <w:rsid w:val="00627B1A"/>
    <w:rsid w:val="00627E6B"/>
    <w:rsid w:val="0063026B"/>
    <w:rsid w:val="0063044B"/>
    <w:rsid w:val="00630888"/>
    <w:rsid w:val="006320E0"/>
    <w:rsid w:val="00634E46"/>
    <w:rsid w:val="00635044"/>
    <w:rsid w:val="00637603"/>
    <w:rsid w:val="00644883"/>
    <w:rsid w:val="0065157D"/>
    <w:rsid w:val="00652364"/>
    <w:rsid w:val="0065253D"/>
    <w:rsid w:val="00652822"/>
    <w:rsid w:val="006538EB"/>
    <w:rsid w:val="00657E45"/>
    <w:rsid w:val="00660588"/>
    <w:rsid w:val="006605C4"/>
    <w:rsid w:val="00661875"/>
    <w:rsid w:val="0066216F"/>
    <w:rsid w:val="00665BE2"/>
    <w:rsid w:val="00667FBC"/>
    <w:rsid w:val="00673C2D"/>
    <w:rsid w:val="00675C5A"/>
    <w:rsid w:val="00675C99"/>
    <w:rsid w:val="00676FEB"/>
    <w:rsid w:val="0068009E"/>
    <w:rsid w:val="00682754"/>
    <w:rsid w:val="00683DF2"/>
    <w:rsid w:val="00694562"/>
    <w:rsid w:val="00695257"/>
    <w:rsid w:val="00695AAD"/>
    <w:rsid w:val="0069797E"/>
    <w:rsid w:val="006A0BFD"/>
    <w:rsid w:val="006A4684"/>
    <w:rsid w:val="006A4F30"/>
    <w:rsid w:val="006A5C9D"/>
    <w:rsid w:val="006A6679"/>
    <w:rsid w:val="006B04C0"/>
    <w:rsid w:val="006B05CE"/>
    <w:rsid w:val="006B12A5"/>
    <w:rsid w:val="006B19A9"/>
    <w:rsid w:val="006B2DE8"/>
    <w:rsid w:val="006B637E"/>
    <w:rsid w:val="006B6C9B"/>
    <w:rsid w:val="006B7744"/>
    <w:rsid w:val="006C1399"/>
    <w:rsid w:val="006C13CC"/>
    <w:rsid w:val="006C2DEA"/>
    <w:rsid w:val="006C2E1A"/>
    <w:rsid w:val="006C5866"/>
    <w:rsid w:val="006C5DA3"/>
    <w:rsid w:val="006C66A4"/>
    <w:rsid w:val="006D0147"/>
    <w:rsid w:val="006D0444"/>
    <w:rsid w:val="006D1774"/>
    <w:rsid w:val="006D1F1E"/>
    <w:rsid w:val="006D2EF3"/>
    <w:rsid w:val="006E134B"/>
    <w:rsid w:val="006E2016"/>
    <w:rsid w:val="006E36C7"/>
    <w:rsid w:val="006E39B4"/>
    <w:rsid w:val="006E4589"/>
    <w:rsid w:val="006E7AEB"/>
    <w:rsid w:val="006F210A"/>
    <w:rsid w:val="006F4927"/>
    <w:rsid w:val="006F51F4"/>
    <w:rsid w:val="006F667C"/>
    <w:rsid w:val="006F73F3"/>
    <w:rsid w:val="0070458B"/>
    <w:rsid w:val="0070627C"/>
    <w:rsid w:val="00707640"/>
    <w:rsid w:val="00710968"/>
    <w:rsid w:val="00711A29"/>
    <w:rsid w:val="0071434E"/>
    <w:rsid w:val="0071590F"/>
    <w:rsid w:val="0071794A"/>
    <w:rsid w:val="00717D0B"/>
    <w:rsid w:val="00724814"/>
    <w:rsid w:val="0072502F"/>
    <w:rsid w:val="00731C84"/>
    <w:rsid w:val="0073208C"/>
    <w:rsid w:val="00732A54"/>
    <w:rsid w:val="00732D37"/>
    <w:rsid w:val="007418D6"/>
    <w:rsid w:val="007419DE"/>
    <w:rsid w:val="007432DE"/>
    <w:rsid w:val="0074388F"/>
    <w:rsid w:val="00744B7D"/>
    <w:rsid w:val="007477F6"/>
    <w:rsid w:val="00751E6C"/>
    <w:rsid w:val="00751ECF"/>
    <w:rsid w:val="00754DD8"/>
    <w:rsid w:val="00755EC3"/>
    <w:rsid w:val="007572E4"/>
    <w:rsid w:val="00757DD5"/>
    <w:rsid w:val="00757F11"/>
    <w:rsid w:val="007611D5"/>
    <w:rsid w:val="007612F7"/>
    <w:rsid w:val="00765DBC"/>
    <w:rsid w:val="007662F9"/>
    <w:rsid w:val="007664C4"/>
    <w:rsid w:val="00767666"/>
    <w:rsid w:val="0077126D"/>
    <w:rsid w:val="00774175"/>
    <w:rsid w:val="00775E82"/>
    <w:rsid w:val="00776813"/>
    <w:rsid w:val="0077707F"/>
    <w:rsid w:val="007770F1"/>
    <w:rsid w:val="0078246C"/>
    <w:rsid w:val="00783D66"/>
    <w:rsid w:val="007854D4"/>
    <w:rsid w:val="00787401"/>
    <w:rsid w:val="00790415"/>
    <w:rsid w:val="00792ABD"/>
    <w:rsid w:val="007A1784"/>
    <w:rsid w:val="007A2857"/>
    <w:rsid w:val="007A3953"/>
    <w:rsid w:val="007A77E1"/>
    <w:rsid w:val="007B4B2B"/>
    <w:rsid w:val="007B5FEC"/>
    <w:rsid w:val="007B6A62"/>
    <w:rsid w:val="007B6C69"/>
    <w:rsid w:val="007B7248"/>
    <w:rsid w:val="007C0D8D"/>
    <w:rsid w:val="007C2E5E"/>
    <w:rsid w:val="007C3EF5"/>
    <w:rsid w:val="007C666D"/>
    <w:rsid w:val="007D45E4"/>
    <w:rsid w:val="007D63D6"/>
    <w:rsid w:val="007D77D9"/>
    <w:rsid w:val="007D7A02"/>
    <w:rsid w:val="007E1DFD"/>
    <w:rsid w:val="007E26CA"/>
    <w:rsid w:val="007E3287"/>
    <w:rsid w:val="007E4886"/>
    <w:rsid w:val="007E641E"/>
    <w:rsid w:val="007E724C"/>
    <w:rsid w:val="007F28E3"/>
    <w:rsid w:val="007F54F3"/>
    <w:rsid w:val="007F69D8"/>
    <w:rsid w:val="007F77A5"/>
    <w:rsid w:val="00801148"/>
    <w:rsid w:val="008032B6"/>
    <w:rsid w:val="00803691"/>
    <w:rsid w:val="00803CE1"/>
    <w:rsid w:val="00805E29"/>
    <w:rsid w:val="00806216"/>
    <w:rsid w:val="0081022A"/>
    <w:rsid w:val="008108B9"/>
    <w:rsid w:val="008156DF"/>
    <w:rsid w:val="008226C3"/>
    <w:rsid w:val="0082703E"/>
    <w:rsid w:val="00827E0D"/>
    <w:rsid w:val="00831DC2"/>
    <w:rsid w:val="00832B21"/>
    <w:rsid w:val="00834B20"/>
    <w:rsid w:val="00834E5E"/>
    <w:rsid w:val="00840E94"/>
    <w:rsid w:val="0084543D"/>
    <w:rsid w:val="00850F6B"/>
    <w:rsid w:val="008542FB"/>
    <w:rsid w:val="00856295"/>
    <w:rsid w:val="0085691E"/>
    <w:rsid w:val="0086007E"/>
    <w:rsid w:val="00860EE8"/>
    <w:rsid w:val="00861C49"/>
    <w:rsid w:val="00865AD2"/>
    <w:rsid w:val="00867397"/>
    <w:rsid w:val="008710CC"/>
    <w:rsid w:val="008726F7"/>
    <w:rsid w:val="00873737"/>
    <w:rsid w:val="00874458"/>
    <w:rsid w:val="00876546"/>
    <w:rsid w:val="00877F0A"/>
    <w:rsid w:val="00880DA7"/>
    <w:rsid w:val="00883D3D"/>
    <w:rsid w:val="00886BF2"/>
    <w:rsid w:val="008917D2"/>
    <w:rsid w:val="008939F3"/>
    <w:rsid w:val="008973A2"/>
    <w:rsid w:val="008A4EEA"/>
    <w:rsid w:val="008A73C1"/>
    <w:rsid w:val="008A7A83"/>
    <w:rsid w:val="008B0AC3"/>
    <w:rsid w:val="008B1154"/>
    <w:rsid w:val="008B1AF5"/>
    <w:rsid w:val="008B1B40"/>
    <w:rsid w:val="008B1B57"/>
    <w:rsid w:val="008B46F4"/>
    <w:rsid w:val="008B4E3D"/>
    <w:rsid w:val="008B6A48"/>
    <w:rsid w:val="008C0205"/>
    <w:rsid w:val="008C0FF9"/>
    <w:rsid w:val="008C1DE5"/>
    <w:rsid w:val="008C304C"/>
    <w:rsid w:val="008C34B8"/>
    <w:rsid w:val="008C3546"/>
    <w:rsid w:val="008C3AF0"/>
    <w:rsid w:val="008C47AB"/>
    <w:rsid w:val="008C5DE5"/>
    <w:rsid w:val="008D3BF7"/>
    <w:rsid w:val="008D66E6"/>
    <w:rsid w:val="008E16EA"/>
    <w:rsid w:val="008E372F"/>
    <w:rsid w:val="008E758C"/>
    <w:rsid w:val="008F51C4"/>
    <w:rsid w:val="008F5BB3"/>
    <w:rsid w:val="008F77F7"/>
    <w:rsid w:val="00901BEC"/>
    <w:rsid w:val="00906055"/>
    <w:rsid w:val="00911459"/>
    <w:rsid w:val="0091288A"/>
    <w:rsid w:val="0091357C"/>
    <w:rsid w:val="009137B3"/>
    <w:rsid w:val="00914AD5"/>
    <w:rsid w:val="0091699D"/>
    <w:rsid w:val="00917A31"/>
    <w:rsid w:val="009226CE"/>
    <w:rsid w:val="009263D8"/>
    <w:rsid w:val="00930494"/>
    <w:rsid w:val="00932C61"/>
    <w:rsid w:val="00935E02"/>
    <w:rsid w:val="00937FB1"/>
    <w:rsid w:val="009405AC"/>
    <w:rsid w:val="00941FAA"/>
    <w:rsid w:val="00943400"/>
    <w:rsid w:val="00945E88"/>
    <w:rsid w:val="00947FE4"/>
    <w:rsid w:val="00953C5B"/>
    <w:rsid w:val="00957416"/>
    <w:rsid w:val="009627A8"/>
    <w:rsid w:val="00962F64"/>
    <w:rsid w:val="00963869"/>
    <w:rsid w:val="00964AB2"/>
    <w:rsid w:val="009661D4"/>
    <w:rsid w:val="00970095"/>
    <w:rsid w:val="00970B70"/>
    <w:rsid w:val="00977985"/>
    <w:rsid w:val="00977E9E"/>
    <w:rsid w:val="00980EBD"/>
    <w:rsid w:val="009833D4"/>
    <w:rsid w:val="009836E4"/>
    <w:rsid w:val="00985DE2"/>
    <w:rsid w:val="009919DE"/>
    <w:rsid w:val="0099683F"/>
    <w:rsid w:val="00997056"/>
    <w:rsid w:val="009A1786"/>
    <w:rsid w:val="009B07B3"/>
    <w:rsid w:val="009B07F1"/>
    <w:rsid w:val="009B30BA"/>
    <w:rsid w:val="009B4731"/>
    <w:rsid w:val="009C04F1"/>
    <w:rsid w:val="009C0CF8"/>
    <w:rsid w:val="009C0E9A"/>
    <w:rsid w:val="009C1079"/>
    <w:rsid w:val="009C2956"/>
    <w:rsid w:val="009C4325"/>
    <w:rsid w:val="009C7689"/>
    <w:rsid w:val="009D04F8"/>
    <w:rsid w:val="009D1AFB"/>
    <w:rsid w:val="009D1F39"/>
    <w:rsid w:val="009D454A"/>
    <w:rsid w:val="009D4F7F"/>
    <w:rsid w:val="009D51DF"/>
    <w:rsid w:val="009D735E"/>
    <w:rsid w:val="009D7E04"/>
    <w:rsid w:val="009E1BBF"/>
    <w:rsid w:val="009E2A0A"/>
    <w:rsid w:val="009E3B38"/>
    <w:rsid w:val="009F2C2F"/>
    <w:rsid w:val="009F303A"/>
    <w:rsid w:val="009F3A00"/>
    <w:rsid w:val="009F5C18"/>
    <w:rsid w:val="009F5E1A"/>
    <w:rsid w:val="009F6D15"/>
    <w:rsid w:val="009F7D01"/>
    <w:rsid w:val="00A01207"/>
    <w:rsid w:val="00A02253"/>
    <w:rsid w:val="00A022D9"/>
    <w:rsid w:val="00A03C13"/>
    <w:rsid w:val="00A073EA"/>
    <w:rsid w:val="00A0776D"/>
    <w:rsid w:val="00A12009"/>
    <w:rsid w:val="00A1247B"/>
    <w:rsid w:val="00A16188"/>
    <w:rsid w:val="00A2605F"/>
    <w:rsid w:val="00A27301"/>
    <w:rsid w:val="00A319CD"/>
    <w:rsid w:val="00A34291"/>
    <w:rsid w:val="00A373F7"/>
    <w:rsid w:val="00A378C8"/>
    <w:rsid w:val="00A37B4B"/>
    <w:rsid w:val="00A4002B"/>
    <w:rsid w:val="00A46B17"/>
    <w:rsid w:val="00A46DA1"/>
    <w:rsid w:val="00A50A69"/>
    <w:rsid w:val="00A53305"/>
    <w:rsid w:val="00A56122"/>
    <w:rsid w:val="00A60E31"/>
    <w:rsid w:val="00A64DED"/>
    <w:rsid w:val="00A64FF7"/>
    <w:rsid w:val="00A7017D"/>
    <w:rsid w:val="00A71806"/>
    <w:rsid w:val="00A71902"/>
    <w:rsid w:val="00A73DCD"/>
    <w:rsid w:val="00A75202"/>
    <w:rsid w:val="00A75AEF"/>
    <w:rsid w:val="00A819C3"/>
    <w:rsid w:val="00A836DB"/>
    <w:rsid w:val="00A83F81"/>
    <w:rsid w:val="00A85B47"/>
    <w:rsid w:val="00A871A6"/>
    <w:rsid w:val="00A93BBE"/>
    <w:rsid w:val="00A96F63"/>
    <w:rsid w:val="00AA1BE2"/>
    <w:rsid w:val="00AA3F0E"/>
    <w:rsid w:val="00AA52D8"/>
    <w:rsid w:val="00AA77FD"/>
    <w:rsid w:val="00AB2E0E"/>
    <w:rsid w:val="00AB540B"/>
    <w:rsid w:val="00AC0CCF"/>
    <w:rsid w:val="00AC5527"/>
    <w:rsid w:val="00AC588E"/>
    <w:rsid w:val="00AD5421"/>
    <w:rsid w:val="00AD604D"/>
    <w:rsid w:val="00AD6CC8"/>
    <w:rsid w:val="00AE1695"/>
    <w:rsid w:val="00AE5AA6"/>
    <w:rsid w:val="00AF33FF"/>
    <w:rsid w:val="00AF7B58"/>
    <w:rsid w:val="00B00239"/>
    <w:rsid w:val="00B04AE4"/>
    <w:rsid w:val="00B11851"/>
    <w:rsid w:val="00B1597A"/>
    <w:rsid w:val="00B15FFF"/>
    <w:rsid w:val="00B1768E"/>
    <w:rsid w:val="00B201AE"/>
    <w:rsid w:val="00B22F95"/>
    <w:rsid w:val="00B24F40"/>
    <w:rsid w:val="00B26524"/>
    <w:rsid w:val="00B26B67"/>
    <w:rsid w:val="00B26E21"/>
    <w:rsid w:val="00B30DEC"/>
    <w:rsid w:val="00B32E6B"/>
    <w:rsid w:val="00B34F60"/>
    <w:rsid w:val="00B53E3E"/>
    <w:rsid w:val="00B54671"/>
    <w:rsid w:val="00B56F16"/>
    <w:rsid w:val="00B57E93"/>
    <w:rsid w:val="00B618A3"/>
    <w:rsid w:val="00B624F3"/>
    <w:rsid w:val="00B66527"/>
    <w:rsid w:val="00B70912"/>
    <w:rsid w:val="00B722DE"/>
    <w:rsid w:val="00B72677"/>
    <w:rsid w:val="00B7554C"/>
    <w:rsid w:val="00B813B9"/>
    <w:rsid w:val="00B81E1C"/>
    <w:rsid w:val="00B90118"/>
    <w:rsid w:val="00B93B8E"/>
    <w:rsid w:val="00B93C96"/>
    <w:rsid w:val="00BA08A3"/>
    <w:rsid w:val="00BA0BD4"/>
    <w:rsid w:val="00BA4A54"/>
    <w:rsid w:val="00BA647A"/>
    <w:rsid w:val="00BB10D8"/>
    <w:rsid w:val="00BB2683"/>
    <w:rsid w:val="00BB68D9"/>
    <w:rsid w:val="00BC1107"/>
    <w:rsid w:val="00BC21F8"/>
    <w:rsid w:val="00BC3714"/>
    <w:rsid w:val="00BC3D61"/>
    <w:rsid w:val="00BC4741"/>
    <w:rsid w:val="00BC47DF"/>
    <w:rsid w:val="00BC486C"/>
    <w:rsid w:val="00BC6F52"/>
    <w:rsid w:val="00BC796B"/>
    <w:rsid w:val="00BD0490"/>
    <w:rsid w:val="00BD0CD8"/>
    <w:rsid w:val="00BD2FC5"/>
    <w:rsid w:val="00BD4F68"/>
    <w:rsid w:val="00BD5AEF"/>
    <w:rsid w:val="00BE0EA7"/>
    <w:rsid w:val="00BE41FF"/>
    <w:rsid w:val="00BE4260"/>
    <w:rsid w:val="00BE53F2"/>
    <w:rsid w:val="00BE6299"/>
    <w:rsid w:val="00BE79C4"/>
    <w:rsid w:val="00BE7BFC"/>
    <w:rsid w:val="00BF0FAC"/>
    <w:rsid w:val="00BF1EA7"/>
    <w:rsid w:val="00BF2A1B"/>
    <w:rsid w:val="00BF2A5B"/>
    <w:rsid w:val="00BF2D47"/>
    <w:rsid w:val="00BF5596"/>
    <w:rsid w:val="00BF5EA8"/>
    <w:rsid w:val="00BF626D"/>
    <w:rsid w:val="00BF6274"/>
    <w:rsid w:val="00C0160D"/>
    <w:rsid w:val="00C01FDF"/>
    <w:rsid w:val="00C0209F"/>
    <w:rsid w:val="00C03E4D"/>
    <w:rsid w:val="00C045D1"/>
    <w:rsid w:val="00C05E15"/>
    <w:rsid w:val="00C070A4"/>
    <w:rsid w:val="00C151BD"/>
    <w:rsid w:val="00C15318"/>
    <w:rsid w:val="00C15971"/>
    <w:rsid w:val="00C2025E"/>
    <w:rsid w:val="00C20BA8"/>
    <w:rsid w:val="00C21BF6"/>
    <w:rsid w:val="00C25E39"/>
    <w:rsid w:val="00C2719B"/>
    <w:rsid w:val="00C275E4"/>
    <w:rsid w:val="00C33AD7"/>
    <w:rsid w:val="00C349D2"/>
    <w:rsid w:val="00C35B1F"/>
    <w:rsid w:val="00C35C55"/>
    <w:rsid w:val="00C360A0"/>
    <w:rsid w:val="00C36940"/>
    <w:rsid w:val="00C37717"/>
    <w:rsid w:val="00C4025D"/>
    <w:rsid w:val="00C43843"/>
    <w:rsid w:val="00C453A3"/>
    <w:rsid w:val="00C45CD9"/>
    <w:rsid w:val="00C45EA5"/>
    <w:rsid w:val="00C461E3"/>
    <w:rsid w:val="00C46E28"/>
    <w:rsid w:val="00C470FF"/>
    <w:rsid w:val="00C47C29"/>
    <w:rsid w:val="00C508F4"/>
    <w:rsid w:val="00C5200F"/>
    <w:rsid w:val="00C5321C"/>
    <w:rsid w:val="00C6343A"/>
    <w:rsid w:val="00C6359D"/>
    <w:rsid w:val="00C6405D"/>
    <w:rsid w:val="00C64761"/>
    <w:rsid w:val="00C67999"/>
    <w:rsid w:val="00C67D07"/>
    <w:rsid w:val="00C67F79"/>
    <w:rsid w:val="00C70E23"/>
    <w:rsid w:val="00C737EA"/>
    <w:rsid w:val="00C76565"/>
    <w:rsid w:val="00C76FA2"/>
    <w:rsid w:val="00C80FB8"/>
    <w:rsid w:val="00C81282"/>
    <w:rsid w:val="00C8484C"/>
    <w:rsid w:val="00C85C36"/>
    <w:rsid w:val="00C90495"/>
    <w:rsid w:val="00C906E6"/>
    <w:rsid w:val="00C93189"/>
    <w:rsid w:val="00C93D18"/>
    <w:rsid w:val="00C94751"/>
    <w:rsid w:val="00CA3727"/>
    <w:rsid w:val="00CA40FF"/>
    <w:rsid w:val="00CA70E6"/>
    <w:rsid w:val="00CA78FD"/>
    <w:rsid w:val="00CA7C0B"/>
    <w:rsid w:val="00CB2E85"/>
    <w:rsid w:val="00CB35F2"/>
    <w:rsid w:val="00CC1518"/>
    <w:rsid w:val="00CC3423"/>
    <w:rsid w:val="00CC3A44"/>
    <w:rsid w:val="00CC43B3"/>
    <w:rsid w:val="00CC45B0"/>
    <w:rsid w:val="00CC5E04"/>
    <w:rsid w:val="00CC5E71"/>
    <w:rsid w:val="00CD07F7"/>
    <w:rsid w:val="00CD15A2"/>
    <w:rsid w:val="00CD3F7C"/>
    <w:rsid w:val="00CD6D5A"/>
    <w:rsid w:val="00CE347A"/>
    <w:rsid w:val="00CE54AD"/>
    <w:rsid w:val="00CE6DA3"/>
    <w:rsid w:val="00CE7065"/>
    <w:rsid w:val="00CF157E"/>
    <w:rsid w:val="00CF397A"/>
    <w:rsid w:val="00CF3CF1"/>
    <w:rsid w:val="00CF4BEB"/>
    <w:rsid w:val="00CF54D4"/>
    <w:rsid w:val="00CF6CA9"/>
    <w:rsid w:val="00CF7AAC"/>
    <w:rsid w:val="00D000AC"/>
    <w:rsid w:val="00D03D4C"/>
    <w:rsid w:val="00D04041"/>
    <w:rsid w:val="00D06347"/>
    <w:rsid w:val="00D071CD"/>
    <w:rsid w:val="00D07BE8"/>
    <w:rsid w:val="00D106A2"/>
    <w:rsid w:val="00D106D1"/>
    <w:rsid w:val="00D10900"/>
    <w:rsid w:val="00D112CB"/>
    <w:rsid w:val="00D13A22"/>
    <w:rsid w:val="00D1586A"/>
    <w:rsid w:val="00D17EC4"/>
    <w:rsid w:val="00D20F98"/>
    <w:rsid w:val="00D212CC"/>
    <w:rsid w:val="00D223EA"/>
    <w:rsid w:val="00D227D1"/>
    <w:rsid w:val="00D22AAC"/>
    <w:rsid w:val="00D302AE"/>
    <w:rsid w:val="00D332DB"/>
    <w:rsid w:val="00D353C4"/>
    <w:rsid w:val="00D36AA2"/>
    <w:rsid w:val="00D370C2"/>
    <w:rsid w:val="00D427D9"/>
    <w:rsid w:val="00D46677"/>
    <w:rsid w:val="00D46B48"/>
    <w:rsid w:val="00D537E4"/>
    <w:rsid w:val="00D5582C"/>
    <w:rsid w:val="00D57EF9"/>
    <w:rsid w:val="00D62F33"/>
    <w:rsid w:val="00D67C12"/>
    <w:rsid w:val="00D71890"/>
    <w:rsid w:val="00D73CEB"/>
    <w:rsid w:val="00D73EB9"/>
    <w:rsid w:val="00D76D91"/>
    <w:rsid w:val="00D77A97"/>
    <w:rsid w:val="00D800D8"/>
    <w:rsid w:val="00D81211"/>
    <w:rsid w:val="00D82107"/>
    <w:rsid w:val="00D853CD"/>
    <w:rsid w:val="00D862C8"/>
    <w:rsid w:val="00D90095"/>
    <w:rsid w:val="00D91031"/>
    <w:rsid w:val="00D91840"/>
    <w:rsid w:val="00D92557"/>
    <w:rsid w:val="00D9479E"/>
    <w:rsid w:val="00D9583D"/>
    <w:rsid w:val="00DA166F"/>
    <w:rsid w:val="00DA217A"/>
    <w:rsid w:val="00DA55E1"/>
    <w:rsid w:val="00DA5A2D"/>
    <w:rsid w:val="00DA71F2"/>
    <w:rsid w:val="00DA7561"/>
    <w:rsid w:val="00DA7DE7"/>
    <w:rsid w:val="00DB2E2E"/>
    <w:rsid w:val="00DB37D4"/>
    <w:rsid w:val="00DB3855"/>
    <w:rsid w:val="00DB46A9"/>
    <w:rsid w:val="00DB578F"/>
    <w:rsid w:val="00DC3902"/>
    <w:rsid w:val="00DD07FD"/>
    <w:rsid w:val="00DD38B3"/>
    <w:rsid w:val="00DD3B28"/>
    <w:rsid w:val="00DD3E44"/>
    <w:rsid w:val="00DD3EE1"/>
    <w:rsid w:val="00DD49EA"/>
    <w:rsid w:val="00DD4F8D"/>
    <w:rsid w:val="00DD73AD"/>
    <w:rsid w:val="00DE1B11"/>
    <w:rsid w:val="00DE2C0C"/>
    <w:rsid w:val="00DF3533"/>
    <w:rsid w:val="00DF6DE5"/>
    <w:rsid w:val="00E00E31"/>
    <w:rsid w:val="00E01DB0"/>
    <w:rsid w:val="00E04B28"/>
    <w:rsid w:val="00E05805"/>
    <w:rsid w:val="00E10A23"/>
    <w:rsid w:val="00E13360"/>
    <w:rsid w:val="00E14607"/>
    <w:rsid w:val="00E16BDD"/>
    <w:rsid w:val="00E1703B"/>
    <w:rsid w:val="00E210BE"/>
    <w:rsid w:val="00E234BF"/>
    <w:rsid w:val="00E26CB4"/>
    <w:rsid w:val="00E330E6"/>
    <w:rsid w:val="00E35846"/>
    <w:rsid w:val="00E371BB"/>
    <w:rsid w:val="00E37B8F"/>
    <w:rsid w:val="00E40B70"/>
    <w:rsid w:val="00E41143"/>
    <w:rsid w:val="00E41A58"/>
    <w:rsid w:val="00E41D04"/>
    <w:rsid w:val="00E420F2"/>
    <w:rsid w:val="00E45386"/>
    <w:rsid w:val="00E46822"/>
    <w:rsid w:val="00E5455F"/>
    <w:rsid w:val="00E571D5"/>
    <w:rsid w:val="00E60ACA"/>
    <w:rsid w:val="00E6282A"/>
    <w:rsid w:val="00E64213"/>
    <w:rsid w:val="00E6464D"/>
    <w:rsid w:val="00E64A83"/>
    <w:rsid w:val="00E7056C"/>
    <w:rsid w:val="00E70FAB"/>
    <w:rsid w:val="00E727B6"/>
    <w:rsid w:val="00E75E0E"/>
    <w:rsid w:val="00E762C9"/>
    <w:rsid w:val="00E77808"/>
    <w:rsid w:val="00E77893"/>
    <w:rsid w:val="00E77AE0"/>
    <w:rsid w:val="00E80C2D"/>
    <w:rsid w:val="00E84B3C"/>
    <w:rsid w:val="00E85214"/>
    <w:rsid w:val="00E8686C"/>
    <w:rsid w:val="00E868A5"/>
    <w:rsid w:val="00E86FC9"/>
    <w:rsid w:val="00E87F6F"/>
    <w:rsid w:val="00E9262B"/>
    <w:rsid w:val="00E93E76"/>
    <w:rsid w:val="00E94FDF"/>
    <w:rsid w:val="00E95EA8"/>
    <w:rsid w:val="00EA1C64"/>
    <w:rsid w:val="00EA3F95"/>
    <w:rsid w:val="00EB25BA"/>
    <w:rsid w:val="00EC00AD"/>
    <w:rsid w:val="00EC0117"/>
    <w:rsid w:val="00EC0885"/>
    <w:rsid w:val="00EC0B0F"/>
    <w:rsid w:val="00EC4F04"/>
    <w:rsid w:val="00EC6EE1"/>
    <w:rsid w:val="00EC7371"/>
    <w:rsid w:val="00ED136B"/>
    <w:rsid w:val="00EE24E6"/>
    <w:rsid w:val="00EE3047"/>
    <w:rsid w:val="00EE79AD"/>
    <w:rsid w:val="00EE7D9B"/>
    <w:rsid w:val="00EF07D7"/>
    <w:rsid w:val="00EF6CC6"/>
    <w:rsid w:val="00EF7443"/>
    <w:rsid w:val="00F00D1A"/>
    <w:rsid w:val="00F00D1D"/>
    <w:rsid w:val="00F04500"/>
    <w:rsid w:val="00F1121B"/>
    <w:rsid w:val="00F118AA"/>
    <w:rsid w:val="00F12182"/>
    <w:rsid w:val="00F159B4"/>
    <w:rsid w:val="00F16538"/>
    <w:rsid w:val="00F201BE"/>
    <w:rsid w:val="00F227DE"/>
    <w:rsid w:val="00F23532"/>
    <w:rsid w:val="00F23908"/>
    <w:rsid w:val="00F2537B"/>
    <w:rsid w:val="00F25D9F"/>
    <w:rsid w:val="00F25E90"/>
    <w:rsid w:val="00F3098A"/>
    <w:rsid w:val="00F31E68"/>
    <w:rsid w:val="00F31ED0"/>
    <w:rsid w:val="00F33137"/>
    <w:rsid w:val="00F341BE"/>
    <w:rsid w:val="00F3562E"/>
    <w:rsid w:val="00F36494"/>
    <w:rsid w:val="00F37483"/>
    <w:rsid w:val="00F42EE2"/>
    <w:rsid w:val="00F438B3"/>
    <w:rsid w:val="00F45BC1"/>
    <w:rsid w:val="00F464F3"/>
    <w:rsid w:val="00F477FD"/>
    <w:rsid w:val="00F508EA"/>
    <w:rsid w:val="00F516D7"/>
    <w:rsid w:val="00F52046"/>
    <w:rsid w:val="00F556F7"/>
    <w:rsid w:val="00F60129"/>
    <w:rsid w:val="00F608BF"/>
    <w:rsid w:val="00F60913"/>
    <w:rsid w:val="00F64E4D"/>
    <w:rsid w:val="00F713FF"/>
    <w:rsid w:val="00F71740"/>
    <w:rsid w:val="00F73D18"/>
    <w:rsid w:val="00F753C2"/>
    <w:rsid w:val="00F761CB"/>
    <w:rsid w:val="00F77130"/>
    <w:rsid w:val="00F81B4A"/>
    <w:rsid w:val="00F8396D"/>
    <w:rsid w:val="00F83EDC"/>
    <w:rsid w:val="00F8720D"/>
    <w:rsid w:val="00F93B43"/>
    <w:rsid w:val="00F9541B"/>
    <w:rsid w:val="00F96381"/>
    <w:rsid w:val="00FA07E1"/>
    <w:rsid w:val="00FA4088"/>
    <w:rsid w:val="00FA556E"/>
    <w:rsid w:val="00FA7930"/>
    <w:rsid w:val="00FB0A39"/>
    <w:rsid w:val="00FC1780"/>
    <w:rsid w:val="00FC2F8E"/>
    <w:rsid w:val="00FC37C1"/>
    <w:rsid w:val="00FC416E"/>
    <w:rsid w:val="00FC4668"/>
    <w:rsid w:val="00FC57F5"/>
    <w:rsid w:val="00FC5EB7"/>
    <w:rsid w:val="00FD02D8"/>
    <w:rsid w:val="00FD03E4"/>
    <w:rsid w:val="00FD2178"/>
    <w:rsid w:val="00FD2D4A"/>
    <w:rsid w:val="00FD3619"/>
    <w:rsid w:val="00FD39D7"/>
    <w:rsid w:val="00FD416C"/>
    <w:rsid w:val="00FD490A"/>
    <w:rsid w:val="00FD6498"/>
    <w:rsid w:val="00FE00E5"/>
    <w:rsid w:val="00FE2666"/>
    <w:rsid w:val="00FE38EE"/>
    <w:rsid w:val="00FE5719"/>
    <w:rsid w:val="00FE652E"/>
    <w:rsid w:val="00FE7C3A"/>
    <w:rsid w:val="00FF357B"/>
    <w:rsid w:val="00FF5D82"/>
    <w:rsid w:val="00FF72DB"/>
    <w:rsid w:val="07757D34"/>
    <w:rsid w:val="1953AD26"/>
    <w:rsid w:val="1A623979"/>
    <w:rsid w:val="1BA9856C"/>
    <w:rsid w:val="334BFD71"/>
    <w:rsid w:val="343DCB43"/>
    <w:rsid w:val="3AF1E62A"/>
    <w:rsid w:val="427ED7F1"/>
    <w:rsid w:val="4AB0C3C2"/>
    <w:rsid w:val="527723C2"/>
    <w:rsid w:val="5317959B"/>
    <w:rsid w:val="56D343E1"/>
    <w:rsid w:val="58502A69"/>
    <w:rsid w:val="60896220"/>
    <w:rsid w:val="6310A9E7"/>
    <w:rsid w:val="63A1BE90"/>
    <w:rsid w:val="7539D2F5"/>
    <w:rsid w:val="75A91E60"/>
    <w:rsid w:val="77040EB3"/>
    <w:rsid w:val="792E2A0B"/>
    <w:rsid w:val="7B853D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7352A"/>
  <w15:chartTrackingRefBased/>
  <w15:docId w15:val="{6FA409AC-C542-4076-918E-C3A3A7F1C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5C4"/>
    <w:rPr>
      <w:lang w:val="en-GB"/>
    </w:rPr>
  </w:style>
  <w:style w:type="paragraph" w:styleId="Heading1">
    <w:name w:val="heading 1"/>
    <w:basedOn w:val="Normal"/>
    <w:next w:val="Normal"/>
    <w:link w:val="Heading1Char"/>
    <w:uiPriority w:val="9"/>
    <w:qFormat/>
    <w:rsid w:val="00021B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1B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BalloonText">
    <w:name w:val="Balloon Text"/>
    <w:basedOn w:val="Normal"/>
    <w:link w:val="BalloonTextChar"/>
    <w:uiPriority w:val="99"/>
    <w:semiHidden/>
    <w:unhideWhenUsed/>
    <w:rsid w:val="00EC6E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EE1"/>
    <w:rPr>
      <w:rFonts w:ascii="Segoe UI" w:hAnsi="Segoe UI" w:cs="Segoe UI"/>
      <w:sz w:val="18"/>
      <w:szCs w:val="18"/>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DD3E44"/>
    <w:pPr>
      <w:ind w:left="720"/>
      <w:contextualSpacing/>
    </w:pPr>
  </w:style>
  <w:style w:type="paragraph" w:customStyle="1" w:styleId="Firstnumbering">
    <w:name w:val="First numbering"/>
    <w:basedOn w:val="ListParagraph"/>
    <w:link w:val="FirstnumberingChar"/>
    <w:qFormat/>
    <w:rsid w:val="008C3546"/>
    <w:pPr>
      <w:numPr>
        <w:numId w:val="1"/>
      </w:numPr>
      <w:spacing w:after="0" w:line="240" w:lineRule="auto"/>
      <w:ind w:left="567" w:hanging="567"/>
      <w:contextualSpacing w:val="0"/>
    </w:pPr>
  </w:style>
  <w:style w:type="paragraph" w:customStyle="1" w:styleId="Secondnumbering">
    <w:name w:val="Second numbering"/>
    <w:basedOn w:val="Firstnumbering"/>
    <w:link w:val="SecondnumberingChar"/>
    <w:qFormat/>
    <w:rsid w:val="00360838"/>
    <w:pPr>
      <w:numPr>
        <w:numId w:val="2"/>
      </w:numPr>
      <w:ind w:left="1134" w:hanging="283"/>
    </w:p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basedOn w:val="DefaultParagraphFont"/>
    <w:link w:val="ListParagraph"/>
    <w:uiPriority w:val="34"/>
    <w:qFormat/>
    <w:rsid w:val="008C3546"/>
    <w:rPr>
      <w:lang w:val="en-GB"/>
    </w:rPr>
  </w:style>
  <w:style w:type="character" w:customStyle="1" w:styleId="FirstnumberingChar">
    <w:name w:val="First numbering Char"/>
    <w:basedOn w:val="ListParagraphChar"/>
    <w:link w:val="Firstnumbering"/>
    <w:rsid w:val="008C3546"/>
    <w:rPr>
      <w:lang w:val="en-GB"/>
    </w:rPr>
  </w:style>
  <w:style w:type="paragraph" w:customStyle="1" w:styleId="Thirdnumberingi">
    <w:name w:val="Third numbering i)"/>
    <w:basedOn w:val="Secondnumbering"/>
    <w:link w:val="ThirdnumberingiChar"/>
    <w:qFormat/>
    <w:rsid w:val="00360838"/>
    <w:pPr>
      <w:numPr>
        <w:numId w:val="3"/>
      </w:numPr>
      <w:ind w:left="1701" w:hanging="283"/>
    </w:pPr>
  </w:style>
  <w:style w:type="character" w:customStyle="1" w:styleId="SecondnumberingChar">
    <w:name w:val="Second numbering Char"/>
    <w:basedOn w:val="FirstnumberingChar"/>
    <w:link w:val="Secondnumbering"/>
    <w:rsid w:val="00360838"/>
    <w:rPr>
      <w:lang w:val="en-GB"/>
    </w:rPr>
  </w:style>
  <w:style w:type="paragraph" w:customStyle="1" w:styleId="FourthnumberingA">
    <w:name w:val="Fourth numbering A."/>
    <w:basedOn w:val="Thirdnumberingi"/>
    <w:link w:val="FourthnumberingAChar"/>
    <w:qFormat/>
    <w:rsid w:val="00360838"/>
    <w:pPr>
      <w:numPr>
        <w:numId w:val="4"/>
      </w:numPr>
      <w:ind w:left="2268" w:hanging="283"/>
    </w:pPr>
  </w:style>
  <w:style w:type="character" w:customStyle="1" w:styleId="ThirdnumberingiChar">
    <w:name w:val="Third numbering i) Char"/>
    <w:basedOn w:val="SecondnumberingChar"/>
    <w:link w:val="Thirdnumberingi"/>
    <w:rsid w:val="00360838"/>
    <w:rPr>
      <w:lang w:val="en-GB"/>
    </w:rPr>
  </w:style>
  <w:style w:type="paragraph" w:customStyle="1" w:styleId="Title1">
    <w:name w:val="Title1"/>
    <w:basedOn w:val="Normal"/>
    <w:link w:val="TITLEChar"/>
    <w:qFormat/>
    <w:rsid w:val="004B7071"/>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center"/>
      <w:textAlignment w:val="baseline"/>
      <w:outlineLvl w:val="1"/>
    </w:pPr>
    <w:rPr>
      <w:rFonts w:eastAsia="Times New Roman" w:cs="Arial"/>
      <w:b/>
      <w:caps/>
    </w:rPr>
  </w:style>
  <w:style w:type="character" w:customStyle="1" w:styleId="FourthnumberingAChar">
    <w:name w:val="Fourth numbering A. Char"/>
    <w:basedOn w:val="ThirdnumberingiChar"/>
    <w:link w:val="FourthnumberingA"/>
    <w:rsid w:val="00360838"/>
    <w:rPr>
      <w:lang w:val="en-GB"/>
    </w:rPr>
  </w:style>
  <w:style w:type="character" w:customStyle="1" w:styleId="TITLEChar">
    <w:name w:val="TITLE Char"/>
    <w:basedOn w:val="DefaultParagraphFont"/>
    <w:link w:val="Title1"/>
    <w:rsid w:val="004B7071"/>
    <w:rPr>
      <w:rFonts w:eastAsia="Times New Roman" w:cs="Arial"/>
      <w:b/>
      <w:caps/>
      <w:lang w:val="en-GB"/>
    </w:rPr>
  </w:style>
  <w:style w:type="paragraph" w:styleId="Revision">
    <w:name w:val="Revision"/>
    <w:hidden/>
    <w:uiPriority w:val="99"/>
    <w:semiHidden/>
    <w:rsid w:val="00BE0EA7"/>
    <w:pPr>
      <w:spacing w:after="0" w:line="240" w:lineRule="auto"/>
    </w:pPr>
    <w:rPr>
      <w:lang w:val="en-GB"/>
    </w:rPr>
  </w:style>
  <w:style w:type="paragraph" w:customStyle="1" w:styleId="Default">
    <w:name w:val="Default"/>
    <w:rsid w:val="00CF7AAC"/>
    <w:pPr>
      <w:autoSpaceDE w:val="0"/>
      <w:autoSpaceDN w:val="0"/>
      <w:adjustRightInd w:val="0"/>
      <w:spacing w:after="0" w:line="240" w:lineRule="auto"/>
    </w:pPr>
    <w:rPr>
      <w:rFonts w:cs="Arial"/>
      <w:color w:val="000000"/>
      <w:sz w:val="24"/>
      <w:szCs w:val="24"/>
    </w:rPr>
  </w:style>
  <w:style w:type="character" w:styleId="Hyperlink">
    <w:name w:val="Hyperlink"/>
    <w:basedOn w:val="DefaultParagraphFont"/>
    <w:uiPriority w:val="99"/>
    <w:unhideWhenUsed/>
    <w:rsid w:val="0045299B"/>
    <w:rPr>
      <w:color w:val="0563C1" w:themeColor="hyperlink"/>
      <w:u w:val="single"/>
    </w:rPr>
  </w:style>
  <w:style w:type="character" w:styleId="UnresolvedMention">
    <w:name w:val="Unresolved Mention"/>
    <w:basedOn w:val="DefaultParagraphFont"/>
    <w:uiPriority w:val="99"/>
    <w:unhideWhenUsed/>
    <w:rsid w:val="0045299B"/>
    <w:rPr>
      <w:color w:val="605E5C"/>
      <w:shd w:val="clear" w:color="auto" w:fill="E1DFDD"/>
    </w:rPr>
  </w:style>
  <w:style w:type="character" w:styleId="CommentReference">
    <w:name w:val="annotation reference"/>
    <w:basedOn w:val="DefaultParagraphFont"/>
    <w:uiPriority w:val="99"/>
    <w:semiHidden/>
    <w:unhideWhenUsed/>
    <w:rsid w:val="00FE652E"/>
    <w:rPr>
      <w:sz w:val="16"/>
      <w:szCs w:val="16"/>
    </w:rPr>
  </w:style>
  <w:style w:type="paragraph" w:styleId="CommentText">
    <w:name w:val="annotation text"/>
    <w:basedOn w:val="Normal"/>
    <w:link w:val="CommentTextChar"/>
    <w:uiPriority w:val="99"/>
    <w:unhideWhenUsed/>
    <w:rsid w:val="00FE652E"/>
    <w:pPr>
      <w:spacing w:line="240" w:lineRule="auto"/>
    </w:pPr>
    <w:rPr>
      <w:sz w:val="20"/>
      <w:szCs w:val="20"/>
    </w:rPr>
  </w:style>
  <w:style w:type="character" w:customStyle="1" w:styleId="CommentTextChar">
    <w:name w:val="Comment Text Char"/>
    <w:basedOn w:val="DefaultParagraphFont"/>
    <w:link w:val="CommentText"/>
    <w:uiPriority w:val="99"/>
    <w:rsid w:val="00FE652E"/>
    <w:rPr>
      <w:sz w:val="20"/>
      <w:szCs w:val="20"/>
      <w:lang w:val="en-GB"/>
    </w:rPr>
  </w:style>
  <w:style w:type="paragraph" w:styleId="CommentSubject">
    <w:name w:val="annotation subject"/>
    <w:basedOn w:val="CommentText"/>
    <w:next w:val="CommentText"/>
    <w:link w:val="CommentSubjectChar"/>
    <w:uiPriority w:val="99"/>
    <w:semiHidden/>
    <w:unhideWhenUsed/>
    <w:rsid w:val="00FE652E"/>
    <w:rPr>
      <w:b/>
      <w:bCs/>
    </w:rPr>
  </w:style>
  <w:style w:type="character" w:customStyle="1" w:styleId="CommentSubjectChar">
    <w:name w:val="Comment Subject Char"/>
    <w:basedOn w:val="CommentTextChar"/>
    <w:link w:val="CommentSubject"/>
    <w:uiPriority w:val="99"/>
    <w:semiHidden/>
    <w:rsid w:val="00FE652E"/>
    <w:rPr>
      <w:b/>
      <w:bCs/>
      <w:sz w:val="20"/>
      <w:szCs w:val="20"/>
      <w:lang w:val="en-GB"/>
    </w:rPr>
  </w:style>
  <w:style w:type="paragraph" w:styleId="FootnoteText">
    <w:name w:val="footnote text"/>
    <w:basedOn w:val="Normal"/>
    <w:link w:val="FootnoteTextChar"/>
    <w:uiPriority w:val="99"/>
    <w:semiHidden/>
    <w:unhideWhenUsed/>
    <w:rsid w:val="00BF5596"/>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BF5596"/>
    <w:rPr>
      <w:sz w:val="20"/>
      <w:szCs w:val="20"/>
    </w:rPr>
  </w:style>
  <w:style w:type="character" w:styleId="FootnoteReference">
    <w:name w:val="footnote reference"/>
    <w:basedOn w:val="DefaultParagraphFont"/>
    <w:uiPriority w:val="99"/>
    <w:semiHidden/>
    <w:unhideWhenUsed/>
    <w:rsid w:val="00BF5596"/>
    <w:rPr>
      <w:vertAlign w:val="superscript"/>
    </w:rPr>
  </w:style>
  <w:style w:type="character" w:styleId="Mention">
    <w:name w:val="Mention"/>
    <w:basedOn w:val="DefaultParagraphFont"/>
    <w:uiPriority w:val="99"/>
    <w:unhideWhenUsed/>
    <w:rsid w:val="009B07B3"/>
    <w:rPr>
      <w:color w:val="2B579A"/>
      <w:shd w:val="clear" w:color="auto" w:fill="E1DFDD"/>
    </w:rPr>
  </w:style>
  <w:style w:type="character" w:customStyle="1" w:styleId="normaltextrun">
    <w:name w:val="normaltextrun"/>
    <w:basedOn w:val="DefaultParagraphFont"/>
    <w:rsid w:val="00FD2D4A"/>
  </w:style>
  <w:style w:type="character" w:customStyle="1" w:styleId="eop">
    <w:name w:val="eop"/>
    <w:basedOn w:val="DefaultParagraphFont"/>
    <w:rsid w:val="00FD2D4A"/>
  </w:style>
  <w:style w:type="numbering" w:customStyle="1" w:styleId="NoList1">
    <w:name w:val="No List1"/>
    <w:next w:val="NoList"/>
    <w:uiPriority w:val="99"/>
    <w:semiHidden/>
    <w:unhideWhenUsed/>
    <w:rsid w:val="00DD4F8D"/>
  </w:style>
  <w:style w:type="paragraph" w:styleId="NormalWeb">
    <w:name w:val="Normal (Web)"/>
    <w:basedOn w:val="Normal"/>
    <w:uiPriority w:val="99"/>
    <w:unhideWhenUsed/>
    <w:rsid w:val="00DD4F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llowedHyperlink1">
    <w:name w:val="FollowedHyperlink1"/>
    <w:basedOn w:val="DefaultParagraphFont"/>
    <w:uiPriority w:val="99"/>
    <w:semiHidden/>
    <w:unhideWhenUsed/>
    <w:rsid w:val="00DD4F8D"/>
    <w:rPr>
      <w:color w:val="954F72"/>
      <w:u w:val="single"/>
    </w:rPr>
  </w:style>
  <w:style w:type="character" w:styleId="PageNumber">
    <w:name w:val="page number"/>
    <w:basedOn w:val="DefaultParagraphFont"/>
    <w:uiPriority w:val="99"/>
    <w:semiHidden/>
    <w:unhideWhenUsed/>
    <w:rsid w:val="00DD4F8D"/>
  </w:style>
  <w:style w:type="character" w:customStyle="1" w:styleId="apple-converted-space">
    <w:name w:val="apple-converted-space"/>
    <w:basedOn w:val="DefaultParagraphFont"/>
    <w:rsid w:val="00DD4F8D"/>
  </w:style>
  <w:style w:type="paragraph" w:customStyle="1" w:styleId="rteindent1">
    <w:name w:val="rteindent1"/>
    <w:basedOn w:val="Normal"/>
    <w:rsid w:val="00DD4F8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D4F8D"/>
    <w:pPr>
      <w:spacing w:after="0" w:line="240" w:lineRule="auto"/>
    </w:pPr>
    <w:rPr>
      <w:rFonts w:ascii="Calibri" w:hAnsi="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D4F8D"/>
    <w:rPr>
      <w:i/>
      <w:iCs/>
    </w:rPr>
  </w:style>
  <w:style w:type="paragraph" w:customStyle="1" w:styleId="pf0">
    <w:name w:val="pf0"/>
    <w:basedOn w:val="Normal"/>
    <w:rsid w:val="00DD4F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DD4F8D"/>
    <w:rPr>
      <w:rFonts w:ascii="Segoe UI" w:hAnsi="Segoe UI" w:cs="Segoe UI" w:hint="default"/>
      <w:sz w:val="18"/>
      <w:szCs w:val="18"/>
    </w:rPr>
  </w:style>
  <w:style w:type="paragraph" w:customStyle="1" w:styleId="Maintext">
    <w:name w:val="Main text"/>
    <w:qFormat/>
    <w:rsid w:val="00DD4F8D"/>
    <w:pPr>
      <w:widowControl w:val="0"/>
      <w:tabs>
        <w:tab w:val="left" w:pos="720"/>
        <w:tab w:val="left" w:pos="1080"/>
        <w:tab w:val="left" w:pos="1440"/>
      </w:tabs>
      <w:suppressAutoHyphens/>
      <w:overflowPunct w:val="0"/>
      <w:spacing w:after="0" w:line="240" w:lineRule="auto"/>
      <w:ind w:firstLine="360"/>
    </w:pPr>
    <w:rPr>
      <w:rFonts w:ascii="Georgia" w:eastAsia="Segoe UI" w:hAnsi="Georgia" w:cs="Georgia"/>
      <w:szCs w:val="20"/>
      <w:lang w:val="en-GB"/>
    </w:rPr>
  </w:style>
  <w:style w:type="character" w:customStyle="1" w:styleId="hlfld-title">
    <w:name w:val="hlfld-title"/>
    <w:basedOn w:val="DefaultParagraphFont"/>
    <w:rsid w:val="00DD4F8D"/>
  </w:style>
  <w:style w:type="paragraph" w:customStyle="1" w:styleId="Normal0">
    <w:name w:val="Normal0"/>
    <w:qFormat/>
    <w:rsid w:val="00DD4F8D"/>
    <w:pPr>
      <w:spacing w:after="0" w:line="240" w:lineRule="auto"/>
    </w:pPr>
    <w:rPr>
      <w:rFonts w:ascii="Calibri" w:eastAsia="Calibri" w:hAnsi="Calibri" w:cs="Calibri"/>
      <w:lang w:val="en-GB"/>
    </w:rPr>
  </w:style>
  <w:style w:type="character" w:styleId="FollowedHyperlink">
    <w:name w:val="FollowedHyperlink"/>
    <w:basedOn w:val="DefaultParagraphFont"/>
    <w:uiPriority w:val="99"/>
    <w:semiHidden/>
    <w:unhideWhenUsed/>
    <w:rsid w:val="00DD4F8D"/>
    <w:rPr>
      <w:color w:val="954F72" w:themeColor="followedHyperlink"/>
      <w:u w:val="single"/>
    </w:rPr>
  </w:style>
  <w:style w:type="table" w:styleId="TableGrid">
    <w:name w:val="Table Grid"/>
    <w:basedOn w:val="TableNormal"/>
    <w:uiPriority w:val="39"/>
    <w:rsid w:val="00DD4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21B8A"/>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021B8A"/>
    <w:rPr>
      <w:rFonts w:asciiTheme="majorHAnsi" w:eastAsiaTheme="majorEastAsia" w:hAnsiTheme="majorHAnsi" w:cstheme="majorBidi"/>
      <w:color w:val="2F5496" w:themeColor="accent1" w:themeShade="BF"/>
      <w:sz w:val="26"/>
      <w:szCs w:val="26"/>
      <w:lang w:val="en-GB"/>
    </w:rPr>
  </w:style>
  <w:style w:type="paragraph" w:styleId="TOCHeading">
    <w:name w:val="TOC Heading"/>
    <w:basedOn w:val="Heading1"/>
    <w:next w:val="Normal"/>
    <w:uiPriority w:val="39"/>
    <w:unhideWhenUsed/>
    <w:qFormat/>
    <w:rsid w:val="00004428"/>
    <w:pPr>
      <w:outlineLvl w:val="9"/>
    </w:pPr>
    <w:rPr>
      <w:lang w:val="en-US"/>
    </w:rPr>
  </w:style>
  <w:style w:type="paragraph" w:styleId="TOC1">
    <w:name w:val="toc 1"/>
    <w:basedOn w:val="Normal"/>
    <w:next w:val="Normal"/>
    <w:autoRedefine/>
    <w:uiPriority w:val="39"/>
    <w:unhideWhenUsed/>
    <w:rsid w:val="00AD5421"/>
    <w:pPr>
      <w:tabs>
        <w:tab w:val="right" w:leader="dot" w:pos="9016"/>
      </w:tabs>
      <w:spacing w:after="100"/>
    </w:pPr>
    <w:rPr>
      <w:rFonts w:cs="Arial"/>
      <w:noProof/>
      <w:lang w:eastAsia="en-GB"/>
    </w:rPr>
  </w:style>
  <w:style w:type="paragraph" w:styleId="TOC2">
    <w:name w:val="toc 2"/>
    <w:basedOn w:val="Normal"/>
    <w:next w:val="Normal"/>
    <w:autoRedefine/>
    <w:uiPriority w:val="39"/>
    <w:unhideWhenUsed/>
    <w:rsid w:val="0000442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619439">
      <w:bodyDiv w:val="1"/>
      <w:marLeft w:val="0"/>
      <w:marRight w:val="0"/>
      <w:marTop w:val="0"/>
      <w:marBottom w:val="0"/>
      <w:divBdr>
        <w:top w:val="none" w:sz="0" w:space="0" w:color="auto"/>
        <w:left w:val="none" w:sz="0" w:space="0" w:color="auto"/>
        <w:bottom w:val="none" w:sz="0" w:space="0" w:color="auto"/>
        <w:right w:val="none" w:sz="0" w:space="0" w:color="auto"/>
      </w:divBdr>
      <w:divsChild>
        <w:div w:id="151529238">
          <w:marLeft w:val="0"/>
          <w:marRight w:val="0"/>
          <w:marTop w:val="0"/>
          <w:marBottom w:val="0"/>
          <w:divBdr>
            <w:top w:val="none" w:sz="0" w:space="0" w:color="auto"/>
            <w:left w:val="none" w:sz="0" w:space="0" w:color="auto"/>
            <w:bottom w:val="none" w:sz="0" w:space="0" w:color="auto"/>
            <w:right w:val="none" w:sz="0" w:space="0" w:color="auto"/>
          </w:divBdr>
        </w:div>
        <w:div w:id="316736917">
          <w:marLeft w:val="0"/>
          <w:marRight w:val="0"/>
          <w:marTop w:val="0"/>
          <w:marBottom w:val="0"/>
          <w:divBdr>
            <w:top w:val="none" w:sz="0" w:space="0" w:color="auto"/>
            <w:left w:val="none" w:sz="0" w:space="0" w:color="auto"/>
            <w:bottom w:val="none" w:sz="0" w:space="0" w:color="auto"/>
            <w:right w:val="none" w:sz="0" w:space="0" w:color="auto"/>
          </w:divBdr>
          <w:divsChild>
            <w:div w:id="267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2337">
      <w:bodyDiv w:val="1"/>
      <w:marLeft w:val="0"/>
      <w:marRight w:val="0"/>
      <w:marTop w:val="0"/>
      <w:marBottom w:val="0"/>
      <w:divBdr>
        <w:top w:val="none" w:sz="0" w:space="0" w:color="auto"/>
        <w:left w:val="none" w:sz="0" w:space="0" w:color="auto"/>
        <w:bottom w:val="none" w:sz="0" w:space="0" w:color="auto"/>
        <w:right w:val="none" w:sz="0" w:space="0" w:color="auto"/>
      </w:divBdr>
    </w:div>
    <w:div w:id="1303731131">
      <w:bodyDiv w:val="1"/>
      <w:marLeft w:val="0"/>
      <w:marRight w:val="0"/>
      <w:marTop w:val="0"/>
      <w:marBottom w:val="0"/>
      <w:divBdr>
        <w:top w:val="none" w:sz="0" w:space="0" w:color="auto"/>
        <w:left w:val="none" w:sz="0" w:space="0" w:color="auto"/>
        <w:bottom w:val="none" w:sz="0" w:space="0" w:color="auto"/>
        <w:right w:val="none" w:sz="0" w:space="0" w:color="auto"/>
      </w:divBdr>
    </w:div>
    <w:div w:id="1345210288">
      <w:bodyDiv w:val="1"/>
      <w:marLeft w:val="0"/>
      <w:marRight w:val="0"/>
      <w:marTop w:val="0"/>
      <w:marBottom w:val="0"/>
      <w:divBdr>
        <w:top w:val="none" w:sz="0" w:space="0" w:color="auto"/>
        <w:left w:val="none" w:sz="0" w:space="0" w:color="auto"/>
        <w:bottom w:val="none" w:sz="0" w:space="0" w:color="auto"/>
        <w:right w:val="none" w:sz="0" w:space="0" w:color="auto"/>
      </w:divBdr>
      <w:divsChild>
        <w:div w:id="612828777">
          <w:marLeft w:val="0"/>
          <w:marRight w:val="0"/>
          <w:marTop w:val="0"/>
          <w:marBottom w:val="0"/>
          <w:divBdr>
            <w:top w:val="none" w:sz="0" w:space="0" w:color="auto"/>
            <w:left w:val="none" w:sz="0" w:space="0" w:color="auto"/>
            <w:bottom w:val="none" w:sz="0" w:space="0" w:color="auto"/>
            <w:right w:val="none" w:sz="0" w:space="0" w:color="auto"/>
          </w:divBdr>
        </w:div>
        <w:div w:id="846596842">
          <w:marLeft w:val="0"/>
          <w:marRight w:val="0"/>
          <w:marTop w:val="0"/>
          <w:marBottom w:val="0"/>
          <w:divBdr>
            <w:top w:val="none" w:sz="0" w:space="0" w:color="auto"/>
            <w:left w:val="none" w:sz="0" w:space="0" w:color="auto"/>
            <w:bottom w:val="none" w:sz="0" w:space="0" w:color="auto"/>
            <w:right w:val="none" w:sz="0" w:space="0" w:color="auto"/>
          </w:divBdr>
          <w:divsChild>
            <w:div w:id="198038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attc.org/GetAttachment/7ef88817-47f2-4c98-8e29-883729e60a95/Sea%20turtles" TargetMode="External"/><Relationship Id="rId26" Type="http://schemas.openxmlformats.org/officeDocument/2006/relationships/footer" Target="footer1.xml"/><Relationship Id="rId39" Type="http://schemas.openxmlformats.org/officeDocument/2006/relationships/hyperlink" Target="https://www.iotc.org/documents/seafdec-bycatch-data-collection-1994-2004" TargetMode="External"/><Relationship Id="rId21" Type="http://schemas.openxmlformats.org/officeDocument/2006/relationships/hyperlink" Target="https://www.iotc.org/cmm/resolution-1902-procedures-fish-aggregating-devices-fads-management-plan" TargetMode="External"/><Relationship Id="rId34" Type="http://schemas.openxmlformats.org/officeDocument/2006/relationships/hyperlink" Target="https://iotc.org/documents/iotc-secretariat" TargetMode="External"/><Relationship Id="rId42" Type="http://schemas.openxmlformats.org/officeDocument/2006/relationships/hyperlink" Target="https://www.europarl.europa.eu/RegData/etudes/note/join/2014/514002/IPOL-PECH_NT(2014)514002_EN.pdf"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hyperlink" Target="https://doi.org/10.1038/s41893-022-00883-y" TargetMode="External"/><Relationship Id="rId37" Type="http://schemas.openxmlformats.org/officeDocument/2006/relationships/hyperlink" Target="https://iotc.org/documents/jelly-fad-paradigm-shift-bio-fad-design" TargetMode="External"/><Relationship Id="rId40" Type="http://schemas.openxmlformats.org/officeDocument/2006/relationships/hyperlink" Target="https://dx.doi.org/10.2305/IUCN.UK.2019-3.RLTS.T39374A2911619.en"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wcpfc.int/doc/cmm-2018-04/conservation-and-management-measure-sea-turtles" TargetMode="External"/><Relationship Id="rId28" Type="http://schemas.openxmlformats.org/officeDocument/2006/relationships/header" Target="header3.xml"/><Relationship Id="rId36" Type="http://schemas.openxmlformats.org/officeDocument/2006/relationships/hyperlink" Target="https://www.iccat.int/Documents/Meetings/Docs/2019/REPORTS/JWGFAD-02_ENG.pdf" TargetMode="External"/><Relationship Id="rId10" Type="http://schemas.openxmlformats.org/officeDocument/2006/relationships/endnotes" Target="endnotes.xml"/><Relationship Id="rId19" Type="http://schemas.openxmlformats.org/officeDocument/2006/relationships/hyperlink" Target="https://www.iccat.int/Documents/Recs/compendiopdf-e/2016-02-e.pdf" TargetMode="External"/><Relationship Id="rId31" Type="http://schemas.openxmlformats.org/officeDocument/2006/relationships/hyperlink" Target="https://www.livingfacts.org/-/media/assets/2015/11/global_fad_report.pdf" TargetMode="External"/><Relationship Id="rId44" Type="http://schemas.openxmlformats.org/officeDocument/2006/relationships/hyperlink" Target="https://www.wcpfc.int/system/files/booklets/31/CMM%20and%20Resolu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otc.org/cmm/resolution-1804-biofad-experimental-project" TargetMode="External"/><Relationship Id="rId27" Type="http://schemas.openxmlformats.org/officeDocument/2006/relationships/footer" Target="footer2.xml"/><Relationship Id="rId30" Type="http://schemas.openxmlformats.org/officeDocument/2006/relationships/hyperlink" Target="http://repository.seafdec.or.th/bitstream/handle/20.500.12067/574/TDRES78_Ghost_Fishing.PDF?sequence=1&amp;isAllowed=y" TargetMode="External"/><Relationship Id="rId35" Type="http://schemas.openxmlformats.org/officeDocument/2006/relationships/hyperlink" Target="https://www.iss-foundation.org/fishery-goals-and-resources/our-best-practices-resources/non-entangling-and-biodegradable-fads-guide/download-info/non-entangling-and-biodegradable-fads-guide-english/" TargetMode="External"/><Relationship Id="rId43" Type="http://schemas.openxmlformats.org/officeDocument/2006/relationships/hyperlink" Target="https://www.spc.int"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attc.org/GetAttachment/5cf03e70-c29d-4ec0-a891-8da28780233d/FADs" TargetMode="External"/><Relationship Id="rId25" Type="http://schemas.openxmlformats.org/officeDocument/2006/relationships/header" Target="header2.xml"/><Relationship Id="rId33" Type="http://schemas.openxmlformats.org/officeDocument/2006/relationships/hyperlink" Target="https://www.iotc.org/cmm/resolution-1902-procedures-fish-aggregating-devices-fads-management-plan" TargetMode="External"/><Relationship Id="rId38" Type="http://schemas.openxmlformats.org/officeDocument/2006/relationships/hyperlink" Target="https://www.fisheries.noaa.gov/national/bycatch/fishing-gear-fish-aggregating-devices%20Accessed%2018%20June%202022" TargetMode="External"/><Relationship Id="rId46" Type="http://schemas.openxmlformats.org/officeDocument/2006/relationships/footer" Target="footer4.xml"/><Relationship Id="rId20" Type="http://schemas.openxmlformats.org/officeDocument/2006/relationships/hyperlink" Target="https://www.iotc.org/cmm/resolution-1204-conservation-marine-turtles" TargetMode="External"/><Relationship Id="rId41" Type="http://schemas.openxmlformats.org/officeDocument/2006/relationships/hyperlink" Target="https://dx.doi.org/10.2305/IUCN.UK.2021-3.RLTS.T39370A205782570.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ms.int/sites/default/files/basic_page_documents/appendices_cop13_e_0.pdf" TargetMode="External"/><Relationship Id="rId1" Type="http://schemas.openxmlformats.org/officeDocument/2006/relationships/hyperlink" Target="https://cites.org/eng/app/appendic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Melanie Virtue</DisplayName>
        <AccountId>24</AccountId>
        <AccountType/>
      </UserInfo>
      <UserInfo>
        <DisplayName>Heidrun Frisch-Nwakanma</DisplayName>
        <AccountId>28</AccountId>
        <AccountType/>
      </UserInfo>
    </SharedWithUsers>
    <_Flow_SignoffStatus xmlns="a7b50396-0b06-45c1-b28e-46f86d566a10" xsi:nil="true"/>
    <MariaJoseOrtiz xmlns="a7b50396-0b06-45c1-b28e-46f86d566a10" xsi:nil="true"/>
    <TaxKeywordTaxHTField xmlns="c15478a5-0be8-4f5d-8383-b307d5ba8bf6">
      <Terms xmlns="http://schemas.microsoft.com/office/infopath/2007/PartnerControls"/>
    </TaxKeywordTaxHTField>
    <Reviewer xmlns="a7b50396-0b06-45c1-b28e-46f86d566a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40F67-7722-4E2B-97CB-1EE8F6A3189E}">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2.xml><?xml version="1.0" encoding="utf-8"?>
<ds:datastoreItem xmlns:ds="http://schemas.openxmlformats.org/officeDocument/2006/customXml" ds:itemID="{3CEBF781-995B-4B3A-BBC6-55FBDFC89E96}">
  <ds:schemaRefs>
    <ds:schemaRef ds:uri="http://schemas.microsoft.com/sharepoint/v3/contenttype/forms"/>
  </ds:schemaRefs>
</ds:datastoreItem>
</file>

<file path=customXml/itemProps3.xml><?xml version="1.0" encoding="utf-8"?>
<ds:datastoreItem xmlns:ds="http://schemas.openxmlformats.org/officeDocument/2006/customXml" ds:itemID="{47FB9DBA-E37E-45AF-AB9B-C2D684090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5D1E64-5405-4F8B-B34D-63239168D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17</Pages>
  <Words>6747</Words>
  <Characters>38458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45115</CharactersWithSpaces>
  <SharedDoc>false</SharedDoc>
  <HLinks>
    <vt:vector size="150" baseType="variant">
      <vt:variant>
        <vt:i4>1507409</vt:i4>
      </vt:variant>
      <vt:variant>
        <vt:i4>66</vt:i4>
      </vt:variant>
      <vt:variant>
        <vt:i4>0</vt:i4>
      </vt:variant>
      <vt:variant>
        <vt:i4>5</vt:i4>
      </vt:variant>
      <vt:variant>
        <vt:lpwstr>https://www.wcpfc.int/doc/cmm-2018-04/conservation-and-management-measure-sea-turtles</vt:lpwstr>
      </vt:variant>
      <vt:variant>
        <vt:lpwstr/>
      </vt:variant>
      <vt:variant>
        <vt:i4>5439488</vt:i4>
      </vt:variant>
      <vt:variant>
        <vt:i4>63</vt:i4>
      </vt:variant>
      <vt:variant>
        <vt:i4>0</vt:i4>
      </vt:variant>
      <vt:variant>
        <vt:i4>5</vt:i4>
      </vt:variant>
      <vt:variant>
        <vt:lpwstr>https://www.iotc.org/cmm/resolution-1804-biofad-experimental-project</vt:lpwstr>
      </vt:variant>
      <vt:variant>
        <vt:lpwstr/>
      </vt:variant>
      <vt:variant>
        <vt:i4>1048641</vt:i4>
      </vt:variant>
      <vt:variant>
        <vt:i4>60</vt:i4>
      </vt:variant>
      <vt:variant>
        <vt:i4>0</vt:i4>
      </vt:variant>
      <vt:variant>
        <vt:i4>5</vt:i4>
      </vt:variant>
      <vt:variant>
        <vt:lpwstr>https://www.iotc.org/cmm/resolution-1902-procedures-fish-aggregating-devices-fads-management-plan</vt:lpwstr>
      </vt:variant>
      <vt:variant>
        <vt:lpwstr/>
      </vt:variant>
      <vt:variant>
        <vt:i4>4390920</vt:i4>
      </vt:variant>
      <vt:variant>
        <vt:i4>57</vt:i4>
      </vt:variant>
      <vt:variant>
        <vt:i4>0</vt:i4>
      </vt:variant>
      <vt:variant>
        <vt:i4>5</vt:i4>
      </vt:variant>
      <vt:variant>
        <vt:lpwstr>https://www.iotc.org/cmm/resolution-1204-conservation-marine-turtles</vt:lpwstr>
      </vt:variant>
      <vt:variant>
        <vt:lpwstr/>
      </vt:variant>
      <vt:variant>
        <vt:i4>4194312</vt:i4>
      </vt:variant>
      <vt:variant>
        <vt:i4>54</vt:i4>
      </vt:variant>
      <vt:variant>
        <vt:i4>0</vt:i4>
      </vt:variant>
      <vt:variant>
        <vt:i4>5</vt:i4>
      </vt:variant>
      <vt:variant>
        <vt:lpwstr>https://www.iccat.int/Documents/Recs/compendiopdf-e/2016-02-e.pdf</vt:lpwstr>
      </vt:variant>
      <vt:variant>
        <vt:lpwstr/>
      </vt:variant>
      <vt:variant>
        <vt:i4>2031646</vt:i4>
      </vt:variant>
      <vt:variant>
        <vt:i4>51</vt:i4>
      </vt:variant>
      <vt:variant>
        <vt:i4>0</vt:i4>
      </vt:variant>
      <vt:variant>
        <vt:i4>5</vt:i4>
      </vt:variant>
      <vt:variant>
        <vt:lpwstr>https://www.iattc.org/GetAttachment/7ef88817-47f2-4c98-8e29-883729e60a95/Sea turtles</vt:lpwstr>
      </vt:variant>
      <vt:variant>
        <vt:lpwstr/>
      </vt:variant>
      <vt:variant>
        <vt:i4>4456448</vt:i4>
      </vt:variant>
      <vt:variant>
        <vt:i4>48</vt:i4>
      </vt:variant>
      <vt:variant>
        <vt:i4>0</vt:i4>
      </vt:variant>
      <vt:variant>
        <vt:i4>5</vt:i4>
      </vt:variant>
      <vt:variant>
        <vt:lpwstr>https://www.iattc.org/GetAttachment/5cf03e70-c29d-4ec0-a891-8da28780233d/FADs</vt:lpwstr>
      </vt:variant>
      <vt:variant>
        <vt:lpwstr/>
      </vt:variant>
      <vt:variant>
        <vt:i4>2621551</vt:i4>
      </vt:variant>
      <vt:variant>
        <vt:i4>45</vt:i4>
      </vt:variant>
      <vt:variant>
        <vt:i4>0</vt:i4>
      </vt:variant>
      <vt:variant>
        <vt:i4>5</vt:i4>
      </vt:variant>
      <vt:variant>
        <vt:lpwstr>https://www.wcpfc.int/system/files/booklets/31/CMM and Resolutions.pdf</vt:lpwstr>
      </vt:variant>
      <vt:variant>
        <vt:lpwstr/>
      </vt:variant>
      <vt:variant>
        <vt:i4>5701709</vt:i4>
      </vt:variant>
      <vt:variant>
        <vt:i4>42</vt:i4>
      </vt:variant>
      <vt:variant>
        <vt:i4>0</vt:i4>
      </vt:variant>
      <vt:variant>
        <vt:i4>5</vt:i4>
      </vt:variant>
      <vt:variant>
        <vt:lpwstr>https://www.spc.int/</vt:lpwstr>
      </vt:variant>
      <vt:variant>
        <vt:lpwstr/>
      </vt:variant>
      <vt:variant>
        <vt:i4>131148</vt:i4>
      </vt:variant>
      <vt:variant>
        <vt:i4>39</vt:i4>
      </vt:variant>
      <vt:variant>
        <vt:i4>0</vt:i4>
      </vt:variant>
      <vt:variant>
        <vt:i4>5</vt:i4>
      </vt:variant>
      <vt:variant>
        <vt:lpwstr>https://www.europarl.europa.eu/RegData/etudes/note/join/2014/514002/IPOL-PECH_NT(2014)514002_EN.pdf</vt:lpwstr>
      </vt:variant>
      <vt:variant>
        <vt:lpwstr/>
      </vt:variant>
      <vt:variant>
        <vt:i4>8323134</vt:i4>
      </vt:variant>
      <vt:variant>
        <vt:i4>36</vt:i4>
      </vt:variant>
      <vt:variant>
        <vt:i4>0</vt:i4>
      </vt:variant>
      <vt:variant>
        <vt:i4>5</vt:i4>
      </vt:variant>
      <vt:variant>
        <vt:lpwstr>https://dx.doi.org/10.2305/IUCN.UK.2021-3.RLTS.T39370A205782570.en</vt:lpwstr>
      </vt:variant>
      <vt:variant>
        <vt:lpwstr/>
      </vt:variant>
      <vt:variant>
        <vt:i4>4653060</vt:i4>
      </vt:variant>
      <vt:variant>
        <vt:i4>33</vt:i4>
      </vt:variant>
      <vt:variant>
        <vt:i4>0</vt:i4>
      </vt:variant>
      <vt:variant>
        <vt:i4>5</vt:i4>
      </vt:variant>
      <vt:variant>
        <vt:lpwstr>https://dx.doi.org/10.2305/IUCN.UK.2019-3.RLTS.T39374A2911619.en</vt:lpwstr>
      </vt:variant>
      <vt:variant>
        <vt:lpwstr/>
      </vt:variant>
      <vt:variant>
        <vt:i4>4718660</vt:i4>
      </vt:variant>
      <vt:variant>
        <vt:i4>30</vt:i4>
      </vt:variant>
      <vt:variant>
        <vt:i4>0</vt:i4>
      </vt:variant>
      <vt:variant>
        <vt:i4>5</vt:i4>
      </vt:variant>
      <vt:variant>
        <vt:lpwstr>https://www.iotc.org/documents/seafdec-bycatch-data-collection-1994-2004</vt:lpwstr>
      </vt:variant>
      <vt:variant>
        <vt:lpwstr/>
      </vt:variant>
      <vt:variant>
        <vt:i4>7405691</vt:i4>
      </vt:variant>
      <vt:variant>
        <vt:i4>27</vt:i4>
      </vt:variant>
      <vt:variant>
        <vt:i4>0</vt:i4>
      </vt:variant>
      <vt:variant>
        <vt:i4>5</vt:i4>
      </vt:variant>
      <vt:variant>
        <vt:lpwstr>https://www.fisheries.noaa.gov/national/bycatch/fishing-gear-fish-aggregating-devices Accessed 18 June 2022</vt:lpwstr>
      </vt:variant>
      <vt:variant>
        <vt:lpwstr/>
      </vt:variant>
      <vt:variant>
        <vt:i4>7995511</vt:i4>
      </vt:variant>
      <vt:variant>
        <vt:i4>24</vt:i4>
      </vt:variant>
      <vt:variant>
        <vt:i4>0</vt:i4>
      </vt:variant>
      <vt:variant>
        <vt:i4>5</vt:i4>
      </vt:variant>
      <vt:variant>
        <vt:lpwstr>https://iotc.org/documents/jelly-fad-paradigm-shift-bio-fad-design</vt:lpwstr>
      </vt:variant>
      <vt:variant>
        <vt:lpwstr/>
      </vt:variant>
      <vt:variant>
        <vt:i4>4718626</vt:i4>
      </vt:variant>
      <vt:variant>
        <vt:i4>21</vt:i4>
      </vt:variant>
      <vt:variant>
        <vt:i4>0</vt:i4>
      </vt:variant>
      <vt:variant>
        <vt:i4>5</vt:i4>
      </vt:variant>
      <vt:variant>
        <vt:lpwstr>https://www.iccat.int/Documents/Meetings/Docs/2019/REPORTS/JWGFAD-02_ENG.pdf</vt:lpwstr>
      </vt:variant>
      <vt:variant>
        <vt:lpwstr/>
      </vt:variant>
      <vt:variant>
        <vt:i4>3211309</vt:i4>
      </vt:variant>
      <vt:variant>
        <vt:i4>18</vt:i4>
      </vt:variant>
      <vt:variant>
        <vt:i4>0</vt:i4>
      </vt:variant>
      <vt:variant>
        <vt:i4>5</vt:i4>
      </vt:variant>
      <vt:variant>
        <vt:lpwstr>https://www.iss-foundation.org/fishery-goals-and-resources/our-best-practices-resources/non-entangling-and-biodegradable-fads-guide/download-info/non-entangling-and-biodegradable-fads-guide-english/</vt:lpwstr>
      </vt:variant>
      <vt:variant>
        <vt:lpwstr/>
      </vt:variant>
      <vt:variant>
        <vt:i4>2228347</vt:i4>
      </vt:variant>
      <vt:variant>
        <vt:i4>15</vt:i4>
      </vt:variant>
      <vt:variant>
        <vt:i4>0</vt:i4>
      </vt:variant>
      <vt:variant>
        <vt:i4>5</vt:i4>
      </vt:variant>
      <vt:variant>
        <vt:lpwstr>https://iotc.org/documents/iotc-secretariat</vt:lpwstr>
      </vt:variant>
      <vt:variant>
        <vt:lpwstr/>
      </vt:variant>
      <vt:variant>
        <vt:i4>1048641</vt:i4>
      </vt:variant>
      <vt:variant>
        <vt:i4>12</vt:i4>
      </vt:variant>
      <vt:variant>
        <vt:i4>0</vt:i4>
      </vt:variant>
      <vt:variant>
        <vt:i4>5</vt:i4>
      </vt:variant>
      <vt:variant>
        <vt:lpwstr>https://www.iotc.org/cmm/resolution-1902-procedures-fish-aggregating-devices-fads-management-plan</vt:lpwstr>
      </vt:variant>
      <vt:variant>
        <vt:lpwstr/>
      </vt:variant>
      <vt:variant>
        <vt:i4>7274558</vt:i4>
      </vt:variant>
      <vt:variant>
        <vt:i4>9</vt:i4>
      </vt:variant>
      <vt:variant>
        <vt:i4>0</vt:i4>
      </vt:variant>
      <vt:variant>
        <vt:i4>5</vt:i4>
      </vt:variant>
      <vt:variant>
        <vt:lpwstr>https://doi.org/10.1038/s41893-022-00883-y</vt:lpwstr>
      </vt:variant>
      <vt:variant>
        <vt:lpwstr/>
      </vt:variant>
      <vt:variant>
        <vt:i4>6029340</vt:i4>
      </vt:variant>
      <vt:variant>
        <vt:i4>6</vt:i4>
      </vt:variant>
      <vt:variant>
        <vt:i4>0</vt:i4>
      </vt:variant>
      <vt:variant>
        <vt:i4>5</vt:i4>
      </vt:variant>
      <vt:variant>
        <vt:lpwstr>https://web1.iattc.org/meetings/Meetings2021/IATTC-98a/Docs/_English/IATTC-98a-01_The fishery and status of the stocks 2020.pdf</vt:lpwstr>
      </vt:variant>
      <vt:variant>
        <vt:lpwstr/>
      </vt:variant>
      <vt:variant>
        <vt:i4>6094855</vt:i4>
      </vt:variant>
      <vt:variant>
        <vt:i4>3</vt:i4>
      </vt:variant>
      <vt:variant>
        <vt:i4>0</vt:i4>
      </vt:variant>
      <vt:variant>
        <vt:i4>5</vt:i4>
      </vt:variant>
      <vt:variant>
        <vt:lpwstr>https://www.livingfacts.org/-/media/assets/2015/11/global_fad_report.pdf</vt:lpwstr>
      </vt:variant>
      <vt:variant>
        <vt:lpwstr/>
      </vt:variant>
      <vt:variant>
        <vt:i4>7798886</vt:i4>
      </vt:variant>
      <vt:variant>
        <vt:i4>0</vt:i4>
      </vt:variant>
      <vt:variant>
        <vt:i4>0</vt:i4>
      </vt:variant>
      <vt:variant>
        <vt:i4>5</vt:i4>
      </vt:variant>
      <vt:variant>
        <vt:lpwstr>http://repository.seafdec.or.th/bitstream/handle/20.500.12067/574/TDRES78_Ghost_Fishing.PDF?sequence=1&amp;isAllowed=y</vt:lpwstr>
      </vt:variant>
      <vt:variant>
        <vt:lpwstr/>
      </vt:variant>
      <vt:variant>
        <vt:i4>1114169</vt:i4>
      </vt:variant>
      <vt:variant>
        <vt:i4>3</vt:i4>
      </vt:variant>
      <vt:variant>
        <vt:i4>0</vt:i4>
      </vt:variant>
      <vt:variant>
        <vt:i4>5</vt:i4>
      </vt:variant>
      <vt:variant>
        <vt:lpwstr>https://www.cms.int/sites/default/files/basic_page_documents/appendices_cop13_e_0.pdf</vt:lpwstr>
      </vt:variant>
      <vt:variant>
        <vt:lpwstr/>
      </vt:variant>
      <vt:variant>
        <vt:i4>1114122</vt:i4>
      </vt:variant>
      <vt:variant>
        <vt:i4>0</vt:i4>
      </vt:variant>
      <vt:variant>
        <vt:i4>0</vt:i4>
      </vt:variant>
      <vt:variant>
        <vt:i4>5</vt:i4>
      </vt:variant>
      <vt:variant>
        <vt:lpwstr>https://cites.org/eng/app/appendices.php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25</cp:revision>
  <cp:lastPrinted>2019-09-19T11:54:00Z</cp:lastPrinted>
  <dcterms:created xsi:type="dcterms:W3CDTF">2023-06-20T12:27:00Z</dcterms:created>
  <dcterms:modified xsi:type="dcterms:W3CDTF">2023-06-22T13:02:00Z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05bc49294cfdd6bcb19e861dd6bbfaf8b0152488cac6a0cfe63811c813a85bae</vt:lpwstr>
  </property>
  <property fmtid="{D5CDD505-2E9C-101B-9397-08002B2CF9AE}" pid="3" name="ContentTypeId">
    <vt:lpwstr>0x0101009929416AA0540C42B015682282C961AD</vt:lpwstr>
  </property>
  <property fmtid="{D5CDD505-2E9C-101B-9397-08002B2CF9AE}" pid="4" name="MediaServiceImageTags">
    <vt:lpwstr/>
  </property>
  <property fmtid="{D5CDD505-2E9C-101B-9397-08002B2CF9AE}" pid="5" name="TaxKeyword">
    <vt:lpwstr/>
  </property>
</Properties>
</file>