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top w:w="85" w:type="dxa"/>
        </w:tblCellMar>
        <w:tblLook w:val="0000" w:firstRow="0" w:lastRow="0" w:firstColumn="0" w:lastColumn="0" w:noHBand="0" w:noVBand="0"/>
      </w:tblPr>
      <w:tblGrid>
        <w:gridCol w:w="1526"/>
        <w:gridCol w:w="4071"/>
        <w:gridCol w:w="4051"/>
      </w:tblGrid>
      <w:tr w:rsidR="006E5484" w14:paraId="4F082E81" w14:textId="77777777">
        <w:trPr>
          <w:trHeight w:val="1328"/>
        </w:trPr>
        <w:tc>
          <w:tcPr>
            <w:tcW w:w="1526" w:type="dxa"/>
            <w:tcBorders>
              <w:top w:val="single" w:sz="12" w:space="0" w:color="000000"/>
              <w:bottom w:val="single" w:sz="12" w:space="0" w:color="000000"/>
            </w:tcBorders>
            <w:shd w:val="clear" w:color="auto" w:fill="auto"/>
          </w:tcPr>
          <w:p w14:paraId="6ABA3AAC" w14:textId="77777777" w:rsidR="006E5484" w:rsidRDefault="00FB2FEF">
            <w:pPr>
              <w:widowControl w:val="0"/>
              <w:spacing w:after="0" w:line="240" w:lineRule="auto"/>
              <w:textAlignment w:val="baseline"/>
            </w:pPr>
            <w:r>
              <w:rPr>
                <w:noProof/>
              </w:rPr>
              <w:drawing>
                <wp:inline distT="0" distB="0" distL="0" distR="0" wp14:anchorId="1A770A7C" wp14:editId="63D9F9CE">
                  <wp:extent cx="7524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3"/>
                          <a:stretch>
                            <a:fillRect/>
                          </a:stretch>
                        </pic:blipFill>
                        <pic:spPr bwMode="auto">
                          <a:xfrm>
                            <a:off x="0" y="0"/>
                            <a:ext cx="752475" cy="771525"/>
                          </a:xfrm>
                          <a:prstGeom prst="rect">
                            <a:avLst/>
                          </a:prstGeom>
                        </pic:spPr>
                      </pic:pic>
                    </a:graphicData>
                  </a:graphic>
                </wp:inline>
              </w:drawing>
            </w:r>
          </w:p>
        </w:tc>
        <w:tc>
          <w:tcPr>
            <w:tcW w:w="4071" w:type="dxa"/>
            <w:tcBorders>
              <w:top w:val="single" w:sz="12" w:space="0" w:color="000000"/>
              <w:bottom w:val="single" w:sz="12" w:space="0" w:color="000000"/>
            </w:tcBorders>
            <w:shd w:val="clear" w:color="auto" w:fill="auto"/>
          </w:tcPr>
          <w:p w14:paraId="0569D552" w14:textId="77777777" w:rsidR="006E5484" w:rsidRDefault="006E5484">
            <w:pPr>
              <w:keepNext/>
              <w:widowControl w:val="0"/>
              <w:spacing w:after="0" w:line="240" w:lineRule="auto"/>
              <w:textAlignment w:val="baseline"/>
              <w:outlineLvl w:val="1"/>
              <w:rPr>
                <w:rFonts w:eastAsia="Times New Roman" w:cs="Arial"/>
                <w:sz w:val="12"/>
                <w:szCs w:val="12"/>
              </w:rPr>
            </w:pPr>
          </w:p>
          <w:p w14:paraId="48294F6E" w14:textId="77777777" w:rsidR="006E5484" w:rsidRDefault="00FB2FEF">
            <w:pPr>
              <w:keepNext/>
              <w:widowControl w:val="0"/>
              <w:spacing w:after="0" w:line="240" w:lineRule="auto"/>
              <w:ind w:left="-108"/>
              <w:textAlignment w:val="baseline"/>
              <w:outlineLvl w:val="1"/>
            </w:pPr>
            <w:r>
              <w:rPr>
                <w:rFonts w:eastAsia="Times New Roman" w:cs="Arial"/>
                <w:b/>
                <w:sz w:val="32"/>
                <w:szCs w:val="32"/>
              </w:rPr>
              <w:t>CONVENTION ON</w:t>
            </w:r>
          </w:p>
          <w:p w14:paraId="73D901FB" w14:textId="77777777" w:rsidR="006E5484" w:rsidRDefault="00FB2FEF">
            <w:pPr>
              <w:keepNext/>
              <w:widowControl w:val="0"/>
              <w:spacing w:after="0" w:line="240" w:lineRule="auto"/>
              <w:ind w:left="-108"/>
              <w:textAlignment w:val="baseline"/>
              <w:outlineLvl w:val="1"/>
            </w:pPr>
            <w:r>
              <w:rPr>
                <w:rFonts w:eastAsia="Times New Roman" w:cs="Arial"/>
                <w:b/>
                <w:sz w:val="32"/>
                <w:szCs w:val="32"/>
              </w:rPr>
              <w:t>MIGRATORY</w:t>
            </w:r>
          </w:p>
          <w:p w14:paraId="672DDDE9" w14:textId="77777777" w:rsidR="006E5484" w:rsidRDefault="00FB2FEF">
            <w:pPr>
              <w:keepNext/>
              <w:widowControl w:val="0"/>
              <w:spacing w:after="0" w:line="240" w:lineRule="auto"/>
              <w:ind w:left="-108"/>
              <w:textAlignment w:val="baseline"/>
              <w:outlineLvl w:val="1"/>
            </w:pPr>
            <w:r>
              <w:rPr>
                <w:rFonts w:eastAsia="Times New Roman" w:cs="Arial"/>
                <w:b/>
                <w:sz w:val="32"/>
                <w:szCs w:val="32"/>
              </w:rPr>
              <w:t xml:space="preserve">SPECIES </w:t>
            </w:r>
          </w:p>
        </w:tc>
        <w:tc>
          <w:tcPr>
            <w:tcW w:w="4051" w:type="dxa"/>
            <w:tcBorders>
              <w:top w:val="single" w:sz="12" w:space="0" w:color="000000"/>
              <w:bottom w:val="single" w:sz="12" w:space="0" w:color="000000"/>
            </w:tcBorders>
            <w:shd w:val="clear" w:color="auto" w:fill="auto"/>
          </w:tcPr>
          <w:p w14:paraId="65A72ADA" w14:textId="7737EAFD" w:rsidR="006E5484" w:rsidRDefault="00FB2FEF">
            <w:pPr>
              <w:widowControl w:val="0"/>
              <w:tabs>
                <w:tab w:val="left" w:pos="5040"/>
                <w:tab w:val="left" w:pos="5760"/>
                <w:tab w:val="left" w:pos="6008"/>
                <w:tab w:val="left" w:pos="6480"/>
                <w:tab w:val="left" w:pos="7200"/>
                <w:tab w:val="left" w:pos="7920"/>
                <w:tab w:val="left" w:pos="8640"/>
              </w:tabs>
              <w:spacing w:before="120" w:after="120" w:line="240" w:lineRule="auto"/>
              <w:textAlignment w:val="baseline"/>
            </w:pPr>
            <w:r>
              <w:rPr>
                <w:rFonts w:eastAsia="Times New Roman" w:cs="Arial"/>
              </w:rPr>
              <w:t>UNEP/CMS/COP14/Doc.</w:t>
            </w:r>
            <w:bookmarkStart w:id="0" w:name="_Hlk137241401"/>
            <w:r w:rsidR="00460EFE">
              <w:rPr>
                <w:rFonts w:eastAsia="Times New Roman" w:cs="Arial"/>
              </w:rPr>
              <w:t>27.5.1</w:t>
            </w:r>
            <w:bookmarkEnd w:id="0"/>
            <w:r w:rsidR="0066043C">
              <w:rPr>
                <w:rFonts w:eastAsia="Times New Roman" w:cs="Arial"/>
              </w:rPr>
              <w:t>/</w:t>
            </w:r>
            <w:r w:rsidR="003A1DCE">
              <w:rPr>
                <w:rFonts w:eastAsia="Times New Roman" w:cs="Arial"/>
              </w:rPr>
              <w:t>Rev.1</w:t>
            </w:r>
          </w:p>
          <w:p w14:paraId="5923ED06" w14:textId="5841B00A" w:rsidR="006E5484" w:rsidRDefault="00A33092">
            <w:pPr>
              <w:widowControl w:val="0"/>
              <w:tabs>
                <w:tab w:val="left" w:pos="5040"/>
                <w:tab w:val="left" w:pos="5760"/>
                <w:tab w:val="left" w:pos="6008"/>
                <w:tab w:val="left" w:pos="6480"/>
                <w:tab w:val="left" w:pos="7200"/>
                <w:tab w:val="left" w:pos="7920"/>
                <w:tab w:val="left" w:pos="8640"/>
              </w:tabs>
            </w:pPr>
            <w:r>
              <w:rPr>
                <w:rFonts w:eastAsia="Times New Roman" w:cs="Arial"/>
              </w:rPr>
              <w:t xml:space="preserve">12 October </w:t>
            </w:r>
            <w:r w:rsidR="00FB2FEF" w:rsidRPr="00F941AF">
              <w:t>2023</w:t>
            </w:r>
          </w:p>
          <w:p w14:paraId="5248D45F" w14:textId="77777777" w:rsidR="006E5484" w:rsidRDefault="00FB2FEF">
            <w:pPr>
              <w:widowControl w:val="0"/>
              <w:spacing w:after="0" w:line="240" w:lineRule="auto"/>
              <w:textAlignment w:val="baseline"/>
            </w:pPr>
            <w:r>
              <w:rPr>
                <w:rFonts w:eastAsia="Times New Roman" w:cs="Arial"/>
              </w:rPr>
              <w:t>Original: English</w:t>
            </w:r>
          </w:p>
        </w:tc>
      </w:tr>
    </w:tbl>
    <w:p w14:paraId="07ECFD95" w14:textId="77777777" w:rsidR="006E5484" w:rsidRDefault="006E5484">
      <w:pPr>
        <w:widowControl w:val="0"/>
        <w:tabs>
          <w:tab w:val="left" w:pos="-1057"/>
          <w:tab w:val="left" w:pos="-720"/>
        </w:tabs>
        <w:spacing w:after="0" w:line="240" w:lineRule="auto"/>
        <w:ind w:left="-90"/>
        <w:textAlignment w:val="baseline"/>
        <w:rPr>
          <w:rFonts w:eastAsia="Times New Roman" w:cs="Arial"/>
          <w:spacing w:val="-8"/>
          <w:sz w:val="8"/>
          <w:szCs w:val="8"/>
        </w:rPr>
      </w:pPr>
    </w:p>
    <w:p w14:paraId="29C8F421" w14:textId="77777777" w:rsidR="006E5484" w:rsidRDefault="00FB2FEF">
      <w:pPr>
        <w:widowControl w:val="0"/>
        <w:tabs>
          <w:tab w:val="left" w:pos="-1057"/>
          <w:tab w:val="left" w:pos="-720"/>
        </w:tabs>
        <w:spacing w:after="0" w:line="240" w:lineRule="auto"/>
        <w:textAlignment w:val="baseline"/>
      </w:pPr>
      <w:r>
        <w:rPr>
          <w:rFonts w:eastAsia="Times New Roman" w:cs="Arial"/>
        </w:rPr>
        <w:t>14</w:t>
      </w:r>
      <w:r>
        <w:rPr>
          <w:rFonts w:eastAsia="Times New Roman" w:cs="Arial"/>
          <w:vertAlign w:val="superscript"/>
        </w:rPr>
        <w:t>th</w:t>
      </w:r>
      <w:r>
        <w:rPr>
          <w:rFonts w:eastAsia="Times New Roman" w:cs="Arial"/>
        </w:rPr>
        <w:t xml:space="preserve"> MEETING OF THE CONFERENCE OF THE PARTIES</w:t>
      </w:r>
    </w:p>
    <w:p w14:paraId="1D4A55E8" w14:textId="5C823EFD" w:rsidR="006E5484" w:rsidRDefault="00FB2FEF">
      <w:pPr>
        <w:widowControl w:val="0"/>
        <w:pBdr>
          <w:top w:val="single" w:sz="6" w:space="0" w:color="FFFFFF"/>
          <w:left w:val="single" w:sz="6" w:space="0" w:color="FFFFFF"/>
          <w:bottom w:val="single" w:sz="6" w:space="0" w:color="FFFFFF"/>
          <w:right w:val="single" w:sz="6" w:space="0" w:color="FFFFFF"/>
        </w:pBdr>
        <w:spacing w:after="0" w:line="240" w:lineRule="auto"/>
        <w:textAlignment w:val="baseline"/>
        <w:outlineLvl w:val="1"/>
      </w:pPr>
      <w:r>
        <w:rPr>
          <w:rFonts w:eastAsia="Times New Roman" w:cs="Arial"/>
          <w:bCs/>
        </w:rPr>
        <w:t xml:space="preserve">Samarkand, Uzbekistan, </w:t>
      </w:r>
      <w:r w:rsidR="003462A7">
        <w:rPr>
          <w:rFonts w:eastAsia="Times New Roman" w:cs="Arial"/>
          <w:bCs/>
        </w:rPr>
        <w:t>12 - 17 February 2024</w:t>
      </w:r>
    </w:p>
    <w:p w14:paraId="47CE566F" w14:textId="16A80CAA" w:rsidR="006E5484" w:rsidRDefault="00FB2FEF" w:rsidP="0031773E">
      <w:pPr>
        <w:tabs>
          <w:tab w:val="left" w:pos="7020"/>
        </w:tabs>
        <w:spacing w:after="0" w:line="240" w:lineRule="auto"/>
      </w:pPr>
      <w:r>
        <w:t xml:space="preserve">Agenda Item </w:t>
      </w:r>
      <w:r w:rsidR="002D63D2">
        <w:t>27.5</w:t>
      </w:r>
    </w:p>
    <w:p w14:paraId="51D6C028" w14:textId="77777777" w:rsidR="006E5484" w:rsidRDefault="006E5484">
      <w:pPr>
        <w:widowControl w:val="0"/>
        <w:spacing w:after="0" w:line="240" w:lineRule="auto"/>
        <w:textAlignment w:val="baseline"/>
        <w:rPr>
          <w:rFonts w:eastAsia="Times New Roman" w:cs="Arial"/>
        </w:rPr>
      </w:pPr>
    </w:p>
    <w:p w14:paraId="3696A496" w14:textId="77777777" w:rsidR="006E5484" w:rsidRDefault="006E5484">
      <w:pPr>
        <w:widowControl w:val="0"/>
        <w:spacing w:after="0" w:line="240" w:lineRule="auto"/>
        <w:textAlignment w:val="baseline"/>
        <w:rPr>
          <w:rFonts w:eastAsia="Times New Roman" w:cs="Arial"/>
        </w:rPr>
      </w:pPr>
    </w:p>
    <w:p w14:paraId="4C34D11A" w14:textId="0100CEB0" w:rsidR="006E5484" w:rsidRDefault="00FB2FEF">
      <w:pPr>
        <w:widowControl w:val="0"/>
        <w:pBdr>
          <w:top w:val="single" w:sz="6" w:space="0" w:color="FFFFFF"/>
          <w:left w:val="single" w:sz="6" w:space="0" w:color="FFFFFF"/>
          <w:bottom w:val="single" w:sz="6" w:space="0" w:color="FFFFFF"/>
          <w:right w:val="single" w:sz="6" w:space="0" w:color="FFFFFF"/>
        </w:pBdr>
        <w:spacing w:after="120" w:line="240" w:lineRule="auto"/>
        <w:ind w:left="-86" w:right="-360"/>
        <w:jc w:val="center"/>
        <w:textAlignment w:val="baseline"/>
        <w:outlineLvl w:val="1"/>
      </w:pPr>
      <w:r>
        <w:rPr>
          <w:rFonts w:eastAsia="Times New Roman" w:cs="Arial"/>
          <w:b/>
          <w:bCs/>
        </w:rPr>
        <w:t>CONSERVATION PRIORITIES FOR CETACEANS</w:t>
      </w:r>
    </w:p>
    <w:p w14:paraId="2146BEA5" w14:textId="383E3F5E" w:rsidR="006E5484" w:rsidRDefault="00FB2FEF">
      <w:pPr>
        <w:widowControl w:val="0"/>
        <w:spacing w:after="0" w:line="240" w:lineRule="auto"/>
        <w:jc w:val="center"/>
        <w:textAlignment w:val="baseline"/>
      </w:pPr>
      <w:r>
        <w:rPr>
          <w:rFonts w:eastAsia="Times New Roman" w:cs="Arial"/>
          <w:i/>
        </w:rPr>
        <w:t>(Prepared by the Secretariat</w:t>
      </w:r>
      <w:r w:rsidR="00167A71">
        <w:rPr>
          <w:rFonts w:eastAsia="Times New Roman" w:cs="Arial"/>
          <w:i/>
        </w:rPr>
        <w:t xml:space="preserve"> and Scientific Council</w:t>
      </w:r>
      <w:r>
        <w:rPr>
          <w:rFonts w:eastAsia="Times New Roman" w:cs="Arial"/>
          <w:i/>
        </w:rPr>
        <w:t>)</w:t>
      </w:r>
    </w:p>
    <w:p w14:paraId="320C7E82" w14:textId="77777777" w:rsidR="006E5484" w:rsidRPr="003A1DCE" w:rsidRDefault="006E5484">
      <w:pPr>
        <w:widowControl w:val="0"/>
        <w:tabs>
          <w:tab w:val="left" w:pos="8295"/>
        </w:tabs>
        <w:spacing w:after="0" w:line="240" w:lineRule="auto"/>
        <w:jc w:val="both"/>
        <w:textAlignment w:val="baseline"/>
        <w:rPr>
          <w:i/>
        </w:rPr>
      </w:pPr>
    </w:p>
    <w:p w14:paraId="245E0E68" w14:textId="77777777" w:rsidR="006E5484" w:rsidRPr="003A1DCE" w:rsidRDefault="006E5484">
      <w:pPr>
        <w:widowControl w:val="0"/>
        <w:tabs>
          <w:tab w:val="left" w:pos="8295"/>
        </w:tabs>
        <w:spacing w:after="0" w:line="240" w:lineRule="auto"/>
        <w:jc w:val="both"/>
        <w:textAlignment w:val="baseline"/>
      </w:pPr>
    </w:p>
    <w:p w14:paraId="475B62B4" w14:textId="45F453B3" w:rsidR="006E5484" w:rsidRDefault="00FB2FEF">
      <w:pPr>
        <w:widowControl w:val="0"/>
        <w:spacing w:after="0" w:line="240" w:lineRule="auto"/>
        <w:textAlignment w:val="baseline"/>
        <w:rPr>
          <w:rFonts w:ascii="Calibri" w:eastAsia="Calibri" w:hAnsi="Calibri" w:cs="Times New Roman"/>
        </w:rPr>
      </w:pPr>
      <w:r>
        <w:rPr>
          <w:rFonts w:ascii="Calibri" w:eastAsia="Calibri" w:hAnsi="Calibri" w:cs="Times New Roman"/>
          <w:noProof/>
        </w:rPr>
        <mc:AlternateContent>
          <mc:Choice Requires="wps">
            <w:drawing>
              <wp:anchor distT="0" distB="26670" distL="0" distR="19050" simplePos="0" relativeHeight="251658240" behindDoc="0" locked="0" layoutInCell="0" allowOverlap="1" wp14:anchorId="5BAE9441" wp14:editId="69E05777">
                <wp:simplePos x="0" y="0"/>
                <wp:positionH relativeFrom="column">
                  <wp:posOffset>573404</wp:posOffset>
                </wp:positionH>
                <wp:positionV relativeFrom="paragraph">
                  <wp:posOffset>105409</wp:posOffset>
                </wp:positionV>
                <wp:extent cx="4874895" cy="1998345"/>
                <wp:effectExtent l="0" t="0" r="20955" b="20955"/>
                <wp:wrapNone/>
                <wp:docPr id="2" name="Rectangle 2"/>
                <wp:cNvGraphicFramePr/>
                <a:graphic xmlns:a="http://schemas.openxmlformats.org/drawingml/2006/main">
                  <a:graphicData uri="http://schemas.microsoft.com/office/word/2010/wordprocessingShape">
                    <wps:wsp>
                      <wps:cNvSpPr/>
                      <wps:spPr>
                        <a:xfrm>
                          <a:off x="0" y="0"/>
                          <a:ext cx="4874895" cy="1998345"/>
                        </a:xfrm>
                        <a:prstGeom prst="rect">
                          <a:avLst/>
                        </a:prstGeom>
                        <a:solidFill>
                          <a:srgbClr val="FFFFFF"/>
                        </a:solidFill>
                        <a:ln w="3172">
                          <a:solidFill>
                            <a:srgbClr val="000000"/>
                          </a:solidFill>
                          <a:round/>
                        </a:ln>
                      </wps:spPr>
                      <wps:style>
                        <a:lnRef idx="0">
                          <a:scrgbClr r="0" g="0" b="0"/>
                        </a:lnRef>
                        <a:fillRef idx="0">
                          <a:scrgbClr r="0" g="0" b="0"/>
                        </a:fillRef>
                        <a:effectRef idx="0">
                          <a:scrgbClr r="0" g="0" b="0"/>
                        </a:effectRef>
                        <a:fontRef idx="minor"/>
                      </wps:style>
                      <wps:txbx>
                        <w:txbxContent>
                          <w:p w14:paraId="112CD717" w14:textId="77777777" w:rsidR="006E5484" w:rsidRDefault="00FB2FEF">
                            <w:pPr>
                              <w:pStyle w:val="FrameContents"/>
                              <w:spacing w:after="0"/>
                            </w:pPr>
                            <w:r>
                              <w:rPr>
                                <w:rFonts w:cs="Arial"/>
                              </w:rPr>
                              <w:t>Summary:</w:t>
                            </w:r>
                          </w:p>
                          <w:p w14:paraId="004439CB" w14:textId="77777777" w:rsidR="006E5484" w:rsidRDefault="006E5484">
                            <w:pPr>
                              <w:pStyle w:val="FrameContents"/>
                              <w:spacing w:after="0"/>
                              <w:rPr>
                                <w:rFonts w:cs="Arial"/>
                              </w:rPr>
                            </w:pPr>
                          </w:p>
                          <w:p w14:paraId="5469C935" w14:textId="77777777" w:rsidR="006E5484" w:rsidRDefault="00FB2FEF">
                            <w:pPr>
                              <w:pStyle w:val="FrameContents"/>
                              <w:spacing w:after="0" w:line="240" w:lineRule="auto"/>
                              <w:rPr>
                                <w:rFonts w:cs="Arial"/>
                                <w:iCs/>
                                <w:color w:val="000000"/>
                              </w:rPr>
                            </w:pPr>
                            <w:r>
                              <w:rPr>
                                <w:rFonts w:cs="Arial"/>
                                <w:color w:val="000000"/>
                              </w:rPr>
                              <w:t xml:space="preserve">This document reports on progress to implement </w:t>
                            </w:r>
                            <w:r>
                              <w:rPr>
                                <w:rFonts w:cs="Arial"/>
                                <w:iCs/>
                                <w:color w:val="000000"/>
                              </w:rPr>
                              <w:t>Decisions 13.80-13.85 and contains a draft</w:t>
                            </w:r>
                            <w:r>
                              <w:rPr>
                                <w:rFonts w:cs="Arial"/>
                                <w:color w:val="000000"/>
                              </w:rPr>
                              <w:t xml:space="preserve"> Resolution </w:t>
                            </w:r>
                            <w:r>
                              <w:rPr>
                                <w:rFonts w:cs="Arial"/>
                                <w:iCs/>
                                <w:color w:val="000000"/>
                              </w:rPr>
                              <w:t>and draft Decisions for adoption.</w:t>
                            </w:r>
                          </w:p>
                          <w:p w14:paraId="31377C0D" w14:textId="77777777" w:rsidR="00A33092" w:rsidRDefault="00A33092">
                            <w:pPr>
                              <w:pStyle w:val="FrameContents"/>
                              <w:spacing w:after="0" w:line="240" w:lineRule="auto"/>
                              <w:rPr>
                                <w:rFonts w:cs="Arial"/>
                                <w:iCs/>
                                <w:color w:val="000000"/>
                              </w:rPr>
                            </w:pPr>
                          </w:p>
                          <w:p w14:paraId="0F7847B0" w14:textId="77777777" w:rsidR="00A33092" w:rsidRDefault="00A33092" w:rsidP="00A33092">
                            <w:pPr>
                              <w:pStyle w:val="FrameContents"/>
                              <w:spacing w:after="0" w:line="240" w:lineRule="auto"/>
                              <w:jc w:val="both"/>
                            </w:pPr>
                            <w:r>
                              <w:t xml:space="preserve">Following discussion at the </w:t>
                            </w:r>
                            <w:r w:rsidRPr="002C2753">
                              <w:t>6th Meeting of the Sessional Committee</w:t>
                            </w:r>
                            <w:r>
                              <w:t xml:space="preserve"> of the Scientific Council, a correspondence group was set up to help refine the document further. Rev.1 reflects the changes agreed by this group.</w:t>
                            </w:r>
                          </w:p>
                          <w:p w14:paraId="40B8E00E" w14:textId="77777777" w:rsidR="00A33092" w:rsidRDefault="00A33092">
                            <w:pPr>
                              <w:pStyle w:val="FrameContents"/>
                              <w:spacing w:after="0" w:line="240" w:lineRule="auto"/>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5BAE9441" id="Rectangle 2" o:spid="_x0000_s1026" style="position:absolute;margin-left:45.15pt;margin-top:8.3pt;width:383.85pt;height:157.35pt;z-index:251658240;visibility:visible;mso-wrap-style:square;mso-width-percent:0;mso-height-percent:0;mso-wrap-distance-left:0;mso-wrap-distance-top:0;mso-wrap-distance-right:1.5pt;mso-wrap-distance-bottom:2.1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" o:allowincell="f" strokeweight=".08811mm">
                <v:stroke joinstyle="round"/>
                <v:textbox>
                  <w:txbxContent>
                    <w:p w14:paraId="112CD717" w14:textId="77777777" w:rsidR="006E5484" w:rsidRDefault="00FB2FEF">
                      <w:pPr>
                        <w:pStyle w:val="FrameContents"/>
                        <w:spacing w:after="0"/>
                      </w:pPr>
                      <w:r>
                        <w:rPr>
                          <w:rFonts w:cs="Arial"/>
                        </w:rPr>
                        <w:t>Summary:</w:t>
                      </w:r>
                    </w:p>
                    <w:p w14:paraId="004439CB" w14:textId="77777777" w:rsidR="006E5484" w:rsidRDefault="006E5484">
                      <w:pPr>
                        <w:pStyle w:val="FrameContents"/>
                        <w:spacing w:after="0"/>
                        <w:rPr>
                          <w:rFonts w:cs="Arial"/>
                        </w:rPr>
                      </w:pPr>
                    </w:p>
                    <w:p w14:paraId="5469C935" w14:textId="77777777" w:rsidR="006E5484" w:rsidRDefault="00FB2FEF">
                      <w:pPr>
                        <w:pStyle w:val="FrameContents"/>
                        <w:spacing w:after="0" w:line="240" w:lineRule="auto"/>
                        <w:rPr>
                          <w:rFonts w:cs="Arial"/>
                          <w:iCs/>
                          <w:color w:val="000000"/>
                        </w:rPr>
                      </w:pPr>
                      <w:r>
                        <w:rPr>
                          <w:rFonts w:cs="Arial"/>
                          <w:color w:val="000000"/>
                        </w:rPr>
                        <w:t xml:space="preserve">This document reports on progress to implement </w:t>
                      </w:r>
                      <w:r>
                        <w:rPr>
                          <w:rFonts w:cs="Arial"/>
                          <w:iCs/>
                          <w:color w:val="000000"/>
                        </w:rPr>
                        <w:t>Decisions 13.80-13.85 and contains a draft</w:t>
                      </w:r>
                      <w:r>
                        <w:rPr>
                          <w:rFonts w:cs="Arial"/>
                          <w:color w:val="000000"/>
                        </w:rPr>
                        <w:t xml:space="preserve"> Resolution </w:t>
                      </w:r>
                      <w:r>
                        <w:rPr>
                          <w:rFonts w:cs="Arial"/>
                          <w:iCs/>
                          <w:color w:val="000000"/>
                        </w:rPr>
                        <w:t>and draft Decisions for adoption.</w:t>
                      </w:r>
                    </w:p>
                    <w:p w14:paraId="31377C0D" w14:textId="77777777" w:rsidR="00A33092" w:rsidRDefault="00A33092">
                      <w:pPr>
                        <w:pStyle w:val="FrameContents"/>
                        <w:spacing w:after="0" w:line="240" w:lineRule="auto"/>
                        <w:rPr>
                          <w:rFonts w:cs="Arial"/>
                          <w:iCs/>
                          <w:color w:val="000000"/>
                        </w:rPr>
                      </w:pPr>
                    </w:p>
                    <w:p w14:paraId="0F7847B0" w14:textId="77777777" w:rsidR="00A33092" w:rsidRDefault="00A33092" w:rsidP="00A33092">
                      <w:pPr>
                        <w:pStyle w:val="FrameContents"/>
                        <w:spacing w:after="0" w:line="240" w:lineRule="auto"/>
                        <w:jc w:val="both"/>
                      </w:pPr>
                      <w:r>
                        <w:t xml:space="preserve">Following discussion at the </w:t>
                      </w:r>
                      <w:r w:rsidRPr="002C2753">
                        <w:t>6th Meeting of the Sessional Committee</w:t>
                      </w:r>
                      <w:r>
                        <w:t xml:space="preserve"> of the Scientific Council, a correspondence group was set up to help refine the document further. Rev.1 reflects the changes agreed by this group.</w:t>
                      </w:r>
                    </w:p>
                    <w:p w14:paraId="40B8E00E" w14:textId="77777777" w:rsidR="00A33092" w:rsidRDefault="00A33092">
                      <w:pPr>
                        <w:pStyle w:val="FrameContents"/>
                        <w:spacing w:after="0" w:line="240" w:lineRule="auto"/>
                      </w:pPr>
                    </w:p>
                  </w:txbxContent>
                </v:textbox>
              </v:rect>
            </w:pict>
          </mc:Fallback>
        </mc:AlternateContent>
      </w:r>
    </w:p>
    <w:p w14:paraId="17E672B4" w14:textId="77777777" w:rsidR="006E5484" w:rsidRPr="003A1DCE" w:rsidRDefault="006E5484">
      <w:pPr>
        <w:widowControl w:val="0"/>
        <w:spacing w:after="0" w:line="240" w:lineRule="auto"/>
        <w:textAlignment w:val="baseline"/>
      </w:pPr>
    </w:p>
    <w:p w14:paraId="7ECB18A9" w14:textId="77777777" w:rsidR="006E5484" w:rsidRPr="003A1DCE" w:rsidRDefault="006E5484">
      <w:pPr>
        <w:widowControl w:val="0"/>
        <w:spacing w:after="0" w:line="240" w:lineRule="auto"/>
        <w:textAlignment w:val="baseline"/>
      </w:pPr>
    </w:p>
    <w:p w14:paraId="507E1137" w14:textId="77777777" w:rsidR="006E5484" w:rsidRPr="003A1DCE" w:rsidRDefault="006E5484">
      <w:pPr>
        <w:widowControl w:val="0"/>
        <w:spacing w:after="0" w:line="240" w:lineRule="auto"/>
        <w:textAlignment w:val="baseline"/>
      </w:pPr>
    </w:p>
    <w:p w14:paraId="0F6754B5" w14:textId="77777777" w:rsidR="006E5484" w:rsidRPr="003A1DCE" w:rsidRDefault="006E5484">
      <w:pPr>
        <w:widowControl w:val="0"/>
        <w:spacing w:after="0" w:line="240" w:lineRule="auto"/>
        <w:textAlignment w:val="baseline"/>
      </w:pPr>
    </w:p>
    <w:p w14:paraId="0A29628C" w14:textId="77777777" w:rsidR="006E5484" w:rsidRPr="003A1DCE" w:rsidRDefault="006E5484">
      <w:pPr>
        <w:widowControl w:val="0"/>
        <w:spacing w:after="0" w:line="240" w:lineRule="auto"/>
        <w:textAlignment w:val="baseline"/>
      </w:pPr>
    </w:p>
    <w:p w14:paraId="70B65093" w14:textId="77777777" w:rsidR="006E5484" w:rsidRPr="003A1DCE" w:rsidRDefault="006E5484">
      <w:pPr>
        <w:widowControl w:val="0"/>
        <w:spacing w:after="0" w:line="240" w:lineRule="auto"/>
        <w:textAlignment w:val="baseline"/>
      </w:pPr>
    </w:p>
    <w:p w14:paraId="1D3E0EB1" w14:textId="77777777" w:rsidR="006E5484" w:rsidRPr="003A1DCE" w:rsidRDefault="006E5484">
      <w:pPr>
        <w:widowControl w:val="0"/>
        <w:spacing w:after="0" w:line="240" w:lineRule="auto"/>
        <w:textAlignment w:val="baseline"/>
      </w:pPr>
    </w:p>
    <w:p w14:paraId="70C6565E" w14:textId="77777777" w:rsidR="006E5484" w:rsidRPr="003A1DCE" w:rsidRDefault="006E5484">
      <w:pPr>
        <w:widowControl w:val="0"/>
        <w:spacing w:after="0" w:line="240" w:lineRule="auto"/>
        <w:textAlignment w:val="baseline"/>
      </w:pPr>
    </w:p>
    <w:p w14:paraId="0E1DE9E9" w14:textId="77777777" w:rsidR="006E5484" w:rsidRDefault="006E5484">
      <w:pPr>
        <w:spacing w:after="0" w:line="240" w:lineRule="auto"/>
      </w:pPr>
    </w:p>
    <w:p w14:paraId="2CA3545B" w14:textId="77777777" w:rsidR="006E5484" w:rsidRDefault="006E5484">
      <w:pPr>
        <w:spacing w:after="0" w:line="240" w:lineRule="auto"/>
        <w:sectPr w:rsidR="006E5484">
          <w:headerReference w:type="default" r:id="rId14"/>
          <w:pgSz w:w="11906" w:h="16838"/>
          <w:pgMar w:top="1440" w:right="1440" w:bottom="1440" w:left="1440" w:header="720" w:footer="0" w:gutter="0"/>
          <w:cols w:space="720"/>
          <w:formProt w:val="0"/>
          <w:docGrid w:linePitch="360" w:charSpace="4096"/>
        </w:sectPr>
      </w:pPr>
    </w:p>
    <w:p w14:paraId="2CF64611" w14:textId="77777777" w:rsidR="006E5484" w:rsidRDefault="00FB2FEF">
      <w:pPr>
        <w:pStyle w:val="Title1"/>
      </w:pPr>
      <w:r>
        <w:lastRenderedPageBreak/>
        <w:t>CONSERVATION PRIORITIES FOR CETACEANS</w:t>
      </w:r>
    </w:p>
    <w:p w14:paraId="7EEAD1D7" w14:textId="77777777" w:rsidR="006E5484" w:rsidRDefault="006E5484">
      <w:pPr>
        <w:spacing w:after="0" w:line="240" w:lineRule="auto"/>
        <w:textAlignment w:val="baseline"/>
        <w:rPr>
          <w:rFonts w:eastAsia="Calibri" w:cs="Arial"/>
        </w:rPr>
      </w:pPr>
    </w:p>
    <w:p w14:paraId="118112E1" w14:textId="77777777" w:rsidR="006E5484" w:rsidRDefault="006E5484">
      <w:pPr>
        <w:spacing w:after="0" w:line="240" w:lineRule="auto"/>
        <w:textAlignment w:val="baseline"/>
        <w:rPr>
          <w:rFonts w:eastAsia="Calibri" w:cs="Arial"/>
        </w:rPr>
      </w:pPr>
    </w:p>
    <w:p w14:paraId="1FBDF943" w14:textId="77777777" w:rsidR="006E5484" w:rsidRDefault="00FB2FEF">
      <w:pPr>
        <w:spacing w:after="0" w:line="240" w:lineRule="auto"/>
        <w:textAlignment w:val="baseline"/>
      </w:pPr>
      <w:r>
        <w:rPr>
          <w:rFonts w:eastAsia="Calibri" w:cs="Arial"/>
          <w:u w:val="single"/>
        </w:rPr>
        <w:t>Background</w:t>
      </w:r>
    </w:p>
    <w:p w14:paraId="561049AB" w14:textId="77777777" w:rsidR="006E5484" w:rsidRDefault="006E5484">
      <w:pPr>
        <w:spacing w:after="0" w:line="240" w:lineRule="auto"/>
      </w:pPr>
    </w:p>
    <w:p w14:paraId="49E70627" w14:textId="45814DB7" w:rsidR="006E5484" w:rsidRDefault="00FB2FEF">
      <w:pPr>
        <w:widowControl w:val="0"/>
        <w:numPr>
          <w:ilvl w:val="0"/>
          <w:numId w:val="26"/>
        </w:numPr>
        <w:spacing w:after="0" w:line="240" w:lineRule="auto"/>
        <w:ind w:left="567" w:hanging="567"/>
        <w:contextualSpacing/>
        <w:jc w:val="both"/>
      </w:pPr>
      <w:r>
        <w:rPr>
          <w:rFonts w:cs="Arial"/>
        </w:rPr>
        <w:t xml:space="preserve">Resolution 10.15 (Rev.COP12) </w:t>
      </w:r>
      <w:r>
        <w:rPr>
          <w:rFonts w:cs="Arial"/>
          <w:i/>
          <w:iCs/>
        </w:rPr>
        <w:t>Global Programme of Work for Cetaceans</w:t>
      </w:r>
      <w:r>
        <w:rPr>
          <w:rFonts w:cs="Arial"/>
        </w:rPr>
        <w:t xml:space="preserve"> drew together the many individual Resolution commitments negotiated over the previous years. Through a focus on different ocean regions, it was designed to assist Parties to better understand which Resolution commitments were most pressing in their respective regions while also providing greater clarity </w:t>
      </w:r>
      <w:r w:rsidR="00D34AB3">
        <w:rPr>
          <w:rFonts w:cs="Arial"/>
        </w:rPr>
        <w:t>on</w:t>
      </w:r>
      <w:r>
        <w:rPr>
          <w:rFonts w:cs="Arial"/>
        </w:rPr>
        <w:t xml:space="preserve"> National Reporting priorities. It pointed out key partners for collaborations in each sub-region, and formally established a working group under the Scientific </w:t>
      </w:r>
      <w:r w:rsidRPr="00F676C6">
        <w:rPr>
          <w:rFonts w:cs="Arial"/>
        </w:rPr>
        <w:t xml:space="preserve">Council that </w:t>
      </w:r>
      <w:r w:rsidR="00375904">
        <w:rPr>
          <w:rFonts w:cs="Arial"/>
        </w:rPr>
        <w:t>can draw</w:t>
      </w:r>
      <w:r w:rsidRPr="00F676C6">
        <w:rPr>
          <w:rFonts w:cs="Arial"/>
        </w:rPr>
        <w:t xml:space="preserve"> on external expertise to supplement the expertise available within the Cou</w:t>
      </w:r>
      <w:r>
        <w:rPr>
          <w:rFonts w:cs="Arial"/>
        </w:rPr>
        <w:t>ncil. It detailed priorities across regions for the period 2012-2017 and 2017-2024.</w:t>
      </w:r>
    </w:p>
    <w:p w14:paraId="3EE3E8A0" w14:textId="77777777" w:rsidR="006E5484" w:rsidRDefault="006E5484">
      <w:pPr>
        <w:widowControl w:val="0"/>
        <w:spacing w:after="0" w:line="240" w:lineRule="auto"/>
        <w:ind w:left="567"/>
        <w:contextualSpacing/>
        <w:jc w:val="both"/>
        <w:rPr>
          <w:rFonts w:cs="Arial"/>
        </w:rPr>
      </w:pPr>
    </w:p>
    <w:p w14:paraId="48600F87" w14:textId="05B8EB0D" w:rsidR="006E5484" w:rsidRDefault="00FB2FEF">
      <w:pPr>
        <w:widowControl w:val="0"/>
        <w:numPr>
          <w:ilvl w:val="0"/>
          <w:numId w:val="6"/>
        </w:numPr>
        <w:spacing w:after="0" w:line="240" w:lineRule="auto"/>
        <w:ind w:left="567" w:hanging="567"/>
        <w:contextualSpacing/>
        <w:jc w:val="both"/>
      </w:pPr>
      <w:r>
        <w:rPr>
          <w:rFonts w:cs="Arial"/>
        </w:rPr>
        <w:t xml:space="preserve">A number of </w:t>
      </w:r>
      <w:r w:rsidR="00263026">
        <w:rPr>
          <w:rFonts w:cs="Arial"/>
        </w:rPr>
        <w:t xml:space="preserve">separate </w:t>
      </w:r>
      <w:r>
        <w:rPr>
          <w:rFonts w:cs="Arial"/>
        </w:rPr>
        <w:t>work streams under CMS have arisen from this Resolution, such as those addressing marine noise (</w:t>
      </w:r>
      <w:hyperlink r:id="rId15" w:history="1">
        <w:r w:rsidR="009D4DBF" w:rsidRPr="00207BE3">
          <w:rPr>
            <w:rStyle w:val="Hyperlink"/>
            <w:rFonts w:cs="Arial"/>
          </w:rPr>
          <w:t>UNEP/CMS/COP14/</w:t>
        </w:r>
        <w:r w:rsidRPr="00207BE3">
          <w:rPr>
            <w:rStyle w:val="Hyperlink"/>
            <w:rFonts w:cs="Arial"/>
          </w:rPr>
          <w:t>Doc.</w:t>
        </w:r>
        <w:r w:rsidR="009D4DBF" w:rsidRPr="00207BE3">
          <w:rPr>
            <w:rStyle w:val="Hyperlink"/>
            <w:rFonts w:cs="Arial"/>
          </w:rPr>
          <w:t>27.2.2</w:t>
        </w:r>
      </w:hyperlink>
      <w:r>
        <w:rPr>
          <w:rFonts w:cs="Arial"/>
        </w:rPr>
        <w:t>), animal culture (</w:t>
      </w:r>
      <w:hyperlink r:id="rId16" w:history="1">
        <w:r w:rsidR="006F7D7D" w:rsidRPr="006F7D7D">
          <w:rPr>
            <w:rStyle w:val="Hyperlink"/>
            <w:rFonts w:cs="Arial"/>
          </w:rPr>
          <w:t>UNEP/CMS/COP14/</w:t>
        </w:r>
        <w:r w:rsidRPr="006F7D7D">
          <w:rPr>
            <w:rStyle w:val="Hyperlink"/>
            <w:rFonts w:cs="Arial"/>
          </w:rPr>
          <w:t>Doc.</w:t>
        </w:r>
        <w:r w:rsidR="006F7D7D" w:rsidRPr="006F7D7D">
          <w:rPr>
            <w:rStyle w:val="Hyperlink"/>
            <w:rFonts w:cs="Arial"/>
          </w:rPr>
          <w:t>30.5</w:t>
        </w:r>
      </w:hyperlink>
      <w:r>
        <w:rPr>
          <w:rFonts w:cs="Arial"/>
        </w:rPr>
        <w:t>), marine wildlife watching (</w:t>
      </w:r>
      <w:hyperlink r:id="rId17" w:history="1">
        <w:r w:rsidR="00831DDF" w:rsidRPr="002B7A97">
          <w:rPr>
            <w:rStyle w:val="Hyperlink"/>
            <w:rFonts w:cs="Arial"/>
          </w:rPr>
          <w:t>UNEP/CMS/COP14/</w:t>
        </w:r>
        <w:r w:rsidRPr="002B7A97">
          <w:rPr>
            <w:rStyle w:val="Hyperlink"/>
            <w:rFonts w:cs="Arial"/>
          </w:rPr>
          <w:t>Doc.</w:t>
        </w:r>
        <w:r w:rsidR="002B7A97" w:rsidRPr="002B7A97">
          <w:rPr>
            <w:rStyle w:val="Hyperlink"/>
            <w:rFonts w:cs="Arial"/>
          </w:rPr>
          <w:t>27.3.1</w:t>
        </w:r>
      </w:hyperlink>
      <w:r>
        <w:rPr>
          <w:rFonts w:cs="Arial"/>
        </w:rPr>
        <w:t>), aquatic wild meat (</w:t>
      </w:r>
      <w:hyperlink r:id="rId18" w:history="1">
        <w:r w:rsidR="00234B8C" w:rsidRPr="00234B8C">
          <w:rPr>
            <w:rStyle w:val="Hyperlink"/>
            <w:rFonts w:cs="Arial"/>
          </w:rPr>
          <w:t>UNEP/CMS/COP14/</w:t>
        </w:r>
        <w:r w:rsidRPr="00234B8C">
          <w:rPr>
            <w:rStyle w:val="Hyperlink"/>
            <w:rFonts w:cs="Arial"/>
          </w:rPr>
          <w:t>Doc.</w:t>
        </w:r>
        <w:r w:rsidR="00234B8C" w:rsidRPr="00234B8C">
          <w:rPr>
            <w:rStyle w:val="Hyperlink"/>
            <w:rFonts w:cs="Arial"/>
          </w:rPr>
          <w:t>30.1.2</w:t>
        </w:r>
      </w:hyperlink>
      <w:r>
        <w:rPr>
          <w:rFonts w:cs="Arial"/>
        </w:rPr>
        <w:t>) and live</w:t>
      </w:r>
      <w:r w:rsidRPr="00D34AB3">
        <w:rPr>
          <w:rFonts w:cs="Arial"/>
        </w:rPr>
        <w:t xml:space="preserve"> capture </w:t>
      </w:r>
      <w:r>
        <w:rPr>
          <w:rFonts w:cs="Arial"/>
        </w:rPr>
        <w:t>of cetaceans (</w:t>
      </w:r>
      <w:hyperlink r:id="rId19">
        <w:r>
          <w:rPr>
            <w:rStyle w:val="Hyperlink"/>
            <w:rFonts w:cs="Arial"/>
          </w:rPr>
          <w:t>Resolution 11.22 (Rev.COP12)</w:t>
        </w:r>
      </w:hyperlink>
      <w:r>
        <w:rPr>
          <w:rFonts w:cs="Arial"/>
        </w:rPr>
        <w:t>).</w:t>
      </w:r>
    </w:p>
    <w:p w14:paraId="284079DF" w14:textId="77777777" w:rsidR="006E5484" w:rsidRDefault="006E5484">
      <w:pPr>
        <w:pStyle w:val="Firstnumbering"/>
        <w:numPr>
          <w:ilvl w:val="0"/>
          <w:numId w:val="0"/>
        </w:numPr>
      </w:pPr>
    </w:p>
    <w:p w14:paraId="4C9032F5" w14:textId="4CBDA43E" w:rsidR="006E5484" w:rsidRDefault="00FB2FEF" w:rsidP="0031773E">
      <w:pPr>
        <w:widowControl w:val="0"/>
        <w:numPr>
          <w:ilvl w:val="0"/>
          <w:numId w:val="6"/>
        </w:numPr>
        <w:spacing w:after="80" w:line="240" w:lineRule="auto"/>
        <w:ind w:left="562" w:hanging="562"/>
        <w:jc w:val="both"/>
      </w:pPr>
      <w:r>
        <w:rPr>
          <w:rFonts w:cs="Arial"/>
        </w:rPr>
        <w:t>COP13 adopted a number of Decisions relat</w:t>
      </w:r>
      <w:r w:rsidR="00F579B4">
        <w:rPr>
          <w:rFonts w:cs="Arial"/>
        </w:rPr>
        <w:t>ing</w:t>
      </w:r>
      <w:r>
        <w:rPr>
          <w:rFonts w:cs="Arial"/>
        </w:rPr>
        <w:t xml:space="preserve"> to </w:t>
      </w:r>
      <w:r w:rsidR="00F579B4">
        <w:rPr>
          <w:rFonts w:cs="Arial"/>
        </w:rPr>
        <w:t xml:space="preserve">the </w:t>
      </w:r>
      <w:r w:rsidR="00CE0054">
        <w:rPr>
          <w:rFonts w:cs="Arial"/>
          <w:i/>
          <w:iCs/>
        </w:rPr>
        <w:t>Global Programme of Work for Cetaceans</w:t>
      </w:r>
      <w:r>
        <w:rPr>
          <w:rFonts w:cs="Arial"/>
        </w:rPr>
        <w:t>:</w:t>
      </w:r>
    </w:p>
    <w:p w14:paraId="381FDD19" w14:textId="723FD24D" w:rsidR="006E5484" w:rsidRPr="00E14618" w:rsidRDefault="00FB2FEF" w:rsidP="0031773E">
      <w:pPr>
        <w:widowControl w:val="0"/>
        <w:spacing w:after="0" w:line="240" w:lineRule="auto"/>
        <w:ind w:left="720"/>
        <w:jc w:val="both"/>
        <w:rPr>
          <w:sz w:val="20"/>
          <w:szCs w:val="20"/>
        </w:rPr>
      </w:pPr>
      <w:r w:rsidRPr="00E14618">
        <w:rPr>
          <w:rFonts w:cs="Arial"/>
          <w:b/>
          <w:bCs/>
          <w:i/>
          <w:iCs/>
          <w:sz w:val="20"/>
          <w:szCs w:val="20"/>
        </w:rPr>
        <w:t>13.80 Directed to the Parties</w:t>
      </w:r>
    </w:p>
    <w:p w14:paraId="3971DA34" w14:textId="77777777" w:rsidR="006E5484" w:rsidRPr="00E14618" w:rsidRDefault="006E5484" w:rsidP="0031773E">
      <w:pPr>
        <w:widowControl w:val="0"/>
        <w:spacing w:after="0" w:line="240" w:lineRule="auto"/>
        <w:ind w:left="720"/>
        <w:jc w:val="both"/>
        <w:rPr>
          <w:rFonts w:cs="Arial"/>
          <w:i/>
          <w:iCs/>
          <w:sz w:val="20"/>
          <w:szCs w:val="20"/>
        </w:rPr>
      </w:pPr>
    </w:p>
    <w:p w14:paraId="5FCCD9BA" w14:textId="77777777" w:rsidR="006E5484" w:rsidRPr="00E14618" w:rsidRDefault="00FB2FEF" w:rsidP="0031773E">
      <w:pPr>
        <w:widowControl w:val="0"/>
        <w:spacing w:after="80" w:line="240" w:lineRule="auto"/>
        <w:ind w:left="720"/>
        <w:jc w:val="both"/>
        <w:rPr>
          <w:sz w:val="20"/>
          <w:szCs w:val="20"/>
        </w:rPr>
      </w:pPr>
      <w:r w:rsidRPr="00E14618">
        <w:rPr>
          <w:rFonts w:cs="Arial"/>
          <w:i/>
          <w:sz w:val="20"/>
          <w:szCs w:val="20"/>
        </w:rPr>
        <w:t>Parties are requested to:</w:t>
      </w:r>
    </w:p>
    <w:p w14:paraId="5FB6C053" w14:textId="2064EE9E" w:rsidR="006E5484" w:rsidRPr="00E14618" w:rsidRDefault="00FB2FEF" w:rsidP="0031773E">
      <w:pPr>
        <w:pStyle w:val="ListParagraph"/>
        <w:widowControl w:val="0"/>
        <w:numPr>
          <w:ilvl w:val="0"/>
          <w:numId w:val="13"/>
        </w:numPr>
        <w:spacing w:after="80" w:line="240" w:lineRule="auto"/>
        <w:ind w:left="1080"/>
        <w:contextualSpacing w:val="0"/>
        <w:jc w:val="both"/>
        <w:rPr>
          <w:sz w:val="20"/>
          <w:szCs w:val="20"/>
        </w:rPr>
      </w:pPr>
      <w:r w:rsidRPr="00E14618">
        <w:rPr>
          <w:rFonts w:cs="Arial"/>
          <w:i/>
          <w:sz w:val="20"/>
          <w:szCs w:val="20"/>
        </w:rPr>
        <w:t>liaise with the Secretariat regarding the potential for the development of an Action Plan for the cetaceans in the Red Sea region;</w:t>
      </w:r>
    </w:p>
    <w:p w14:paraId="06F68121" w14:textId="77777777" w:rsidR="006E5484" w:rsidRPr="00E14618" w:rsidRDefault="00FB2FEF" w:rsidP="0031773E">
      <w:pPr>
        <w:pStyle w:val="ListParagraph"/>
        <w:widowControl w:val="0"/>
        <w:numPr>
          <w:ilvl w:val="0"/>
          <w:numId w:val="13"/>
        </w:numPr>
        <w:spacing w:after="0" w:line="240" w:lineRule="auto"/>
        <w:ind w:left="1080"/>
        <w:contextualSpacing w:val="0"/>
        <w:jc w:val="both"/>
        <w:rPr>
          <w:sz w:val="20"/>
          <w:szCs w:val="20"/>
        </w:rPr>
      </w:pPr>
      <w:r w:rsidRPr="00E14618">
        <w:rPr>
          <w:rFonts w:cs="Arial"/>
          <w:i/>
          <w:sz w:val="20"/>
          <w:szCs w:val="20"/>
        </w:rPr>
        <w:t>provide voluntary contributions to support the implementation of these Decisions.</w:t>
      </w:r>
    </w:p>
    <w:p w14:paraId="39C48863" w14:textId="77777777" w:rsidR="006E5484" w:rsidRPr="00E14618" w:rsidRDefault="006E5484" w:rsidP="0031773E">
      <w:pPr>
        <w:widowControl w:val="0"/>
        <w:spacing w:after="0" w:line="240" w:lineRule="auto"/>
        <w:ind w:left="720"/>
        <w:jc w:val="both"/>
        <w:rPr>
          <w:rFonts w:cs="Arial"/>
          <w:i/>
          <w:iCs/>
          <w:sz w:val="20"/>
          <w:szCs w:val="20"/>
        </w:rPr>
      </w:pPr>
    </w:p>
    <w:p w14:paraId="43B10230" w14:textId="77777777" w:rsidR="006E5484" w:rsidRPr="00E14618" w:rsidRDefault="00FB2FEF" w:rsidP="0031773E">
      <w:pPr>
        <w:widowControl w:val="0"/>
        <w:spacing w:after="0" w:line="240" w:lineRule="auto"/>
        <w:ind w:left="720"/>
        <w:jc w:val="both"/>
        <w:rPr>
          <w:sz w:val="20"/>
          <w:szCs w:val="20"/>
        </w:rPr>
      </w:pPr>
      <w:r w:rsidRPr="00E14618">
        <w:rPr>
          <w:rFonts w:cs="Arial"/>
          <w:b/>
          <w:bCs/>
          <w:i/>
          <w:iCs/>
          <w:sz w:val="20"/>
          <w:szCs w:val="20"/>
        </w:rPr>
        <w:t>13.81 Directed to the Aquatic Mammals Working Group of the Scientific Council</w:t>
      </w:r>
    </w:p>
    <w:p w14:paraId="78ADC0DA" w14:textId="77777777" w:rsidR="006E5484" w:rsidRPr="00E14618" w:rsidRDefault="006E5484" w:rsidP="0031773E">
      <w:pPr>
        <w:widowControl w:val="0"/>
        <w:spacing w:after="0" w:line="240" w:lineRule="auto"/>
        <w:ind w:left="720"/>
        <w:jc w:val="both"/>
        <w:rPr>
          <w:rFonts w:cs="Arial"/>
          <w:i/>
          <w:iCs/>
          <w:sz w:val="20"/>
          <w:szCs w:val="20"/>
        </w:rPr>
      </w:pPr>
    </w:p>
    <w:p w14:paraId="3CCC6E18" w14:textId="77777777" w:rsidR="006E5484" w:rsidRPr="00E14618" w:rsidRDefault="00FB2FEF" w:rsidP="0031773E">
      <w:pPr>
        <w:widowControl w:val="0"/>
        <w:spacing w:after="80" w:line="240" w:lineRule="auto"/>
        <w:ind w:left="720"/>
        <w:jc w:val="both"/>
        <w:rPr>
          <w:sz w:val="20"/>
          <w:szCs w:val="20"/>
        </w:rPr>
      </w:pPr>
      <w:r w:rsidRPr="00E14618">
        <w:rPr>
          <w:rFonts w:cs="Arial"/>
          <w:i/>
          <w:iCs/>
          <w:sz w:val="20"/>
          <w:szCs w:val="20"/>
        </w:rPr>
        <w:t xml:space="preserve">The Aquatic Mammals Working Group is requested, subject to the availability of resources, to: </w:t>
      </w:r>
    </w:p>
    <w:p w14:paraId="1EA2F1E6" w14:textId="77777777" w:rsidR="006E5484" w:rsidRPr="00E14618" w:rsidRDefault="00FB2FEF" w:rsidP="0031773E">
      <w:pPr>
        <w:pStyle w:val="ListParagraph"/>
        <w:widowControl w:val="0"/>
        <w:numPr>
          <w:ilvl w:val="0"/>
          <w:numId w:val="11"/>
        </w:numPr>
        <w:spacing w:after="80" w:line="240" w:lineRule="auto"/>
        <w:ind w:left="1080"/>
        <w:contextualSpacing w:val="0"/>
        <w:jc w:val="both"/>
        <w:rPr>
          <w:sz w:val="20"/>
          <w:szCs w:val="20"/>
        </w:rPr>
      </w:pPr>
      <w:r w:rsidRPr="00E14618">
        <w:rPr>
          <w:rFonts w:cs="Arial"/>
          <w:i/>
          <w:iCs/>
          <w:sz w:val="20"/>
          <w:szCs w:val="20"/>
        </w:rPr>
        <w:t xml:space="preserve">review the regional threats for the CMS-listed aquatic mammals not included in the Global Programme of Work (POW) for Cetaceans and </w:t>
      </w:r>
      <w:bookmarkStart w:id="1" w:name="_Hlk135235614"/>
      <w:r w:rsidRPr="00E14618">
        <w:rPr>
          <w:rFonts w:cs="Arial"/>
          <w:i/>
          <w:iCs/>
          <w:sz w:val="20"/>
          <w:szCs w:val="20"/>
        </w:rPr>
        <w:t>undertake a revision of the POW leading up to the 14th meeting of the Conference of the Parties (COP14), including a review of the implementation of the POW to date, preparation of a gap analysis and identification of the priorities going forward</w:t>
      </w:r>
      <w:bookmarkEnd w:id="1"/>
      <w:r w:rsidRPr="00E14618">
        <w:rPr>
          <w:rFonts w:cs="Arial"/>
          <w:i/>
          <w:iCs/>
          <w:sz w:val="20"/>
          <w:szCs w:val="20"/>
        </w:rPr>
        <w:t xml:space="preserve">; </w:t>
      </w:r>
    </w:p>
    <w:p w14:paraId="2418A076" w14:textId="77777777" w:rsidR="006E5484" w:rsidRPr="00E14618" w:rsidRDefault="00FB2FEF" w:rsidP="0031773E">
      <w:pPr>
        <w:pStyle w:val="ListParagraph"/>
        <w:widowControl w:val="0"/>
        <w:numPr>
          <w:ilvl w:val="0"/>
          <w:numId w:val="11"/>
        </w:numPr>
        <w:spacing w:after="80" w:line="240" w:lineRule="auto"/>
        <w:ind w:left="1080"/>
        <w:contextualSpacing w:val="0"/>
        <w:jc w:val="both"/>
        <w:rPr>
          <w:sz w:val="20"/>
          <w:szCs w:val="20"/>
        </w:rPr>
      </w:pPr>
      <w:r w:rsidRPr="00E14618">
        <w:rPr>
          <w:rFonts w:cs="Arial"/>
          <w:i/>
          <w:iCs/>
          <w:sz w:val="20"/>
          <w:szCs w:val="20"/>
        </w:rPr>
        <w:t>based on this assessment of threats and regional priorities, prepare work programmes for these other aquatic mammal species for consideration by the Scientific Council at its 5th or 6th meeting of the Sessional Committee;</w:t>
      </w:r>
    </w:p>
    <w:p w14:paraId="5E5BADAC" w14:textId="77777777" w:rsidR="006E5484" w:rsidRPr="00E14618" w:rsidRDefault="00FB2FEF" w:rsidP="0031773E">
      <w:pPr>
        <w:pStyle w:val="ListParagraph"/>
        <w:widowControl w:val="0"/>
        <w:numPr>
          <w:ilvl w:val="0"/>
          <w:numId w:val="11"/>
        </w:numPr>
        <w:spacing w:after="0" w:line="240" w:lineRule="auto"/>
        <w:ind w:left="1080"/>
        <w:contextualSpacing w:val="0"/>
        <w:jc w:val="both"/>
        <w:rPr>
          <w:sz w:val="20"/>
          <w:szCs w:val="20"/>
        </w:rPr>
      </w:pPr>
      <w:r w:rsidRPr="00E14618">
        <w:rPr>
          <w:rFonts w:cs="Arial"/>
          <w:i/>
          <w:iCs/>
          <w:sz w:val="20"/>
          <w:szCs w:val="20"/>
        </w:rPr>
        <w:t>if applicable, provide advice on and input to the development of an Action Plan for cetaceans in the Red Sea region.</w:t>
      </w:r>
    </w:p>
    <w:p w14:paraId="7E228828" w14:textId="77777777" w:rsidR="006E5484" w:rsidRPr="00E14618" w:rsidRDefault="006E5484" w:rsidP="0031773E">
      <w:pPr>
        <w:widowControl w:val="0"/>
        <w:spacing w:after="0" w:line="240" w:lineRule="auto"/>
        <w:ind w:left="720"/>
        <w:jc w:val="both"/>
        <w:rPr>
          <w:rFonts w:cs="Arial"/>
          <w:i/>
          <w:iCs/>
          <w:sz w:val="20"/>
          <w:szCs w:val="20"/>
        </w:rPr>
      </w:pPr>
    </w:p>
    <w:p w14:paraId="0DCE5D39" w14:textId="77777777" w:rsidR="006E5484" w:rsidRPr="00E14618" w:rsidRDefault="00FB2FEF" w:rsidP="0031773E">
      <w:pPr>
        <w:widowControl w:val="0"/>
        <w:spacing w:after="0" w:line="240" w:lineRule="auto"/>
        <w:ind w:left="720"/>
        <w:jc w:val="both"/>
        <w:rPr>
          <w:sz w:val="20"/>
          <w:szCs w:val="20"/>
        </w:rPr>
      </w:pPr>
      <w:r w:rsidRPr="00E14618">
        <w:rPr>
          <w:rFonts w:cs="Arial"/>
          <w:b/>
          <w:bCs/>
          <w:i/>
          <w:iCs/>
          <w:sz w:val="20"/>
          <w:szCs w:val="20"/>
        </w:rPr>
        <w:t>13.82 Directed to the Scientific Council</w:t>
      </w:r>
    </w:p>
    <w:p w14:paraId="40DAFC65" w14:textId="77777777" w:rsidR="006E5484" w:rsidRPr="00E14618" w:rsidRDefault="006E5484" w:rsidP="0031773E">
      <w:pPr>
        <w:widowControl w:val="0"/>
        <w:spacing w:after="0" w:line="240" w:lineRule="auto"/>
        <w:ind w:left="720"/>
        <w:jc w:val="both"/>
        <w:rPr>
          <w:rFonts w:cs="Arial"/>
          <w:i/>
          <w:iCs/>
          <w:sz w:val="20"/>
          <w:szCs w:val="20"/>
        </w:rPr>
      </w:pPr>
    </w:p>
    <w:p w14:paraId="2C117A5F" w14:textId="77777777" w:rsidR="006E5484" w:rsidRPr="00E14618" w:rsidRDefault="00FB2FEF" w:rsidP="0031773E">
      <w:pPr>
        <w:widowControl w:val="0"/>
        <w:spacing w:after="80" w:line="240" w:lineRule="auto"/>
        <w:ind w:left="720"/>
        <w:jc w:val="both"/>
        <w:rPr>
          <w:sz w:val="20"/>
          <w:szCs w:val="20"/>
        </w:rPr>
      </w:pPr>
      <w:r w:rsidRPr="00E14618">
        <w:rPr>
          <w:rFonts w:cs="Arial"/>
          <w:i/>
          <w:iCs/>
          <w:sz w:val="20"/>
          <w:szCs w:val="20"/>
        </w:rPr>
        <w:t xml:space="preserve">The Scientific Council is requested, subject to the availability of resources, to: </w:t>
      </w:r>
    </w:p>
    <w:p w14:paraId="7CE0FA51" w14:textId="77777777" w:rsidR="006E5484" w:rsidRPr="00E14618" w:rsidRDefault="00FB2FEF" w:rsidP="0031773E">
      <w:pPr>
        <w:pStyle w:val="ListParagraph"/>
        <w:widowControl w:val="0"/>
        <w:numPr>
          <w:ilvl w:val="0"/>
          <w:numId w:val="12"/>
        </w:numPr>
        <w:spacing w:after="80" w:line="240" w:lineRule="auto"/>
        <w:ind w:left="1080"/>
        <w:contextualSpacing w:val="0"/>
        <w:jc w:val="both"/>
        <w:rPr>
          <w:sz w:val="20"/>
          <w:szCs w:val="20"/>
        </w:rPr>
      </w:pPr>
      <w:r w:rsidRPr="00E14618">
        <w:rPr>
          <w:rFonts w:cs="Arial"/>
          <w:i/>
          <w:iCs/>
          <w:sz w:val="20"/>
          <w:szCs w:val="20"/>
        </w:rPr>
        <w:t xml:space="preserve">review the assessments of regional threats and resulting work programmes developed by the Aquatic Mammals Working Group and provide recommendations to COP14; </w:t>
      </w:r>
    </w:p>
    <w:p w14:paraId="58D47D10" w14:textId="77777777" w:rsidR="006E5484" w:rsidRPr="00E14618" w:rsidRDefault="00FB2FEF" w:rsidP="0031773E">
      <w:pPr>
        <w:pStyle w:val="ListParagraph"/>
        <w:widowControl w:val="0"/>
        <w:numPr>
          <w:ilvl w:val="0"/>
          <w:numId w:val="12"/>
        </w:numPr>
        <w:spacing w:after="80" w:line="240" w:lineRule="auto"/>
        <w:ind w:left="1080"/>
        <w:contextualSpacing w:val="0"/>
        <w:jc w:val="both"/>
        <w:rPr>
          <w:sz w:val="20"/>
          <w:szCs w:val="20"/>
        </w:rPr>
      </w:pPr>
      <w:r w:rsidRPr="00E14618">
        <w:rPr>
          <w:rFonts w:cs="Arial"/>
          <w:i/>
          <w:iCs/>
          <w:sz w:val="20"/>
          <w:szCs w:val="20"/>
        </w:rPr>
        <w:t xml:space="preserve">if applicable, review the draft Action Plan for the cetaceans in the Red Sea region and provide recommendations to COP15; </w:t>
      </w:r>
    </w:p>
    <w:p w14:paraId="17146A3A" w14:textId="77777777" w:rsidR="006E5484" w:rsidRPr="00E14618" w:rsidRDefault="00FB2FEF" w:rsidP="0031773E">
      <w:pPr>
        <w:pStyle w:val="ListParagraph"/>
        <w:widowControl w:val="0"/>
        <w:numPr>
          <w:ilvl w:val="0"/>
          <w:numId w:val="12"/>
        </w:numPr>
        <w:spacing w:after="0" w:line="240" w:lineRule="auto"/>
        <w:ind w:left="1080"/>
        <w:contextualSpacing w:val="0"/>
        <w:jc w:val="both"/>
        <w:rPr>
          <w:sz w:val="20"/>
          <w:szCs w:val="20"/>
        </w:rPr>
      </w:pPr>
      <w:r w:rsidRPr="00E14618">
        <w:rPr>
          <w:rFonts w:cs="Arial"/>
          <w:i/>
          <w:iCs/>
          <w:sz w:val="20"/>
          <w:szCs w:val="20"/>
        </w:rPr>
        <w:t xml:space="preserve">promote work in collaboration with the International Whaling Commission (IWC) to address key gaps in knowledge and future research directions to support the implementation of the Action Plan and other conservation measures in the South Atlantic area. </w:t>
      </w:r>
    </w:p>
    <w:p w14:paraId="053BFE61" w14:textId="77777777" w:rsidR="006E5484" w:rsidRPr="00E14618" w:rsidRDefault="006E5484" w:rsidP="0031773E">
      <w:pPr>
        <w:pStyle w:val="ListParagraph"/>
        <w:spacing w:after="0" w:line="240" w:lineRule="auto"/>
        <w:contextualSpacing w:val="0"/>
        <w:rPr>
          <w:rFonts w:cs="Arial"/>
          <w:i/>
          <w:iCs/>
          <w:sz w:val="20"/>
          <w:szCs w:val="20"/>
        </w:rPr>
      </w:pPr>
    </w:p>
    <w:p w14:paraId="699A7167" w14:textId="77777777" w:rsidR="006E5484" w:rsidRPr="00E14618" w:rsidRDefault="00FB2FEF" w:rsidP="0031773E">
      <w:pPr>
        <w:widowControl w:val="0"/>
        <w:spacing w:after="0" w:line="240" w:lineRule="auto"/>
        <w:ind w:left="720"/>
        <w:jc w:val="both"/>
        <w:rPr>
          <w:sz w:val="20"/>
          <w:szCs w:val="20"/>
        </w:rPr>
      </w:pPr>
      <w:r w:rsidRPr="00E14618">
        <w:rPr>
          <w:rFonts w:cs="Arial"/>
          <w:b/>
          <w:bCs/>
          <w:i/>
          <w:iCs/>
          <w:sz w:val="20"/>
          <w:szCs w:val="20"/>
        </w:rPr>
        <w:lastRenderedPageBreak/>
        <w:t>13.83 Directed to the Secretariat</w:t>
      </w:r>
    </w:p>
    <w:p w14:paraId="64FD7606" w14:textId="77777777" w:rsidR="006E5484" w:rsidRPr="00E14618" w:rsidRDefault="006E5484" w:rsidP="0031773E">
      <w:pPr>
        <w:widowControl w:val="0"/>
        <w:spacing w:after="0" w:line="240" w:lineRule="auto"/>
        <w:ind w:left="720"/>
        <w:jc w:val="both"/>
        <w:rPr>
          <w:rFonts w:cs="Arial"/>
          <w:i/>
          <w:iCs/>
          <w:sz w:val="20"/>
          <w:szCs w:val="20"/>
        </w:rPr>
      </w:pPr>
    </w:p>
    <w:p w14:paraId="6AA5BCD0" w14:textId="77777777" w:rsidR="006E5484" w:rsidRPr="00E14618" w:rsidRDefault="00FB2FEF" w:rsidP="0031773E">
      <w:pPr>
        <w:widowControl w:val="0"/>
        <w:spacing w:after="80" w:line="240" w:lineRule="auto"/>
        <w:ind w:left="720"/>
        <w:jc w:val="both"/>
        <w:rPr>
          <w:sz w:val="20"/>
          <w:szCs w:val="20"/>
        </w:rPr>
      </w:pPr>
      <w:r w:rsidRPr="00E14618">
        <w:rPr>
          <w:rFonts w:cs="Arial"/>
          <w:i/>
          <w:iCs/>
          <w:sz w:val="20"/>
          <w:szCs w:val="20"/>
        </w:rPr>
        <w:t xml:space="preserve">The Secretariat shall, subject to the availability of resources: </w:t>
      </w:r>
    </w:p>
    <w:p w14:paraId="614E50DC" w14:textId="77777777" w:rsidR="006E5484" w:rsidRPr="00E14618" w:rsidRDefault="00FB2FEF" w:rsidP="0031773E">
      <w:pPr>
        <w:pStyle w:val="ListParagraph"/>
        <w:widowControl w:val="0"/>
        <w:numPr>
          <w:ilvl w:val="0"/>
          <w:numId w:val="14"/>
        </w:numPr>
        <w:spacing w:after="80" w:line="240" w:lineRule="auto"/>
        <w:ind w:left="1080"/>
        <w:contextualSpacing w:val="0"/>
        <w:jc w:val="both"/>
        <w:rPr>
          <w:sz w:val="20"/>
          <w:szCs w:val="20"/>
        </w:rPr>
      </w:pPr>
      <w:r w:rsidRPr="00E14618">
        <w:rPr>
          <w:rFonts w:cs="Arial"/>
          <w:i/>
          <w:iCs/>
          <w:sz w:val="20"/>
          <w:szCs w:val="20"/>
        </w:rPr>
        <w:t xml:space="preserve">consult Red Sea Range States to investigate the potential for the development of an Action Plan for the cetaceans in the Red Sea region; </w:t>
      </w:r>
    </w:p>
    <w:p w14:paraId="33781870" w14:textId="77777777" w:rsidR="006E5484" w:rsidRPr="00E14618" w:rsidRDefault="00FB2FEF" w:rsidP="0031773E">
      <w:pPr>
        <w:pStyle w:val="ListParagraph"/>
        <w:widowControl w:val="0"/>
        <w:numPr>
          <w:ilvl w:val="0"/>
          <w:numId w:val="14"/>
        </w:numPr>
        <w:spacing w:after="80" w:line="240" w:lineRule="auto"/>
        <w:ind w:left="1080"/>
        <w:contextualSpacing w:val="0"/>
        <w:jc w:val="both"/>
        <w:rPr>
          <w:sz w:val="20"/>
          <w:szCs w:val="20"/>
        </w:rPr>
      </w:pPr>
      <w:r w:rsidRPr="00E14618">
        <w:rPr>
          <w:rFonts w:cs="Arial"/>
          <w:i/>
          <w:iCs/>
          <w:sz w:val="20"/>
          <w:szCs w:val="20"/>
        </w:rPr>
        <w:t xml:space="preserve">organize a workshop of interested Parties, scientists and conservation organizations working in the Red Sea region to identify how best to take forward cetacean conservation there and, if so desired by Parties, to assist in the development of an Action Plan; </w:t>
      </w:r>
    </w:p>
    <w:p w14:paraId="554D0637" w14:textId="77777777" w:rsidR="006E5484" w:rsidRPr="00E14618" w:rsidRDefault="00FB2FEF" w:rsidP="0031773E">
      <w:pPr>
        <w:pStyle w:val="ListParagraph"/>
        <w:widowControl w:val="0"/>
        <w:numPr>
          <w:ilvl w:val="0"/>
          <w:numId w:val="14"/>
        </w:numPr>
        <w:spacing w:after="80" w:line="240" w:lineRule="auto"/>
        <w:ind w:left="1080"/>
        <w:contextualSpacing w:val="0"/>
        <w:jc w:val="both"/>
        <w:rPr>
          <w:sz w:val="20"/>
          <w:szCs w:val="20"/>
        </w:rPr>
      </w:pPr>
      <w:r w:rsidRPr="00E14618">
        <w:rPr>
          <w:rFonts w:cs="Arial"/>
          <w:i/>
          <w:iCs/>
          <w:sz w:val="20"/>
          <w:szCs w:val="20"/>
        </w:rPr>
        <w:t xml:space="preserve">consult with suitable regional bodies including the Secretariat of the Regional Organization for the Conservation of the Environment in the Red Sea and the Gulf of Aden (PERSGA) to seek its support to take forward cetacean conservation in the Red Sea, as recommended by the above-mentioned workshop; </w:t>
      </w:r>
    </w:p>
    <w:p w14:paraId="65694C79" w14:textId="77777777" w:rsidR="006E5484" w:rsidRPr="00E14618" w:rsidRDefault="00FB2FEF" w:rsidP="0031773E">
      <w:pPr>
        <w:pStyle w:val="ListParagraph"/>
        <w:widowControl w:val="0"/>
        <w:numPr>
          <w:ilvl w:val="0"/>
          <w:numId w:val="14"/>
        </w:numPr>
        <w:spacing w:after="80" w:line="240" w:lineRule="auto"/>
        <w:ind w:left="1080"/>
        <w:contextualSpacing w:val="0"/>
        <w:jc w:val="both"/>
        <w:rPr>
          <w:sz w:val="20"/>
          <w:szCs w:val="20"/>
        </w:rPr>
      </w:pPr>
      <w:r w:rsidRPr="00E14618">
        <w:rPr>
          <w:rFonts w:cs="Arial"/>
          <w:i/>
          <w:iCs/>
          <w:sz w:val="20"/>
          <w:szCs w:val="20"/>
        </w:rPr>
        <w:t xml:space="preserve">liaise with the IWC Secretariat with a view to co-hosting a workshop on the role of cetaceans in ecosystem functioning to review the existing data and research and identify opportunities to expand this work; </w:t>
      </w:r>
    </w:p>
    <w:p w14:paraId="24F7BF6A" w14:textId="77777777" w:rsidR="006E5484" w:rsidRPr="00E14618" w:rsidRDefault="00FB2FEF" w:rsidP="0031773E">
      <w:pPr>
        <w:pStyle w:val="ListParagraph"/>
        <w:widowControl w:val="0"/>
        <w:numPr>
          <w:ilvl w:val="0"/>
          <w:numId w:val="14"/>
        </w:numPr>
        <w:spacing w:after="0" w:line="240" w:lineRule="auto"/>
        <w:ind w:left="1080"/>
        <w:contextualSpacing w:val="0"/>
        <w:jc w:val="both"/>
        <w:rPr>
          <w:sz w:val="20"/>
          <w:szCs w:val="20"/>
        </w:rPr>
      </w:pPr>
      <w:r w:rsidRPr="00E14618">
        <w:rPr>
          <w:rFonts w:cs="Arial"/>
          <w:i/>
          <w:iCs/>
          <w:sz w:val="20"/>
          <w:szCs w:val="20"/>
        </w:rPr>
        <w:t>report on the outcomes of the workshop to the next meeting of the Sessional Committee of the Scientific Council.</w:t>
      </w:r>
    </w:p>
    <w:p w14:paraId="4F770678" w14:textId="77777777" w:rsidR="006E5484" w:rsidRDefault="006E5484">
      <w:pPr>
        <w:spacing w:after="0" w:line="240" w:lineRule="auto"/>
      </w:pPr>
    </w:p>
    <w:p w14:paraId="244015F1" w14:textId="77777777" w:rsidR="006E5484" w:rsidRDefault="00FB2FEF">
      <w:pPr>
        <w:widowControl w:val="0"/>
        <w:numPr>
          <w:ilvl w:val="0"/>
          <w:numId w:val="6"/>
        </w:numPr>
        <w:spacing w:after="0" w:line="240" w:lineRule="auto"/>
        <w:ind w:left="567" w:hanging="567"/>
        <w:contextualSpacing/>
        <w:jc w:val="both"/>
      </w:pPr>
      <w:r>
        <w:rPr>
          <w:rFonts w:cs="Arial"/>
        </w:rPr>
        <w:t xml:space="preserve">In addition, Decisions relating to </w:t>
      </w:r>
      <w:r>
        <w:rPr>
          <w:rFonts w:cs="Arial"/>
          <w:iCs/>
        </w:rPr>
        <w:t xml:space="preserve">Resolution 12.17 </w:t>
      </w:r>
      <w:r>
        <w:rPr>
          <w:rFonts w:cs="Arial"/>
          <w:i/>
        </w:rPr>
        <w:t>Conservation and Management of Whales and their Habitats in the South Atlantic Region</w:t>
      </w:r>
      <w:r>
        <w:rPr>
          <w:rFonts w:cs="Arial"/>
          <w:iCs/>
        </w:rPr>
        <w:t>, were renewed at COP13:</w:t>
      </w:r>
    </w:p>
    <w:p w14:paraId="49968B0D" w14:textId="77777777" w:rsidR="006E5484" w:rsidRDefault="006E5484">
      <w:pPr>
        <w:spacing w:after="0" w:line="240" w:lineRule="auto"/>
        <w:rPr>
          <w:rFonts w:cs="Arial"/>
        </w:rPr>
      </w:pPr>
    </w:p>
    <w:p w14:paraId="2F615D05" w14:textId="77777777" w:rsidR="006E5484" w:rsidRDefault="00FB2FEF" w:rsidP="0031773E">
      <w:pPr>
        <w:widowControl w:val="0"/>
        <w:spacing w:after="0" w:line="240" w:lineRule="auto"/>
        <w:ind w:left="720"/>
        <w:jc w:val="both"/>
      </w:pPr>
      <w:r>
        <w:rPr>
          <w:rFonts w:cs="Arial"/>
          <w:b/>
          <w:bCs/>
          <w:i/>
          <w:iCs/>
          <w:sz w:val="20"/>
          <w:szCs w:val="20"/>
        </w:rPr>
        <w:t xml:space="preserve">13.84 </w:t>
      </w:r>
      <w:r>
        <w:rPr>
          <w:rFonts w:cs="Arial"/>
          <w:b/>
          <w:i/>
          <w:sz w:val="20"/>
          <w:szCs w:val="20"/>
        </w:rPr>
        <w:t>Decision directed to</w:t>
      </w:r>
      <w:r>
        <w:rPr>
          <w:rFonts w:cs="Arial"/>
          <w:b/>
          <w:bCs/>
          <w:i/>
          <w:iCs/>
          <w:sz w:val="20"/>
          <w:szCs w:val="20"/>
        </w:rPr>
        <w:t xml:space="preserve"> the </w:t>
      </w:r>
      <w:proofErr w:type="gramStart"/>
      <w:r>
        <w:rPr>
          <w:rFonts w:cs="Arial"/>
          <w:b/>
          <w:i/>
          <w:sz w:val="20"/>
          <w:szCs w:val="20"/>
        </w:rPr>
        <w:t>Secretariat</w:t>
      </w:r>
      <w:proofErr w:type="gramEnd"/>
    </w:p>
    <w:p w14:paraId="453A66DA" w14:textId="77777777" w:rsidR="006E5484" w:rsidRDefault="006E5484" w:rsidP="0031773E">
      <w:pPr>
        <w:widowControl w:val="0"/>
        <w:spacing w:after="0" w:line="240" w:lineRule="auto"/>
        <w:ind w:left="720"/>
        <w:jc w:val="both"/>
        <w:rPr>
          <w:rFonts w:cs="Arial"/>
          <w:i/>
          <w:sz w:val="20"/>
          <w:szCs w:val="20"/>
        </w:rPr>
      </w:pPr>
    </w:p>
    <w:p w14:paraId="6C889175" w14:textId="77777777" w:rsidR="006E5484" w:rsidRDefault="00FB2FEF" w:rsidP="0031773E">
      <w:pPr>
        <w:widowControl w:val="0"/>
        <w:spacing w:after="80" w:line="240" w:lineRule="auto"/>
        <w:ind w:left="720"/>
        <w:jc w:val="both"/>
      </w:pPr>
      <w:r>
        <w:rPr>
          <w:rFonts w:cs="Arial"/>
          <w:i/>
          <w:sz w:val="20"/>
          <w:szCs w:val="20"/>
        </w:rPr>
        <w:t xml:space="preserve">The Secretariat shall, in collaboration with Parties and relevant international organizations, subject to the availability of external resources: </w:t>
      </w:r>
    </w:p>
    <w:p w14:paraId="368DF450" w14:textId="77777777" w:rsidR="006E5484" w:rsidRDefault="00FB2FEF" w:rsidP="0031773E">
      <w:pPr>
        <w:pStyle w:val="ListParagraph"/>
        <w:widowControl w:val="0"/>
        <w:numPr>
          <w:ilvl w:val="0"/>
          <w:numId w:val="23"/>
        </w:numPr>
        <w:spacing w:after="80" w:line="240" w:lineRule="auto"/>
        <w:ind w:left="1080"/>
        <w:contextualSpacing w:val="0"/>
        <w:jc w:val="both"/>
      </w:pPr>
      <w:r>
        <w:rPr>
          <w:rFonts w:cs="Arial"/>
          <w:i/>
          <w:sz w:val="20"/>
          <w:szCs w:val="20"/>
        </w:rPr>
        <w:t xml:space="preserve">Support capacity-building activities related to cetacean conservation; </w:t>
      </w:r>
    </w:p>
    <w:p w14:paraId="4FB1B730" w14:textId="77777777" w:rsidR="006E5484" w:rsidRDefault="00FB2FEF" w:rsidP="0031773E">
      <w:pPr>
        <w:pStyle w:val="ListParagraph"/>
        <w:widowControl w:val="0"/>
        <w:numPr>
          <w:ilvl w:val="0"/>
          <w:numId w:val="23"/>
        </w:numPr>
        <w:spacing w:after="0" w:line="240" w:lineRule="auto"/>
        <w:ind w:left="1080"/>
        <w:contextualSpacing w:val="0"/>
        <w:jc w:val="both"/>
      </w:pPr>
      <w:r>
        <w:rPr>
          <w:rFonts w:cs="Arial"/>
          <w:i/>
          <w:sz w:val="20"/>
          <w:szCs w:val="20"/>
        </w:rPr>
        <w:t>Organize a regional workshop to improve capacity for the implementation of the Action Plan for the Protection and Conservation of South Atlantic Whales (Annex 1 to Resolution 12.17 Conservation and Management of Whales and their Habitats in the South Atlantic Region).</w:t>
      </w:r>
    </w:p>
    <w:p w14:paraId="6FCD8394" w14:textId="77777777" w:rsidR="006E5484" w:rsidRDefault="006E5484" w:rsidP="0031773E">
      <w:pPr>
        <w:widowControl w:val="0"/>
        <w:spacing w:after="0" w:line="240" w:lineRule="auto"/>
        <w:ind w:left="720"/>
        <w:jc w:val="both"/>
        <w:rPr>
          <w:rFonts w:cs="Arial"/>
          <w:i/>
          <w:sz w:val="20"/>
          <w:szCs w:val="20"/>
        </w:rPr>
      </w:pPr>
    </w:p>
    <w:p w14:paraId="3A3DA81F" w14:textId="77777777" w:rsidR="006E5484" w:rsidRDefault="00FB2FEF" w:rsidP="0031773E">
      <w:pPr>
        <w:widowControl w:val="0"/>
        <w:spacing w:after="0" w:line="240" w:lineRule="auto"/>
        <w:ind w:left="720"/>
        <w:jc w:val="both"/>
      </w:pPr>
      <w:r>
        <w:rPr>
          <w:rFonts w:cs="Arial"/>
          <w:b/>
          <w:i/>
          <w:sz w:val="20"/>
          <w:szCs w:val="20"/>
        </w:rPr>
        <w:t>13.85 Decision directed to</w:t>
      </w:r>
      <w:r>
        <w:rPr>
          <w:rFonts w:cs="Arial"/>
          <w:b/>
          <w:i/>
          <w:iCs/>
          <w:sz w:val="20"/>
          <w:szCs w:val="20"/>
        </w:rPr>
        <w:t xml:space="preserve"> </w:t>
      </w:r>
      <w:proofErr w:type="gramStart"/>
      <w:r>
        <w:rPr>
          <w:rFonts w:cs="Arial"/>
          <w:b/>
          <w:i/>
          <w:sz w:val="20"/>
          <w:szCs w:val="20"/>
        </w:rPr>
        <w:t>Parties</w:t>
      </w:r>
      <w:proofErr w:type="gramEnd"/>
    </w:p>
    <w:p w14:paraId="6A6781B4" w14:textId="77777777" w:rsidR="006E5484" w:rsidRDefault="006E5484" w:rsidP="0031773E">
      <w:pPr>
        <w:widowControl w:val="0"/>
        <w:spacing w:after="0" w:line="240" w:lineRule="auto"/>
        <w:ind w:left="720"/>
        <w:jc w:val="both"/>
        <w:rPr>
          <w:rFonts w:cs="Arial"/>
          <w:i/>
          <w:sz w:val="20"/>
          <w:szCs w:val="20"/>
        </w:rPr>
      </w:pPr>
    </w:p>
    <w:p w14:paraId="1FE7CB6E" w14:textId="77777777" w:rsidR="006E5484" w:rsidRDefault="00FB2FEF" w:rsidP="0031773E">
      <w:pPr>
        <w:widowControl w:val="0"/>
        <w:spacing w:after="0" w:line="240" w:lineRule="auto"/>
        <w:ind w:left="720"/>
        <w:jc w:val="both"/>
      </w:pPr>
      <w:r>
        <w:rPr>
          <w:rFonts w:cs="Arial"/>
          <w:i/>
          <w:sz w:val="20"/>
          <w:szCs w:val="20"/>
        </w:rPr>
        <w:t>Parties are requested to report on progress in implementing the Action Plan for the Protection and Conservation of South Atlantic Whales (Annex 1 to Resolution 12.17 Conservation and Management of Whales and their Habitats in the South Atlantic Region), including monitoring and efficacy of measures taken, to the Conference of the Parties at each of its meetings.</w:t>
      </w:r>
    </w:p>
    <w:p w14:paraId="70B6A082" w14:textId="77777777" w:rsidR="006E5484" w:rsidRDefault="006E5484">
      <w:pPr>
        <w:spacing w:after="0" w:line="240" w:lineRule="auto"/>
      </w:pPr>
    </w:p>
    <w:p w14:paraId="29387E5C" w14:textId="77777777" w:rsidR="006E5484" w:rsidRDefault="00FB2FEF">
      <w:pPr>
        <w:spacing w:after="0" w:line="240" w:lineRule="auto"/>
      </w:pPr>
      <w:r>
        <w:rPr>
          <w:rFonts w:cs="Arial"/>
          <w:u w:val="single"/>
        </w:rPr>
        <w:t>Implementation of Activities relating to the Action Plan for Cetaceans in the Red Sea Region</w:t>
      </w:r>
    </w:p>
    <w:p w14:paraId="77544EE2" w14:textId="77777777" w:rsidR="006E5484" w:rsidRDefault="006E5484">
      <w:pPr>
        <w:spacing w:after="0" w:line="240" w:lineRule="auto"/>
        <w:rPr>
          <w:rFonts w:cs="Arial"/>
          <w:u w:val="single"/>
        </w:rPr>
      </w:pPr>
    </w:p>
    <w:p w14:paraId="78632E88" w14:textId="3331774E" w:rsidR="006E5484" w:rsidRDefault="00FB2FEF">
      <w:pPr>
        <w:widowControl w:val="0"/>
        <w:numPr>
          <w:ilvl w:val="0"/>
          <w:numId w:val="6"/>
        </w:numPr>
        <w:spacing w:after="0" w:line="240" w:lineRule="auto"/>
        <w:ind w:left="567" w:hanging="567"/>
        <w:jc w:val="both"/>
      </w:pPr>
      <w:r>
        <w:rPr>
          <w:rFonts w:cs="Arial"/>
        </w:rPr>
        <w:t xml:space="preserve">The launch of CMS Technical Series No. 33 ‘Cetaceans in the Red Sea’ in 2017 </w:t>
      </w:r>
      <w:r w:rsidR="005D5FE3">
        <w:rPr>
          <w:rFonts w:cs="Arial"/>
        </w:rPr>
        <w:t xml:space="preserve">identified </w:t>
      </w:r>
      <w:r>
        <w:rPr>
          <w:rFonts w:cs="Arial"/>
        </w:rPr>
        <w:t xml:space="preserve">concerns regarding </w:t>
      </w:r>
      <w:r w:rsidRPr="00F676C6">
        <w:rPr>
          <w:rFonts w:cs="Arial"/>
        </w:rPr>
        <w:t>the conservation status of cetaceans in the Red Sea</w:t>
      </w:r>
      <w:r w:rsidR="005D5FE3">
        <w:rPr>
          <w:rFonts w:cs="Arial"/>
        </w:rPr>
        <w:t>, and</w:t>
      </w:r>
      <w:r>
        <w:rPr>
          <w:rFonts w:cs="Arial"/>
        </w:rPr>
        <w:t xml:space="preserve"> led to the adoption of Decisions 13.80 a), 13.81 c), 13.82 b) and 13.83 a)-c). </w:t>
      </w:r>
    </w:p>
    <w:p w14:paraId="0FFD101E" w14:textId="77777777" w:rsidR="006E5484" w:rsidRPr="00A33092" w:rsidRDefault="006E5484">
      <w:pPr>
        <w:spacing w:after="0" w:line="240" w:lineRule="auto"/>
        <w:ind w:left="360"/>
        <w:jc w:val="both"/>
        <w:rPr>
          <w:rFonts w:cs="Arial"/>
          <w:i/>
          <w:sz w:val="20"/>
          <w:szCs w:val="20"/>
        </w:rPr>
      </w:pPr>
    </w:p>
    <w:p w14:paraId="7A601A59" w14:textId="6C6156CD" w:rsidR="006E5484" w:rsidRDefault="00FB2FEF">
      <w:pPr>
        <w:widowControl w:val="0"/>
        <w:numPr>
          <w:ilvl w:val="0"/>
          <w:numId w:val="6"/>
        </w:numPr>
        <w:spacing w:after="0" w:line="240" w:lineRule="auto"/>
        <w:ind w:left="567" w:hanging="567"/>
        <w:jc w:val="both"/>
      </w:pPr>
      <w:r>
        <w:rPr>
          <w:rFonts w:cs="Arial"/>
        </w:rPr>
        <w:t xml:space="preserve">In line with instructions in Decision 13.83 a), in December 2022, the Secretariat contacted Focal Points in all Red Sea riparian States, as well as the Regional Organization for the Conservation of the Environment of the Red Sea and Gulf of Aden (PERSGA), to </w:t>
      </w:r>
      <w:r w:rsidR="00D34AB3">
        <w:rPr>
          <w:rFonts w:cs="Arial"/>
        </w:rPr>
        <w:t>g</w:t>
      </w:r>
      <w:r w:rsidR="00F676C6">
        <w:rPr>
          <w:rFonts w:cs="Arial"/>
        </w:rPr>
        <w:t>au</w:t>
      </w:r>
      <w:r w:rsidR="00D34AB3">
        <w:rPr>
          <w:rFonts w:cs="Arial"/>
        </w:rPr>
        <w:t>ge</w:t>
      </w:r>
      <w:r>
        <w:rPr>
          <w:rFonts w:cs="Arial"/>
        </w:rPr>
        <w:t xml:space="preserve"> the interest of stakeholders in collaborating with CMS in developing an Action Plan for the cetaceans of the Red Sea region, and in organizing a workshop of interested Parties, scientists and conservation organizations working in the region to identify how best to take forward cetacean conservation. </w:t>
      </w:r>
      <w:r w:rsidR="00320C57">
        <w:rPr>
          <w:rFonts w:cs="Arial"/>
        </w:rPr>
        <w:t>A number of</w:t>
      </w:r>
      <w:r>
        <w:rPr>
          <w:rFonts w:cs="Arial"/>
        </w:rPr>
        <w:t xml:space="preserve"> focal points have expressed their interest in taking this action forward</w:t>
      </w:r>
      <w:r w:rsidR="00320C57">
        <w:rPr>
          <w:rFonts w:cs="Arial"/>
        </w:rPr>
        <w:t>.</w:t>
      </w:r>
    </w:p>
    <w:p w14:paraId="53DFC529" w14:textId="77777777" w:rsidR="006E5484" w:rsidRPr="00A33092" w:rsidRDefault="006E5484">
      <w:pPr>
        <w:widowControl w:val="0"/>
        <w:spacing w:after="0" w:line="240" w:lineRule="auto"/>
        <w:jc w:val="both"/>
        <w:rPr>
          <w:rFonts w:cs="Arial"/>
          <w:sz w:val="20"/>
          <w:szCs w:val="20"/>
        </w:rPr>
      </w:pPr>
    </w:p>
    <w:p w14:paraId="4A9BA769" w14:textId="77777777" w:rsidR="006E5484" w:rsidRDefault="00FB2FEF">
      <w:pPr>
        <w:widowControl w:val="0"/>
        <w:numPr>
          <w:ilvl w:val="0"/>
          <w:numId w:val="6"/>
        </w:numPr>
        <w:spacing w:after="0" w:line="240" w:lineRule="auto"/>
        <w:ind w:left="567" w:hanging="567"/>
        <w:jc w:val="both"/>
      </w:pPr>
      <w:r>
        <w:rPr>
          <w:rFonts w:cs="Arial"/>
        </w:rPr>
        <w:t xml:space="preserve">As a next step, funding sources in the region can be explored and mobilized for a workshop on an action plan for cetaceans for Range States of the Red Sea. </w:t>
      </w:r>
      <w:r w:rsidRPr="00903653">
        <w:rPr>
          <w:rFonts w:cs="Arial"/>
        </w:rPr>
        <w:t xml:space="preserve">It is recommended to </w:t>
      </w:r>
      <w:r>
        <w:rPr>
          <w:rFonts w:cs="Arial"/>
        </w:rPr>
        <w:t>renew Decision 13.83 to allow for organization of this regional workshop in 2024.</w:t>
      </w:r>
    </w:p>
    <w:p w14:paraId="2DA8EA59" w14:textId="5EC92F12" w:rsidR="006E5484" w:rsidRDefault="00FB2FEF">
      <w:pPr>
        <w:spacing w:after="0" w:line="240" w:lineRule="auto"/>
        <w:jc w:val="both"/>
      </w:pPr>
      <w:r>
        <w:rPr>
          <w:rFonts w:cs="Arial"/>
          <w:u w:val="single"/>
        </w:rPr>
        <w:lastRenderedPageBreak/>
        <w:t xml:space="preserve">Implementation of </w:t>
      </w:r>
      <w:r w:rsidR="00D34AB3">
        <w:rPr>
          <w:rFonts w:cs="Arial"/>
          <w:u w:val="single"/>
        </w:rPr>
        <w:t>a</w:t>
      </w:r>
      <w:r>
        <w:rPr>
          <w:rFonts w:cs="Arial"/>
          <w:u w:val="single"/>
        </w:rPr>
        <w:t xml:space="preserve">ctivities relating to </w:t>
      </w:r>
      <w:r w:rsidR="00C03B12">
        <w:rPr>
          <w:rFonts w:cs="Arial"/>
          <w:u w:val="single"/>
        </w:rPr>
        <w:t>aquatic mammals other than cetaceans</w:t>
      </w:r>
    </w:p>
    <w:p w14:paraId="443323C9" w14:textId="77777777" w:rsidR="006E5484" w:rsidRDefault="006E5484">
      <w:pPr>
        <w:spacing w:after="0" w:line="240" w:lineRule="auto"/>
        <w:rPr>
          <w:rFonts w:cs="Arial"/>
        </w:rPr>
      </w:pPr>
    </w:p>
    <w:p w14:paraId="78F0AC7C" w14:textId="7A71D5CD" w:rsidR="006E5484" w:rsidRDefault="00A33092">
      <w:pPr>
        <w:widowControl w:val="0"/>
        <w:numPr>
          <w:ilvl w:val="0"/>
          <w:numId w:val="6"/>
        </w:numPr>
        <w:spacing w:after="0" w:line="240" w:lineRule="auto"/>
        <w:ind w:left="567" w:hanging="567"/>
        <w:jc w:val="both"/>
      </w:pPr>
      <w:hyperlink r:id="rId20" w:history="1">
        <w:r w:rsidR="008C37F8" w:rsidRPr="004066AB">
          <w:rPr>
            <w:rStyle w:val="Hyperlink"/>
            <w:rFonts w:cs="Arial"/>
          </w:rPr>
          <w:t>UNEP/CMS/COP14/Doc.27.5.3</w:t>
        </w:r>
      </w:hyperlink>
      <w:r w:rsidR="008C37F8">
        <w:rPr>
          <w:rFonts w:cs="Arial"/>
        </w:rPr>
        <w:t xml:space="preserve"> </w:t>
      </w:r>
      <w:r w:rsidR="008C37F8" w:rsidRPr="00622353">
        <w:rPr>
          <w:rFonts w:cs="Arial"/>
          <w:i/>
          <w:iCs/>
        </w:rPr>
        <w:t>Sirenians, Pinnipeds and Otters</w:t>
      </w:r>
      <w:r w:rsidR="008C37F8">
        <w:rPr>
          <w:rFonts w:cs="Arial"/>
        </w:rPr>
        <w:t xml:space="preserve"> addresses </w:t>
      </w:r>
      <w:r w:rsidR="00FB2FEF">
        <w:rPr>
          <w:rFonts w:cs="Arial"/>
        </w:rPr>
        <w:t>Decision 13.81 a) (in part) and b), as well as Decision 13.82 a).</w:t>
      </w:r>
    </w:p>
    <w:p w14:paraId="1B676F9B" w14:textId="77777777" w:rsidR="006E5484" w:rsidRDefault="006E5484">
      <w:pPr>
        <w:spacing w:after="0" w:line="240" w:lineRule="auto"/>
        <w:ind w:left="567" w:hanging="567"/>
        <w:jc w:val="both"/>
        <w:rPr>
          <w:rFonts w:cs="Arial"/>
        </w:rPr>
      </w:pPr>
    </w:p>
    <w:p w14:paraId="6A3151A4" w14:textId="3421AB28" w:rsidR="006E5484" w:rsidRDefault="00FB2FEF">
      <w:pPr>
        <w:spacing w:after="0" w:line="240" w:lineRule="auto"/>
        <w:jc w:val="both"/>
      </w:pPr>
      <w:r>
        <w:rPr>
          <w:rFonts w:cs="Arial"/>
          <w:u w:val="single"/>
        </w:rPr>
        <w:t xml:space="preserve">Implementation of </w:t>
      </w:r>
      <w:r w:rsidR="00C03B12">
        <w:rPr>
          <w:rFonts w:cs="Arial"/>
          <w:u w:val="single"/>
        </w:rPr>
        <w:t>a</w:t>
      </w:r>
      <w:r>
        <w:rPr>
          <w:rFonts w:cs="Arial"/>
          <w:u w:val="single"/>
        </w:rPr>
        <w:t>ctivities relating to the Action Plan for the Protection and Conservation of South Atlantic Whales</w:t>
      </w:r>
    </w:p>
    <w:p w14:paraId="0115F399" w14:textId="77777777" w:rsidR="006E5484" w:rsidRDefault="006E5484">
      <w:pPr>
        <w:spacing w:after="0" w:line="240" w:lineRule="auto"/>
        <w:rPr>
          <w:rFonts w:cs="Arial"/>
        </w:rPr>
      </w:pPr>
    </w:p>
    <w:p w14:paraId="422EE117" w14:textId="28FF75EA" w:rsidR="006E5484" w:rsidRDefault="004F0CEB" w:rsidP="004F0CEB">
      <w:pPr>
        <w:widowControl w:val="0"/>
        <w:numPr>
          <w:ilvl w:val="0"/>
          <w:numId w:val="6"/>
        </w:numPr>
        <w:spacing w:after="0" w:line="240" w:lineRule="auto"/>
        <w:ind w:left="567" w:hanging="567"/>
        <w:jc w:val="both"/>
      </w:pPr>
      <w:r>
        <w:rPr>
          <w:rFonts w:cs="Arial"/>
        </w:rPr>
        <w:t xml:space="preserve">With respect </w:t>
      </w:r>
      <w:r w:rsidR="00FB2FEF">
        <w:rPr>
          <w:rFonts w:cs="Arial"/>
        </w:rPr>
        <w:t>to Decision 13.82 c), the Secretariat continues to liaise closely with the IWC</w:t>
      </w:r>
      <w:r w:rsidR="00FB2FEF" w:rsidRPr="004F0CEB">
        <w:rPr>
          <w:rFonts w:cs="Arial"/>
        </w:rPr>
        <w:t xml:space="preserve"> on this and related matters. A proposal for the establishment of a whale sanctuary in the South Atlantic was first discussed at IWC in 1998, and first evaluated in 2001. It has since </w:t>
      </w:r>
      <w:r w:rsidR="00531C80" w:rsidRPr="004F0CEB">
        <w:rPr>
          <w:rFonts w:cs="Arial"/>
        </w:rPr>
        <w:t xml:space="preserve">been </w:t>
      </w:r>
      <w:r w:rsidR="00FB2FEF" w:rsidRPr="004F0CEB">
        <w:rPr>
          <w:rFonts w:cs="Arial"/>
        </w:rPr>
        <w:t xml:space="preserve">discussed by the Commission several times, </w:t>
      </w:r>
      <w:r w:rsidR="00531C80">
        <w:rPr>
          <w:rFonts w:cs="Arial"/>
        </w:rPr>
        <w:t>most recently</w:t>
      </w:r>
      <w:r w:rsidR="00FB2FEF" w:rsidRPr="004F0CEB">
        <w:rPr>
          <w:rFonts w:cs="Arial"/>
        </w:rPr>
        <w:t xml:space="preserve"> in 2022, but not yet adopted. </w:t>
      </w:r>
    </w:p>
    <w:p w14:paraId="1B7E0527" w14:textId="77777777" w:rsidR="006E5484" w:rsidRDefault="006E5484">
      <w:pPr>
        <w:widowControl w:val="0"/>
        <w:spacing w:after="0" w:line="240" w:lineRule="auto"/>
        <w:ind w:left="567"/>
        <w:jc w:val="both"/>
        <w:rPr>
          <w:rFonts w:cs="Arial"/>
        </w:rPr>
      </w:pPr>
    </w:p>
    <w:p w14:paraId="4C986748" w14:textId="57A88A9B" w:rsidR="006E5484" w:rsidRDefault="005F11D1">
      <w:pPr>
        <w:widowControl w:val="0"/>
        <w:numPr>
          <w:ilvl w:val="0"/>
          <w:numId w:val="6"/>
        </w:numPr>
        <w:spacing w:after="0" w:line="240" w:lineRule="auto"/>
        <w:ind w:left="567" w:hanging="567"/>
        <w:jc w:val="both"/>
      </w:pPr>
      <w:r>
        <w:rPr>
          <w:rFonts w:cs="Arial"/>
        </w:rPr>
        <w:t xml:space="preserve">With respect </w:t>
      </w:r>
      <w:r w:rsidR="00FB2FEF">
        <w:rPr>
          <w:rFonts w:cs="Arial"/>
        </w:rPr>
        <w:t xml:space="preserve">to Decision 13.84, the Secretariat has not yet been able to organize a regional workshop to improve capacity for the implementation of the Action Plan, owing to a lack of resources. </w:t>
      </w:r>
    </w:p>
    <w:p w14:paraId="0DBF2541" w14:textId="77777777" w:rsidR="006E5484" w:rsidRDefault="006E5484">
      <w:pPr>
        <w:widowControl w:val="0"/>
        <w:spacing w:after="0" w:line="240" w:lineRule="auto"/>
        <w:jc w:val="both"/>
        <w:rPr>
          <w:rFonts w:cs="Arial"/>
        </w:rPr>
      </w:pPr>
    </w:p>
    <w:p w14:paraId="7904D7E5" w14:textId="141C91CA" w:rsidR="006E5484" w:rsidRDefault="00FB2FEF">
      <w:pPr>
        <w:widowControl w:val="0"/>
        <w:numPr>
          <w:ilvl w:val="0"/>
          <w:numId w:val="6"/>
        </w:numPr>
        <w:spacing w:after="0" w:line="240" w:lineRule="auto"/>
        <w:ind w:left="567" w:hanging="567"/>
        <w:jc w:val="both"/>
        <w:rPr>
          <w:rFonts w:cs="Arial"/>
        </w:rPr>
      </w:pPr>
      <w:r>
        <w:rPr>
          <w:rFonts w:cs="Arial"/>
        </w:rPr>
        <w:t xml:space="preserve">In addition, and as also reported in </w:t>
      </w:r>
      <w:hyperlink r:id="rId21">
        <w:r w:rsidR="00034DF9" w:rsidRPr="36629B73">
          <w:rPr>
            <w:rStyle w:val="Hyperlink"/>
            <w:rFonts w:cs="Arial"/>
          </w:rPr>
          <w:t>UNEP/CMS/COP14/</w:t>
        </w:r>
        <w:r w:rsidRPr="36629B73">
          <w:rPr>
            <w:rStyle w:val="Hyperlink"/>
            <w:rFonts w:cs="Arial"/>
          </w:rPr>
          <w:t>Doc.</w:t>
        </w:r>
        <w:r w:rsidR="00034DF9" w:rsidRPr="36629B73">
          <w:rPr>
            <w:rStyle w:val="Hyperlink"/>
            <w:rFonts w:cs="Arial"/>
          </w:rPr>
          <w:t>27.4.1</w:t>
        </w:r>
      </w:hyperlink>
      <w:r>
        <w:rPr>
          <w:rFonts w:cs="Arial"/>
        </w:rPr>
        <w:t xml:space="preserve"> </w:t>
      </w:r>
      <w:r>
        <w:rPr>
          <w:rFonts w:cs="Arial"/>
          <w:i/>
          <w:iCs/>
        </w:rPr>
        <w:t>Important Marine Mammal Areas (IMMAs)</w:t>
      </w:r>
      <w:r>
        <w:rPr>
          <w:rFonts w:cs="Arial"/>
        </w:rPr>
        <w:t>, the South West Atlantic Ocean IMMA Regional Workshop took place in Praia do Forte, Brazil, in December 2022, led by the former COP-appointed Councillor for Aquatic Mammals who is also the Co-</w:t>
      </w:r>
      <w:r w:rsidR="00903653">
        <w:rPr>
          <w:rFonts w:cs="Arial"/>
        </w:rPr>
        <w:t>C</w:t>
      </w:r>
      <w:r>
        <w:rPr>
          <w:rFonts w:cs="Arial"/>
        </w:rPr>
        <w:t xml:space="preserve">hair of the IUCN Marine Mammal Protected Areas Task Force. The workshop resulted in the identification of 36 new candidate Important Marine Mammal Areas, or </w:t>
      </w:r>
      <w:proofErr w:type="spellStart"/>
      <w:r>
        <w:rPr>
          <w:rFonts w:cs="Arial"/>
        </w:rPr>
        <w:t>cIMMAs</w:t>
      </w:r>
      <w:proofErr w:type="spellEnd"/>
      <w:r>
        <w:rPr>
          <w:rFonts w:cs="Arial"/>
        </w:rPr>
        <w:t xml:space="preserve">. Participants included 31 scientists who are specialists in large whales, dolphins and porpoises, pinnipeds and sirenians from the </w:t>
      </w:r>
      <w:r w:rsidR="053E3F71" w:rsidRPr="36629B73">
        <w:rPr>
          <w:rFonts w:cs="Arial"/>
        </w:rPr>
        <w:t>region.</w:t>
      </w:r>
      <w:r w:rsidR="343D74AC" w:rsidRPr="4BB126CB">
        <w:rPr>
          <w:rFonts w:cs="Arial"/>
        </w:rPr>
        <w:t xml:space="preserve"> </w:t>
      </w:r>
      <w:r>
        <w:rPr>
          <w:rFonts w:cs="Arial"/>
        </w:rPr>
        <w:t>The South</w:t>
      </w:r>
      <w:r w:rsidR="003402DD">
        <w:rPr>
          <w:rFonts w:cs="Arial"/>
        </w:rPr>
        <w:t>-</w:t>
      </w:r>
      <w:r>
        <w:rPr>
          <w:rFonts w:cs="Arial"/>
        </w:rPr>
        <w:t>West Atlantic Ocean, which represents nearly a quarter of the Atlantic Ocean</w:t>
      </w:r>
      <w:r w:rsidR="628AE88B" w:rsidRPr="325F9F85">
        <w:rPr>
          <w:rFonts w:cs="Arial"/>
        </w:rPr>
        <w:t>.</w:t>
      </w:r>
      <w:r>
        <w:rPr>
          <w:rFonts w:cs="Arial"/>
        </w:rPr>
        <w:t xml:space="preserve"> features substantial populations of </w:t>
      </w:r>
      <w:r w:rsidR="00903653">
        <w:rPr>
          <w:rFonts w:cs="Arial"/>
        </w:rPr>
        <w:t>S</w:t>
      </w:r>
      <w:r>
        <w:rPr>
          <w:rFonts w:cs="Arial"/>
        </w:rPr>
        <w:t xml:space="preserve">outhern </w:t>
      </w:r>
      <w:r w:rsidR="00903653">
        <w:rPr>
          <w:rFonts w:cs="Arial"/>
        </w:rPr>
        <w:t>R</w:t>
      </w:r>
      <w:r>
        <w:rPr>
          <w:rFonts w:cs="Arial"/>
        </w:rPr>
        <w:t xml:space="preserve">ight </w:t>
      </w:r>
      <w:r w:rsidR="00903653">
        <w:rPr>
          <w:rFonts w:cs="Arial"/>
        </w:rPr>
        <w:t>W</w:t>
      </w:r>
      <w:r>
        <w:rPr>
          <w:rFonts w:cs="Arial"/>
        </w:rPr>
        <w:t xml:space="preserve">hales, </w:t>
      </w:r>
      <w:r w:rsidR="00903653">
        <w:rPr>
          <w:rFonts w:cs="Arial"/>
        </w:rPr>
        <w:t>H</w:t>
      </w:r>
      <w:r>
        <w:rPr>
          <w:rFonts w:cs="Arial"/>
        </w:rPr>
        <w:t xml:space="preserve">umpback </w:t>
      </w:r>
      <w:r w:rsidR="00903653">
        <w:rPr>
          <w:rFonts w:cs="Arial"/>
        </w:rPr>
        <w:t>W</w:t>
      </w:r>
      <w:r>
        <w:rPr>
          <w:rFonts w:cs="Arial"/>
        </w:rPr>
        <w:t>hales and other</w:t>
      </w:r>
      <w:r w:rsidR="00FA3115">
        <w:rPr>
          <w:rFonts w:cs="Arial"/>
        </w:rPr>
        <w:t xml:space="preserve"> </w:t>
      </w:r>
      <w:r>
        <w:rPr>
          <w:rFonts w:cs="Arial"/>
        </w:rPr>
        <w:t>s</w:t>
      </w:r>
      <w:r w:rsidR="00FA3115">
        <w:rPr>
          <w:rFonts w:cs="Arial"/>
        </w:rPr>
        <w:t>pecies of cetaceans</w:t>
      </w:r>
      <w:r>
        <w:rPr>
          <w:rFonts w:cs="Arial"/>
        </w:rPr>
        <w:t xml:space="preserve"> that travel from the Antarctic. There are </w:t>
      </w:r>
      <w:r w:rsidR="00954BF3">
        <w:rPr>
          <w:rFonts w:cs="Arial"/>
        </w:rPr>
        <w:t xml:space="preserve">also </w:t>
      </w:r>
      <w:r>
        <w:rPr>
          <w:rFonts w:cs="Arial"/>
        </w:rPr>
        <w:t xml:space="preserve">species endemic to the region including the Commerson’s, </w:t>
      </w:r>
      <w:proofErr w:type="spellStart"/>
      <w:r w:rsidR="00C063C4">
        <w:rPr>
          <w:rFonts w:cs="Arial"/>
        </w:rPr>
        <w:t>F</w:t>
      </w:r>
      <w:r>
        <w:rPr>
          <w:rFonts w:cs="Arial"/>
        </w:rPr>
        <w:t>ranciscana</w:t>
      </w:r>
      <w:proofErr w:type="spellEnd"/>
      <w:r>
        <w:rPr>
          <w:rFonts w:cs="Arial"/>
        </w:rPr>
        <w:t xml:space="preserve"> and Guiana dolphins. The review of the candidate IMMAs resulting from the South</w:t>
      </w:r>
      <w:r w:rsidR="009B150B">
        <w:rPr>
          <w:rFonts w:cs="Arial"/>
        </w:rPr>
        <w:t>-</w:t>
      </w:r>
      <w:r>
        <w:rPr>
          <w:rFonts w:cs="Arial"/>
        </w:rPr>
        <w:t>West Atlantic Ocean IMMA Workshop is still ongoing. A final report of the workshop will be publicly available in late 2023.</w:t>
      </w:r>
    </w:p>
    <w:p w14:paraId="5992D8F0" w14:textId="77777777" w:rsidR="00537384" w:rsidRDefault="00537384">
      <w:pPr>
        <w:spacing w:after="0" w:line="240" w:lineRule="auto"/>
        <w:rPr>
          <w:rFonts w:cs="Arial"/>
          <w:u w:val="single"/>
        </w:rPr>
      </w:pPr>
    </w:p>
    <w:p w14:paraId="0255CAF5" w14:textId="3FBD8503" w:rsidR="006E5484" w:rsidRDefault="00FB2FEF">
      <w:pPr>
        <w:spacing w:after="0" w:line="240" w:lineRule="auto"/>
        <w:jc w:val="both"/>
      </w:pPr>
      <w:r>
        <w:rPr>
          <w:rFonts w:cs="Arial"/>
          <w:u w:val="single"/>
        </w:rPr>
        <w:t xml:space="preserve">Implementation of </w:t>
      </w:r>
      <w:r w:rsidR="00954BF3">
        <w:rPr>
          <w:rFonts w:cs="Arial"/>
          <w:u w:val="single"/>
        </w:rPr>
        <w:t>a</w:t>
      </w:r>
      <w:r>
        <w:rPr>
          <w:rFonts w:cs="Arial"/>
          <w:u w:val="single"/>
        </w:rPr>
        <w:t xml:space="preserve">ctivities relating to the </w:t>
      </w:r>
      <w:r w:rsidR="00954BF3">
        <w:rPr>
          <w:rFonts w:cs="Arial"/>
          <w:u w:val="single"/>
        </w:rPr>
        <w:t>r</w:t>
      </w:r>
      <w:r>
        <w:rPr>
          <w:rFonts w:cs="Arial"/>
          <w:u w:val="single"/>
        </w:rPr>
        <w:t xml:space="preserve">ole of </w:t>
      </w:r>
      <w:r w:rsidR="00C03B12">
        <w:rPr>
          <w:rFonts w:cs="Arial"/>
          <w:u w:val="single"/>
        </w:rPr>
        <w:t>c</w:t>
      </w:r>
      <w:r>
        <w:rPr>
          <w:rFonts w:cs="Arial"/>
          <w:u w:val="single"/>
        </w:rPr>
        <w:t xml:space="preserve">etaceans in </w:t>
      </w:r>
      <w:r w:rsidR="00C03B12">
        <w:rPr>
          <w:rFonts w:cs="Arial"/>
          <w:u w:val="single"/>
        </w:rPr>
        <w:t>e</w:t>
      </w:r>
      <w:r>
        <w:rPr>
          <w:rFonts w:cs="Arial"/>
          <w:u w:val="single"/>
        </w:rPr>
        <w:t xml:space="preserve">cosystem </w:t>
      </w:r>
      <w:r w:rsidR="00C03B12">
        <w:rPr>
          <w:rFonts w:cs="Arial"/>
          <w:u w:val="single"/>
        </w:rPr>
        <w:t>f</w:t>
      </w:r>
      <w:r>
        <w:rPr>
          <w:rFonts w:cs="Arial"/>
          <w:u w:val="single"/>
        </w:rPr>
        <w:t>unctioning</w:t>
      </w:r>
    </w:p>
    <w:p w14:paraId="3057C237" w14:textId="77777777" w:rsidR="006E5484" w:rsidRDefault="006E5484">
      <w:pPr>
        <w:spacing w:after="0" w:line="240" w:lineRule="auto"/>
        <w:rPr>
          <w:rFonts w:cs="Arial"/>
        </w:rPr>
      </w:pPr>
    </w:p>
    <w:p w14:paraId="31C28E14" w14:textId="0BEC33D0" w:rsidR="006E5484" w:rsidRPr="00FF579D" w:rsidRDefault="00FB2FEF">
      <w:pPr>
        <w:widowControl w:val="0"/>
        <w:numPr>
          <w:ilvl w:val="0"/>
          <w:numId w:val="6"/>
        </w:numPr>
        <w:spacing w:after="0" w:line="240" w:lineRule="auto"/>
        <w:ind w:left="567" w:hanging="567"/>
        <w:jc w:val="both"/>
      </w:pPr>
      <w:r>
        <w:rPr>
          <w:rFonts w:cs="Arial"/>
        </w:rPr>
        <w:t>Relating to Decision 13.83 d) and e), the Secretariat co-organized a virtual workshop with IWC on</w:t>
      </w:r>
      <w:r w:rsidR="00E97E9F">
        <w:rPr>
          <w:rFonts w:cs="Arial"/>
        </w:rPr>
        <w:t xml:space="preserve"> the role of</w:t>
      </w:r>
      <w:r>
        <w:rPr>
          <w:rFonts w:cs="Arial"/>
        </w:rPr>
        <w:t xml:space="preserve"> cetacean</w:t>
      </w:r>
      <w:r w:rsidR="00E97E9F">
        <w:rPr>
          <w:rFonts w:cs="Arial"/>
        </w:rPr>
        <w:t>s in</w:t>
      </w:r>
      <w:r>
        <w:rPr>
          <w:rFonts w:cs="Arial"/>
        </w:rPr>
        <w:t xml:space="preserve"> ecosystem functioning</w:t>
      </w:r>
      <w:r>
        <w:rPr>
          <w:rStyle w:val="FootnoteReference"/>
          <w:rFonts w:cs="Arial"/>
        </w:rPr>
        <w:footnoteReference w:id="2"/>
      </w:r>
      <w:r>
        <w:rPr>
          <w:rFonts w:cs="Arial"/>
        </w:rPr>
        <w:t xml:space="preserve"> in April 2021. The workshop reviewed concepts on nutrient circulation, ocean fertilization, whale falls, and cetaceans as predators. It was agreed that often it is not a question of whether whales play a role in ecosystem functioning but rather what role they play, which is largely dependent on the scale being considered </w:t>
      </w:r>
      <w:r w:rsidR="00C03B12">
        <w:rPr>
          <w:rFonts w:cs="Arial"/>
        </w:rPr>
        <w:t xml:space="preserve">– </w:t>
      </w:r>
      <w:r>
        <w:rPr>
          <w:rFonts w:cs="Arial"/>
        </w:rPr>
        <w:t xml:space="preserve">whether local or global. The workshop identified three broad categories, under which a list of </w:t>
      </w:r>
      <w:r w:rsidR="0090725B">
        <w:rPr>
          <w:rFonts w:cs="Arial"/>
        </w:rPr>
        <w:t xml:space="preserve">ecosystem functions that </w:t>
      </w:r>
      <w:r>
        <w:rPr>
          <w:rFonts w:cs="Arial"/>
        </w:rPr>
        <w:t>cetacean</w:t>
      </w:r>
      <w:r w:rsidR="0090725B">
        <w:rPr>
          <w:rFonts w:cs="Arial"/>
        </w:rPr>
        <w:t>s provide</w:t>
      </w:r>
      <w:r>
        <w:rPr>
          <w:rFonts w:cs="Arial"/>
        </w:rPr>
        <w:t xml:space="preserve"> </w:t>
      </w:r>
      <w:r w:rsidR="004211A1">
        <w:rPr>
          <w:rFonts w:cs="Arial"/>
        </w:rPr>
        <w:t>was</w:t>
      </w:r>
      <w:r>
        <w:rPr>
          <w:rFonts w:cs="Arial"/>
        </w:rPr>
        <w:t xml:space="preserve"> elaborated: 1) nutrient transfer and circulation; 2) feeding-related traits; and 3) provision of habitat, contribution to biodiversity, and blue carbon</w:t>
      </w:r>
      <w:r w:rsidR="00C03B12">
        <w:rPr>
          <w:rFonts w:cs="Arial"/>
        </w:rPr>
        <w:t>.</w:t>
      </w:r>
      <w:r>
        <w:rPr>
          <w:rStyle w:val="FootnoteReference"/>
          <w:rFonts w:cs="Arial"/>
        </w:rPr>
        <w:footnoteReference w:id="3"/>
      </w:r>
      <w:r>
        <w:rPr>
          <w:rFonts w:cs="Arial"/>
        </w:rPr>
        <w:t xml:space="preserve"> The workshop also identified knowledge gaps across the three subject </w:t>
      </w:r>
      <w:r w:rsidR="004211A1">
        <w:rPr>
          <w:rFonts w:cs="Arial"/>
        </w:rPr>
        <w:t>areas and</w:t>
      </w:r>
      <w:r>
        <w:rPr>
          <w:rFonts w:cs="Arial"/>
        </w:rPr>
        <w:t xml:space="preserve"> noted the need for more studies into the ecosystem functions of small cetaceans, especially their roles in linking offshore and inshore habitats. Therefore, a list of general questions, hypotheses and tasks were </w:t>
      </w:r>
      <w:r w:rsidRPr="00783D40">
        <w:t>proposed</w:t>
      </w:r>
      <w:r w:rsidR="00C80114" w:rsidRPr="00583D53">
        <w:rPr>
          <w:rFonts w:cs="Arial"/>
          <w:color w:val="000000" w:themeColor="text1"/>
        </w:rPr>
        <w:t>,</w:t>
      </w:r>
      <w:r w:rsidRPr="00783D40">
        <w:t xml:space="preserve"> to be completed or considered </w:t>
      </w:r>
      <w:r>
        <w:rPr>
          <w:rFonts w:cs="Arial"/>
        </w:rPr>
        <w:t>for the second workshop. It was agreed that studying human-induced changes, including climate change</w:t>
      </w:r>
      <w:r w:rsidR="00FF579D">
        <w:rPr>
          <w:rFonts w:cs="Arial"/>
        </w:rPr>
        <w:t>,</w:t>
      </w:r>
      <w:r>
        <w:rPr>
          <w:rFonts w:cs="Arial"/>
        </w:rPr>
        <w:t xml:space="preserve"> and their impact </w:t>
      </w:r>
      <w:r w:rsidRPr="00FF579D">
        <w:rPr>
          <w:rFonts w:cs="Arial"/>
        </w:rPr>
        <w:t>on cetaceans’ ecosystem functioning</w:t>
      </w:r>
      <w:r w:rsidR="00FF579D" w:rsidRPr="00583D53">
        <w:rPr>
          <w:rStyle w:val="CommentReference"/>
          <w:sz w:val="22"/>
          <w:szCs w:val="22"/>
        </w:rPr>
        <w:t>,</w:t>
      </w:r>
      <w:r w:rsidR="00FF579D" w:rsidRPr="3779877A">
        <w:rPr>
          <w:rStyle w:val="CommentReference"/>
          <w:sz w:val="22"/>
          <w:szCs w:val="22"/>
        </w:rPr>
        <w:t xml:space="preserve"> is </w:t>
      </w:r>
      <w:r w:rsidRPr="00FF579D">
        <w:rPr>
          <w:rFonts w:cs="Arial"/>
        </w:rPr>
        <w:t xml:space="preserve">important. The workshop report is available </w:t>
      </w:r>
      <w:hyperlink r:id="rId22">
        <w:r w:rsidRPr="00783D40">
          <w:rPr>
            <w:rStyle w:val="Hyperlink"/>
            <w:color w:val="0563C1"/>
          </w:rPr>
          <w:t>here</w:t>
        </w:r>
      </w:hyperlink>
      <w:r w:rsidRPr="00FF579D">
        <w:rPr>
          <w:rFonts w:cs="Arial"/>
        </w:rPr>
        <w:t>.</w:t>
      </w:r>
    </w:p>
    <w:p w14:paraId="6CA0DE85" w14:textId="5BB151DF" w:rsidR="006E5484" w:rsidRDefault="00FB2FEF">
      <w:pPr>
        <w:widowControl w:val="0"/>
        <w:numPr>
          <w:ilvl w:val="0"/>
          <w:numId w:val="6"/>
        </w:numPr>
        <w:spacing w:after="0" w:line="240" w:lineRule="auto"/>
        <w:ind w:left="567" w:hanging="567"/>
        <w:jc w:val="both"/>
      </w:pPr>
      <w:r w:rsidRPr="00AB033A">
        <w:rPr>
          <w:rFonts w:cs="Arial"/>
        </w:rPr>
        <w:lastRenderedPageBreak/>
        <w:t xml:space="preserve">The second joint workshop on </w:t>
      </w:r>
      <w:r w:rsidR="00E97E9F" w:rsidRPr="00AB033A">
        <w:rPr>
          <w:rFonts w:cs="Arial"/>
        </w:rPr>
        <w:t xml:space="preserve">the role of </w:t>
      </w:r>
      <w:r w:rsidRPr="00AB033A">
        <w:t>cetacean</w:t>
      </w:r>
      <w:r w:rsidR="00E97E9F" w:rsidRPr="00AB033A">
        <w:t>s in</w:t>
      </w:r>
      <w:r w:rsidRPr="00AB033A">
        <w:t xml:space="preserve"> ecosystem functioning </w:t>
      </w:r>
      <w:r w:rsidRPr="00AB033A">
        <w:rPr>
          <w:rFonts w:cs="Arial"/>
        </w:rPr>
        <w:t xml:space="preserve">will be hosted </w:t>
      </w:r>
      <w:r>
        <w:rPr>
          <w:rFonts w:cs="Arial"/>
        </w:rPr>
        <w:t xml:space="preserve">by CMS in Bonn, Germany, in November 2023. It will focus on </w:t>
      </w:r>
      <w:r w:rsidR="00C03B12">
        <w:rPr>
          <w:rFonts w:cs="Arial"/>
        </w:rPr>
        <w:t xml:space="preserve">the </w:t>
      </w:r>
      <w:r>
        <w:rPr>
          <w:rFonts w:cs="Arial"/>
        </w:rPr>
        <w:t xml:space="preserve">quantification of spatial difference in ecosystem functioning of cetaceans, looking at links with environments and regional ecosystem characteristics (i.e., historical trends in different places); and quantification of temporal changes in ecosystem functioning of cetaceans, with </w:t>
      </w:r>
      <w:r w:rsidR="00C03B12">
        <w:rPr>
          <w:rFonts w:cs="Arial"/>
        </w:rPr>
        <w:t xml:space="preserve">a </w:t>
      </w:r>
      <w:r>
        <w:rPr>
          <w:rFonts w:cs="Arial"/>
        </w:rPr>
        <w:t>focus on the difference between pre-whaling and current populations, and identification of information and knowledge.</w:t>
      </w:r>
    </w:p>
    <w:p w14:paraId="728576FF" w14:textId="77777777" w:rsidR="006E5484" w:rsidRDefault="006E5484">
      <w:pPr>
        <w:widowControl w:val="0"/>
        <w:spacing w:after="0" w:line="240" w:lineRule="auto"/>
        <w:ind w:left="567"/>
        <w:jc w:val="both"/>
        <w:rPr>
          <w:rFonts w:cs="Arial"/>
        </w:rPr>
      </w:pPr>
    </w:p>
    <w:p w14:paraId="0532F706" w14:textId="08A9537E" w:rsidR="006E5484" w:rsidRDefault="00FB2FEF">
      <w:pPr>
        <w:widowControl w:val="0"/>
        <w:numPr>
          <w:ilvl w:val="0"/>
          <w:numId w:val="6"/>
        </w:numPr>
        <w:spacing w:after="0" w:line="240" w:lineRule="auto"/>
        <w:ind w:left="567" w:hanging="567"/>
        <w:jc w:val="both"/>
      </w:pPr>
      <w:r>
        <w:rPr>
          <w:rFonts w:cs="Arial"/>
        </w:rPr>
        <w:t>Another IWC workshop on the socio-economic values of the contribution of cetaceans to ecosystem functioning was held online in April 2022. This workshop included a review of market and non-market valuation techniques</w:t>
      </w:r>
      <w:r w:rsidR="00C80114">
        <w:rPr>
          <w:rFonts w:cs="Arial"/>
        </w:rPr>
        <w:t xml:space="preserve"> and </w:t>
      </w:r>
      <w:r>
        <w:rPr>
          <w:rFonts w:cs="Arial"/>
        </w:rPr>
        <w:t xml:space="preserve">considered cetaceans in relation to traits of </w:t>
      </w:r>
      <w:proofErr w:type="gramStart"/>
      <w:r>
        <w:rPr>
          <w:rFonts w:cs="Arial"/>
        </w:rPr>
        <w:t>other</w:t>
      </w:r>
      <w:proofErr w:type="gramEnd"/>
      <w:r>
        <w:rPr>
          <w:rFonts w:cs="Arial"/>
        </w:rPr>
        <w:t xml:space="preserve"> marine megafauna</w:t>
      </w:r>
      <w:r w:rsidR="00C80114">
        <w:rPr>
          <w:rFonts w:cs="Arial"/>
        </w:rPr>
        <w:t>. Participants also</w:t>
      </w:r>
      <w:r>
        <w:rPr>
          <w:rFonts w:cs="Arial"/>
        </w:rPr>
        <w:t xml:space="preserve"> </w:t>
      </w:r>
      <w:r w:rsidRPr="00C80114">
        <w:rPr>
          <w:rFonts w:cs="Arial"/>
        </w:rPr>
        <w:t>learn</w:t>
      </w:r>
      <w:r w:rsidR="00C80114" w:rsidRPr="00583D53">
        <w:rPr>
          <w:rFonts w:cs="Arial"/>
        </w:rPr>
        <w:t>ed</w:t>
      </w:r>
      <w:r w:rsidRPr="00C80114">
        <w:rPr>
          <w:rFonts w:cs="Arial"/>
        </w:rPr>
        <w:t xml:space="preserve"> </w:t>
      </w:r>
      <w:r>
        <w:rPr>
          <w:rFonts w:cs="Arial"/>
        </w:rPr>
        <w:t>about frameworks to understand the social and economic values of the contribution of cetaceans to ecosystem functioning.</w:t>
      </w:r>
      <w:r>
        <w:t xml:space="preserve"> </w:t>
      </w:r>
      <w:r>
        <w:rPr>
          <w:rFonts w:cs="Arial"/>
        </w:rPr>
        <w:t>The workshop proposed</w:t>
      </w:r>
      <w:r w:rsidR="00C80114">
        <w:rPr>
          <w:rFonts w:cs="Arial"/>
        </w:rPr>
        <w:t>,</w:t>
      </w:r>
      <w:r>
        <w:rPr>
          <w:rFonts w:cs="Arial"/>
        </w:rPr>
        <w:t xml:space="preserve"> in the short-term</w:t>
      </w:r>
      <w:r w:rsidR="00C80114">
        <w:rPr>
          <w:rFonts w:cs="Arial"/>
        </w:rPr>
        <w:t>,</w:t>
      </w:r>
      <w:r>
        <w:rPr>
          <w:rFonts w:cs="Arial"/>
        </w:rPr>
        <w:t xml:space="preserve"> the development of a pilot project to assess the socio-economic values of a single species </w:t>
      </w:r>
      <w:r w:rsidRPr="00F676C6">
        <w:rPr>
          <w:rFonts w:cs="Arial"/>
        </w:rPr>
        <w:t>to simplify the number of services to be valued</w:t>
      </w:r>
      <w:r>
        <w:t xml:space="preserve">. The workshop report is available </w:t>
      </w:r>
      <w:hyperlink r:id="rId23">
        <w:r w:rsidRPr="00783D40">
          <w:rPr>
            <w:rStyle w:val="Hyperlink"/>
            <w:color w:val="0563C1"/>
          </w:rPr>
          <w:t>here</w:t>
        </w:r>
      </w:hyperlink>
      <w:r>
        <w:t>.</w:t>
      </w:r>
    </w:p>
    <w:p w14:paraId="0F3B4154" w14:textId="77777777" w:rsidR="006E5484" w:rsidRDefault="006E5484">
      <w:pPr>
        <w:widowControl w:val="0"/>
        <w:spacing w:after="0" w:line="240" w:lineRule="auto"/>
        <w:ind w:left="567"/>
        <w:jc w:val="both"/>
        <w:rPr>
          <w:rFonts w:cs="Arial"/>
        </w:rPr>
      </w:pPr>
    </w:p>
    <w:p w14:paraId="6F45E411" w14:textId="3B7233D2" w:rsidR="006E5484" w:rsidRDefault="00FB2FEF">
      <w:pPr>
        <w:widowControl w:val="0"/>
        <w:numPr>
          <w:ilvl w:val="0"/>
          <w:numId w:val="6"/>
        </w:numPr>
        <w:spacing w:after="0" w:line="240" w:lineRule="auto"/>
        <w:ind w:left="567" w:hanging="567"/>
        <w:jc w:val="both"/>
      </w:pPr>
      <w:r>
        <w:rPr>
          <w:rFonts w:cs="Arial"/>
        </w:rPr>
        <w:t xml:space="preserve">Based on the above, </w:t>
      </w:r>
      <w:r w:rsidR="00BC0DE7">
        <w:rPr>
          <w:rFonts w:cs="Arial"/>
        </w:rPr>
        <w:t xml:space="preserve">it </w:t>
      </w:r>
      <w:r>
        <w:rPr>
          <w:rFonts w:cs="Arial"/>
        </w:rPr>
        <w:t>is proposed that CMS continue</w:t>
      </w:r>
      <w:r w:rsidR="00C80114">
        <w:rPr>
          <w:rFonts w:cs="Arial"/>
        </w:rPr>
        <w:t>s</w:t>
      </w:r>
      <w:r>
        <w:rPr>
          <w:rFonts w:cs="Arial"/>
        </w:rPr>
        <w:t xml:space="preserve"> its collaboration with IWC on the role of cetaceans in ecosystem functioning.</w:t>
      </w:r>
    </w:p>
    <w:p w14:paraId="50084EA4" w14:textId="77777777" w:rsidR="006E5484" w:rsidRDefault="006E5484">
      <w:pPr>
        <w:spacing w:after="0" w:line="240" w:lineRule="auto"/>
        <w:jc w:val="both"/>
        <w:rPr>
          <w:rFonts w:cs="Arial"/>
          <w:u w:val="single"/>
        </w:rPr>
      </w:pPr>
    </w:p>
    <w:p w14:paraId="69BDD686" w14:textId="7389F3E4" w:rsidR="006E5484" w:rsidRDefault="00FB2FEF">
      <w:pPr>
        <w:spacing w:after="0" w:line="240" w:lineRule="auto"/>
        <w:jc w:val="both"/>
      </w:pPr>
      <w:r>
        <w:rPr>
          <w:rFonts w:cs="Arial"/>
          <w:u w:val="single"/>
        </w:rPr>
        <w:t xml:space="preserve">Implementation </w:t>
      </w:r>
      <w:r w:rsidR="00C80114">
        <w:rPr>
          <w:rFonts w:cs="Arial"/>
          <w:u w:val="single"/>
        </w:rPr>
        <w:t xml:space="preserve">of activities relating to the </w:t>
      </w:r>
      <w:r>
        <w:rPr>
          <w:rFonts w:cs="Arial"/>
          <w:u w:val="single"/>
        </w:rPr>
        <w:t xml:space="preserve">Programme of Work </w:t>
      </w:r>
      <w:r w:rsidR="00C80114">
        <w:rPr>
          <w:rFonts w:cs="Arial"/>
          <w:u w:val="single"/>
        </w:rPr>
        <w:t xml:space="preserve">(POW) </w:t>
      </w:r>
      <w:r>
        <w:rPr>
          <w:rFonts w:cs="Arial"/>
          <w:u w:val="single"/>
        </w:rPr>
        <w:t>for Cetaceans</w:t>
      </w:r>
    </w:p>
    <w:p w14:paraId="32DBB091" w14:textId="77777777" w:rsidR="006E5484" w:rsidRDefault="006E5484">
      <w:pPr>
        <w:spacing w:after="0" w:line="240" w:lineRule="auto"/>
        <w:rPr>
          <w:rFonts w:cs="Arial"/>
        </w:rPr>
      </w:pPr>
    </w:p>
    <w:p w14:paraId="31117502" w14:textId="55F7DD1C" w:rsidR="006E5484" w:rsidRDefault="00FB2FEF">
      <w:pPr>
        <w:widowControl w:val="0"/>
        <w:numPr>
          <w:ilvl w:val="0"/>
          <w:numId w:val="6"/>
        </w:numPr>
        <w:spacing w:after="0" w:line="240" w:lineRule="auto"/>
        <w:ind w:left="567" w:hanging="567"/>
        <w:jc w:val="both"/>
      </w:pPr>
      <w:r>
        <w:rPr>
          <w:rFonts w:cs="Arial"/>
        </w:rPr>
        <w:t xml:space="preserve">Decision 13.81 a) requests the Aquatic Mammals Working Group (AMWG) to undertake a review of the implementation of the Cetacean POW to date, prepare a gap analysis and identify priorities to be addressed, to </w:t>
      </w:r>
      <w:r w:rsidR="003E57CA">
        <w:rPr>
          <w:rFonts w:cs="Arial"/>
        </w:rPr>
        <w:t xml:space="preserve">inform </w:t>
      </w:r>
      <w:r>
        <w:rPr>
          <w:rFonts w:cs="Arial"/>
        </w:rPr>
        <w:t>a revision of the Cetacean POW. The Scientific Council in Decision 13.82 a) was requested to review the outputs of the AMWG and to make recommendations to COP14.</w:t>
      </w:r>
    </w:p>
    <w:p w14:paraId="05C28866" w14:textId="77777777" w:rsidR="006E5484" w:rsidRDefault="006E5484">
      <w:pPr>
        <w:widowControl w:val="0"/>
        <w:spacing w:after="0" w:line="240" w:lineRule="auto"/>
        <w:ind w:left="567"/>
        <w:jc w:val="both"/>
        <w:rPr>
          <w:rFonts w:cs="Arial"/>
        </w:rPr>
      </w:pPr>
    </w:p>
    <w:p w14:paraId="63D59B0B" w14:textId="6CA8F1B4" w:rsidR="00C328B4" w:rsidRDefault="00FB2FEF" w:rsidP="00C328B4">
      <w:pPr>
        <w:widowControl w:val="0"/>
        <w:numPr>
          <w:ilvl w:val="0"/>
          <w:numId w:val="6"/>
        </w:numPr>
        <w:spacing w:after="0" w:line="240" w:lineRule="auto"/>
        <w:ind w:left="567" w:hanging="567"/>
        <w:jc w:val="both"/>
      </w:pPr>
      <w:r>
        <w:rPr>
          <w:rFonts w:cs="Arial"/>
        </w:rPr>
        <w:t>In order to facilitate the task assigned to the AMWG, which is a group composed largely of external experts volunteering their time, the Secretariat contracted CMS partner organization</w:t>
      </w:r>
      <w:r w:rsidR="003E57CA">
        <w:rPr>
          <w:rFonts w:cs="Arial"/>
        </w:rPr>
        <w:t>,</w:t>
      </w:r>
      <w:r>
        <w:rPr>
          <w:rFonts w:cs="Arial"/>
        </w:rPr>
        <w:t xml:space="preserve"> OceanCare</w:t>
      </w:r>
      <w:r w:rsidR="003E57CA">
        <w:rPr>
          <w:rFonts w:cs="Arial"/>
        </w:rPr>
        <w:t>,</w:t>
      </w:r>
      <w:r>
        <w:rPr>
          <w:rFonts w:cs="Arial"/>
        </w:rPr>
        <w:t xml:space="preserve"> to develop the requested review, gap analysis and recommendations, in partnership with relevant COP-</w:t>
      </w:r>
      <w:r w:rsidR="003E57CA">
        <w:rPr>
          <w:rFonts w:cs="Arial"/>
        </w:rPr>
        <w:t>a</w:t>
      </w:r>
      <w:r>
        <w:rPr>
          <w:rFonts w:cs="Arial"/>
        </w:rPr>
        <w:t xml:space="preserve">ppointed Councillors. </w:t>
      </w:r>
      <w:r w:rsidR="003E57CA">
        <w:rPr>
          <w:rFonts w:cs="Arial"/>
        </w:rPr>
        <w:t>T</w:t>
      </w:r>
      <w:r>
        <w:rPr>
          <w:rFonts w:cs="Arial"/>
        </w:rPr>
        <w:t xml:space="preserve">he identification of priorities for cetacean conservation, in general and by sub-region, was based on extensive consultations </w:t>
      </w:r>
      <w:r w:rsidR="003E57CA">
        <w:rPr>
          <w:rFonts w:cs="Arial"/>
        </w:rPr>
        <w:t>with</w:t>
      </w:r>
      <w:r>
        <w:rPr>
          <w:rFonts w:cs="Arial"/>
        </w:rPr>
        <w:t xml:space="preserve"> experts from across the globe. The resulting review, which was made available to the AMWG for comment</w:t>
      </w:r>
      <w:r w:rsidR="003E57CA">
        <w:rPr>
          <w:rFonts w:cs="Arial"/>
        </w:rPr>
        <w:t>,</w:t>
      </w:r>
      <w:r>
        <w:rPr>
          <w:rFonts w:cs="Arial"/>
        </w:rPr>
        <w:t xml:space="preserve"> and subsequently </w:t>
      </w:r>
      <w:r w:rsidR="003E57CA">
        <w:rPr>
          <w:rFonts w:cs="Arial"/>
        </w:rPr>
        <w:t xml:space="preserve">substantially </w:t>
      </w:r>
      <w:r>
        <w:rPr>
          <w:rFonts w:cs="Arial"/>
        </w:rPr>
        <w:t xml:space="preserve">revised, can be found in </w:t>
      </w:r>
      <w:hyperlink r:id="rId24" w:history="1">
        <w:r w:rsidR="00E17F5B" w:rsidRPr="00352831">
          <w:rPr>
            <w:rStyle w:val="Hyperlink"/>
            <w:rFonts w:cs="Arial"/>
          </w:rPr>
          <w:t>UNEP/CMS/COP14/</w:t>
        </w:r>
        <w:r w:rsidRPr="00352831">
          <w:rPr>
            <w:rStyle w:val="Hyperlink"/>
            <w:rFonts w:cs="Arial"/>
          </w:rPr>
          <w:t>Inf.</w:t>
        </w:r>
        <w:r w:rsidR="00983EA1" w:rsidRPr="00352831">
          <w:rPr>
            <w:rStyle w:val="Hyperlink"/>
            <w:rFonts w:cs="Arial"/>
          </w:rPr>
          <w:t>27.5.1a</w:t>
        </w:r>
      </w:hyperlink>
      <w:r>
        <w:rPr>
          <w:rFonts w:cs="Arial"/>
          <w:i/>
          <w:iCs/>
        </w:rPr>
        <w:t xml:space="preserve"> A Review to Support the Development of a Second CMS Cetacean Programme of Work (2024-2035)</w:t>
      </w:r>
      <w:r>
        <w:rPr>
          <w:rFonts w:cs="Arial"/>
        </w:rPr>
        <w:t>.</w:t>
      </w:r>
    </w:p>
    <w:p w14:paraId="132FB453" w14:textId="77777777" w:rsidR="006E5484" w:rsidRPr="00C328B4" w:rsidRDefault="006E5484">
      <w:pPr>
        <w:widowControl w:val="0"/>
        <w:spacing w:after="0" w:line="240" w:lineRule="auto"/>
        <w:ind w:left="567"/>
        <w:jc w:val="both"/>
      </w:pPr>
    </w:p>
    <w:p w14:paraId="5EE69C5C" w14:textId="38179729" w:rsidR="006E5484" w:rsidRDefault="00FB2FEF" w:rsidP="00C328B4">
      <w:pPr>
        <w:widowControl w:val="0"/>
        <w:numPr>
          <w:ilvl w:val="0"/>
          <w:numId w:val="6"/>
        </w:numPr>
        <w:spacing w:after="0" w:line="240" w:lineRule="auto"/>
        <w:ind w:left="567" w:hanging="567"/>
        <w:jc w:val="both"/>
      </w:pPr>
      <w:r>
        <w:rPr>
          <w:rFonts w:cs="Arial"/>
        </w:rPr>
        <w:t xml:space="preserve">The review contains chapters summarizing the following threats: </w:t>
      </w:r>
      <w:r w:rsidR="003D23CC" w:rsidRPr="00C328B4">
        <w:rPr>
          <w:rFonts w:cs="Arial"/>
        </w:rPr>
        <w:t>i</w:t>
      </w:r>
      <w:r w:rsidR="00553167" w:rsidRPr="00C328B4">
        <w:rPr>
          <w:rFonts w:cs="Arial"/>
        </w:rPr>
        <w:t>ntersections</w:t>
      </w:r>
      <w:r w:rsidR="00553167">
        <w:rPr>
          <w:rFonts w:cs="Arial"/>
        </w:rPr>
        <w:t xml:space="preserve"> with fisheries </w:t>
      </w:r>
      <w:r w:rsidR="003E57CA">
        <w:rPr>
          <w:rFonts w:cs="Arial"/>
        </w:rPr>
        <w:t>(</w:t>
      </w:r>
      <w:r>
        <w:rPr>
          <w:rFonts w:cs="Arial"/>
        </w:rPr>
        <w:t xml:space="preserve">entanglement, </w:t>
      </w:r>
      <w:proofErr w:type="gramStart"/>
      <w:r>
        <w:rPr>
          <w:rFonts w:cs="Arial"/>
        </w:rPr>
        <w:t>bycatch</w:t>
      </w:r>
      <w:proofErr w:type="gramEnd"/>
      <w:r>
        <w:rPr>
          <w:rFonts w:cs="Arial"/>
        </w:rPr>
        <w:t xml:space="preserve"> and prey depletion</w:t>
      </w:r>
      <w:r w:rsidR="003E57CA">
        <w:rPr>
          <w:rFonts w:cs="Arial"/>
        </w:rPr>
        <w:t>)</w:t>
      </w:r>
      <w:r w:rsidR="003D23CC" w:rsidRPr="00C328B4">
        <w:rPr>
          <w:rFonts w:cs="Arial"/>
        </w:rPr>
        <w:t xml:space="preserve">; </w:t>
      </w:r>
      <w:r>
        <w:rPr>
          <w:rFonts w:cs="Arial"/>
        </w:rPr>
        <w:t>hunting</w:t>
      </w:r>
      <w:r w:rsidR="003D23CC" w:rsidRPr="00C328B4">
        <w:rPr>
          <w:rFonts w:cs="Arial"/>
        </w:rPr>
        <w:t xml:space="preserve">; </w:t>
      </w:r>
      <w:r>
        <w:rPr>
          <w:rFonts w:cs="Arial"/>
        </w:rPr>
        <w:t>climate change</w:t>
      </w:r>
      <w:r w:rsidR="003D23CC" w:rsidRPr="00C328B4">
        <w:rPr>
          <w:rFonts w:cs="Arial"/>
        </w:rPr>
        <w:t xml:space="preserve">; </w:t>
      </w:r>
      <w:r>
        <w:rPr>
          <w:rFonts w:cs="Arial"/>
        </w:rPr>
        <w:t>pollution (marine debris, chemical and noise</w:t>
      </w:r>
      <w:r w:rsidRPr="00C328B4">
        <w:rPr>
          <w:rFonts w:cs="Arial"/>
        </w:rPr>
        <w:t>)</w:t>
      </w:r>
      <w:r w:rsidR="003D23CC" w:rsidRPr="00C328B4">
        <w:rPr>
          <w:rFonts w:cs="Arial"/>
        </w:rPr>
        <w:t xml:space="preserve">; </w:t>
      </w:r>
      <w:r>
        <w:rPr>
          <w:rFonts w:cs="Arial"/>
        </w:rPr>
        <w:t>vessel strikes</w:t>
      </w:r>
      <w:r w:rsidR="003D23CC" w:rsidRPr="00C328B4">
        <w:rPr>
          <w:rFonts w:cs="Arial"/>
        </w:rPr>
        <w:t xml:space="preserve">; </w:t>
      </w:r>
      <w:r>
        <w:rPr>
          <w:rFonts w:cs="Arial"/>
        </w:rPr>
        <w:t>live captures</w:t>
      </w:r>
      <w:r w:rsidR="00C328B4" w:rsidRPr="00C328B4">
        <w:rPr>
          <w:rFonts w:cs="Arial"/>
        </w:rPr>
        <w:t xml:space="preserve">; </w:t>
      </w:r>
      <w:r>
        <w:rPr>
          <w:rFonts w:cs="Arial"/>
        </w:rPr>
        <w:t>disturbance and harassment</w:t>
      </w:r>
      <w:r w:rsidR="00C328B4" w:rsidRPr="00C328B4">
        <w:rPr>
          <w:rFonts w:cs="Arial"/>
        </w:rPr>
        <w:t xml:space="preserve">; </w:t>
      </w:r>
      <w:r>
        <w:rPr>
          <w:rFonts w:cs="Arial"/>
        </w:rPr>
        <w:t>disease</w:t>
      </w:r>
      <w:r w:rsidR="00C328B4" w:rsidRPr="00C328B4">
        <w:rPr>
          <w:rFonts w:cs="Arial"/>
        </w:rPr>
        <w:t xml:space="preserve">; </w:t>
      </w:r>
      <w:r>
        <w:rPr>
          <w:rFonts w:cs="Arial"/>
        </w:rPr>
        <w:t>‘out of habitat’ cetaceans and climate migrants</w:t>
      </w:r>
      <w:r w:rsidR="00C328B4" w:rsidRPr="00C328B4">
        <w:rPr>
          <w:rFonts w:cs="Arial"/>
        </w:rPr>
        <w:t xml:space="preserve">; </w:t>
      </w:r>
      <w:r>
        <w:rPr>
          <w:rFonts w:cs="Arial"/>
        </w:rPr>
        <w:t>deep-sea mining</w:t>
      </w:r>
      <w:r w:rsidR="00C328B4" w:rsidRPr="00C328B4">
        <w:rPr>
          <w:rFonts w:cs="Arial"/>
        </w:rPr>
        <w:t xml:space="preserve">; </w:t>
      </w:r>
      <w:r w:rsidR="00C328B4">
        <w:rPr>
          <w:rFonts w:cs="Arial"/>
        </w:rPr>
        <w:t xml:space="preserve">and </w:t>
      </w:r>
      <w:r>
        <w:rPr>
          <w:rFonts w:cs="Arial"/>
        </w:rPr>
        <w:t>habitat degradation</w:t>
      </w:r>
      <w:r w:rsidR="00FB03FF">
        <w:rPr>
          <w:rFonts w:cs="Arial"/>
        </w:rPr>
        <w:t>.</w:t>
      </w:r>
    </w:p>
    <w:p w14:paraId="50096C08" w14:textId="77777777" w:rsidR="006E5484" w:rsidRDefault="006E5484">
      <w:pPr>
        <w:widowControl w:val="0"/>
        <w:spacing w:after="0" w:line="240" w:lineRule="auto"/>
        <w:ind w:left="567"/>
        <w:jc w:val="both"/>
        <w:rPr>
          <w:rFonts w:cs="Arial"/>
        </w:rPr>
      </w:pPr>
    </w:p>
    <w:p w14:paraId="14825D5B" w14:textId="77777777" w:rsidR="006E5484" w:rsidRDefault="00FB2FEF">
      <w:pPr>
        <w:widowControl w:val="0"/>
        <w:numPr>
          <w:ilvl w:val="0"/>
          <w:numId w:val="6"/>
        </w:numPr>
        <w:spacing w:after="0" w:line="240" w:lineRule="auto"/>
        <w:ind w:left="567" w:hanging="567"/>
        <w:jc w:val="both"/>
      </w:pPr>
      <w:r>
        <w:rPr>
          <w:rFonts w:cs="Arial"/>
        </w:rPr>
        <w:t xml:space="preserve">Each subsection includes a brief summary of relevant operative paragraphs of each related Resolution in force, referencing the existing commitments of Parties. Recommendations from scientific experts follow. Where feasible, these have been incorporated in the draft Resolution and draft Decisions contained in this document. The review goes on to identify key resources for Parties and others, including CMS documents, relevant IMMAs, and a recent selection of published materials. </w:t>
      </w:r>
    </w:p>
    <w:p w14:paraId="6844157E" w14:textId="77777777" w:rsidR="006E5484" w:rsidRDefault="006E5484">
      <w:pPr>
        <w:widowControl w:val="0"/>
        <w:spacing w:after="0" w:line="240" w:lineRule="auto"/>
        <w:ind w:left="567"/>
        <w:jc w:val="both"/>
        <w:rPr>
          <w:rFonts w:cs="Arial"/>
        </w:rPr>
      </w:pPr>
    </w:p>
    <w:p w14:paraId="16F96DC6" w14:textId="0BE85B3B" w:rsidR="006E5484" w:rsidRDefault="00FB2FEF">
      <w:pPr>
        <w:widowControl w:val="0"/>
        <w:numPr>
          <w:ilvl w:val="0"/>
          <w:numId w:val="6"/>
        </w:numPr>
        <w:spacing w:after="0" w:line="240" w:lineRule="auto"/>
        <w:ind w:left="567" w:hanging="567"/>
        <w:jc w:val="both"/>
      </w:pPr>
      <w:r>
        <w:rPr>
          <w:rFonts w:cs="Arial"/>
        </w:rPr>
        <w:t xml:space="preserve">The review also contains details about each of the related Resolutions in </w:t>
      </w:r>
      <w:r w:rsidR="00603D29">
        <w:rPr>
          <w:rFonts w:cs="Arial"/>
        </w:rPr>
        <w:t>it</w:t>
      </w:r>
      <w:r w:rsidR="00D0675D">
        <w:rPr>
          <w:rFonts w:cs="Arial"/>
        </w:rPr>
        <w:t xml:space="preserve">s </w:t>
      </w:r>
      <w:hyperlink r:id="rId25" w:history="1">
        <w:r w:rsidRPr="00D0675D">
          <w:rPr>
            <w:rStyle w:val="Hyperlink"/>
            <w:rFonts w:cs="Arial"/>
          </w:rPr>
          <w:t>Annex 1</w:t>
        </w:r>
      </w:hyperlink>
      <w:r>
        <w:rPr>
          <w:rFonts w:cs="Arial"/>
        </w:rPr>
        <w:t xml:space="preserve">, as well as a prioritized list of threats for each large ocean region with an accompanying species list in </w:t>
      </w:r>
      <w:r w:rsidR="00D0675D">
        <w:rPr>
          <w:rFonts w:cs="Arial"/>
        </w:rPr>
        <w:t xml:space="preserve">its </w:t>
      </w:r>
      <w:hyperlink r:id="rId26" w:history="1">
        <w:r w:rsidRPr="00D0675D">
          <w:rPr>
            <w:rStyle w:val="Hyperlink"/>
            <w:rFonts w:cs="Arial"/>
          </w:rPr>
          <w:t>Annex 2</w:t>
        </w:r>
      </w:hyperlink>
      <w:r>
        <w:rPr>
          <w:rFonts w:cs="Arial"/>
        </w:rPr>
        <w:t>.</w:t>
      </w:r>
    </w:p>
    <w:p w14:paraId="481DE61B" w14:textId="1CFC6C8F" w:rsidR="006E5484" w:rsidRDefault="00FB2FEF">
      <w:pPr>
        <w:widowControl w:val="0"/>
        <w:numPr>
          <w:ilvl w:val="0"/>
          <w:numId w:val="6"/>
        </w:numPr>
        <w:spacing w:after="0" w:line="240" w:lineRule="auto"/>
        <w:ind w:left="567" w:hanging="567"/>
        <w:jc w:val="both"/>
      </w:pPr>
      <w:r>
        <w:rPr>
          <w:rFonts w:cs="Arial"/>
        </w:rPr>
        <w:lastRenderedPageBreak/>
        <w:t xml:space="preserve">Recommendations for Range States of specific species identified in </w:t>
      </w:r>
      <w:r w:rsidR="00B20593">
        <w:rPr>
          <w:rFonts w:cs="Arial"/>
        </w:rPr>
        <w:t>the review</w:t>
      </w:r>
      <w:r w:rsidDel="0065193C">
        <w:rPr>
          <w:rFonts w:cs="Arial"/>
        </w:rPr>
        <w:t xml:space="preserve"> </w:t>
      </w:r>
      <w:r>
        <w:rPr>
          <w:rFonts w:cs="Arial"/>
        </w:rPr>
        <w:t>have been reproduced in Annex 1 of this document for ease of access by the Parties concerned.</w:t>
      </w:r>
    </w:p>
    <w:p w14:paraId="3E117140" w14:textId="77777777" w:rsidR="006E5484" w:rsidRDefault="006E5484">
      <w:pPr>
        <w:widowControl w:val="0"/>
        <w:spacing w:after="0" w:line="240" w:lineRule="auto"/>
        <w:ind w:left="567"/>
        <w:jc w:val="both"/>
        <w:rPr>
          <w:rFonts w:cs="Arial"/>
        </w:rPr>
      </w:pPr>
    </w:p>
    <w:p w14:paraId="3E327D1E" w14:textId="6D41A0A1" w:rsidR="006E5484" w:rsidRPr="00AF3CAF" w:rsidRDefault="00FB2FEF">
      <w:pPr>
        <w:widowControl w:val="0"/>
        <w:numPr>
          <w:ilvl w:val="0"/>
          <w:numId w:val="6"/>
        </w:numPr>
        <w:spacing w:after="0" w:line="240" w:lineRule="auto"/>
        <w:ind w:left="567" w:hanging="567"/>
        <w:jc w:val="both"/>
      </w:pPr>
      <w:r>
        <w:rPr>
          <w:rFonts w:cs="Arial"/>
        </w:rPr>
        <w:t xml:space="preserve">Based on the information contained in the review, the Secretariat has prepared </w:t>
      </w:r>
      <w:r w:rsidR="003E57CA">
        <w:rPr>
          <w:rFonts w:cs="Arial"/>
        </w:rPr>
        <w:t>a</w:t>
      </w:r>
      <w:r>
        <w:rPr>
          <w:rFonts w:cs="Arial"/>
        </w:rPr>
        <w:t xml:space="preserve"> draft Resolution (Annex 2</w:t>
      </w:r>
      <w:r w:rsidR="00FE275C">
        <w:rPr>
          <w:rFonts w:cs="Arial"/>
        </w:rPr>
        <w:t xml:space="preserve"> of this document</w:t>
      </w:r>
      <w:r>
        <w:rPr>
          <w:rFonts w:cs="Arial"/>
        </w:rPr>
        <w:t xml:space="preserve">) and draft Decisions (Annex </w:t>
      </w:r>
      <w:r w:rsidR="004871BD">
        <w:rPr>
          <w:rFonts w:cs="Arial"/>
        </w:rPr>
        <w:t>3</w:t>
      </w:r>
      <w:r w:rsidR="00FE275C">
        <w:rPr>
          <w:rFonts w:cs="Arial"/>
        </w:rPr>
        <w:t xml:space="preserve"> of this document</w:t>
      </w:r>
      <w:r>
        <w:rPr>
          <w:rFonts w:cs="Arial"/>
        </w:rPr>
        <w:t xml:space="preserve">). </w:t>
      </w:r>
      <w:r w:rsidR="00C05392" w:rsidRPr="00AF3CAF">
        <w:rPr>
          <w:rFonts w:cs="Arial"/>
        </w:rPr>
        <w:t xml:space="preserve">It should be noted that </w:t>
      </w:r>
      <w:r w:rsidR="00604943" w:rsidRPr="00AF3CAF">
        <w:rPr>
          <w:rFonts w:cs="Arial"/>
        </w:rPr>
        <w:t xml:space="preserve">the majority of the recommended actions relate to commitments already made </w:t>
      </w:r>
      <w:r w:rsidR="00AF3CAF" w:rsidRPr="00AF3CAF">
        <w:rPr>
          <w:rFonts w:cs="Arial"/>
        </w:rPr>
        <w:t>as contained in adopted</w:t>
      </w:r>
      <w:r w:rsidR="00690ECB" w:rsidRPr="00AF3CAF">
        <w:rPr>
          <w:rFonts w:cs="Arial"/>
        </w:rPr>
        <w:t xml:space="preserve"> </w:t>
      </w:r>
      <w:r w:rsidR="00073A23" w:rsidRPr="00AF3CAF">
        <w:rPr>
          <w:rFonts w:cs="Arial"/>
        </w:rPr>
        <w:t>R</w:t>
      </w:r>
      <w:r w:rsidR="00690ECB" w:rsidRPr="00AF3CAF">
        <w:rPr>
          <w:rFonts w:cs="Arial"/>
        </w:rPr>
        <w:t>esolutions.</w:t>
      </w:r>
    </w:p>
    <w:p w14:paraId="31F6ABB6" w14:textId="77777777" w:rsidR="006E5484" w:rsidRDefault="006E5484">
      <w:pPr>
        <w:pStyle w:val="ListParagraph"/>
        <w:spacing w:after="0" w:line="240" w:lineRule="auto"/>
        <w:contextualSpacing w:val="0"/>
        <w:rPr>
          <w:rFonts w:cs="Arial"/>
        </w:rPr>
      </w:pPr>
    </w:p>
    <w:p w14:paraId="5F26275A" w14:textId="18567692" w:rsidR="006E5484" w:rsidRPr="0092640D" w:rsidRDefault="00FB2FEF">
      <w:pPr>
        <w:widowControl w:val="0"/>
        <w:numPr>
          <w:ilvl w:val="0"/>
          <w:numId w:val="6"/>
        </w:numPr>
        <w:spacing w:after="0" w:line="240" w:lineRule="auto"/>
        <w:ind w:left="567" w:hanging="567"/>
        <w:jc w:val="both"/>
      </w:pPr>
      <w:r>
        <w:rPr>
          <w:rFonts w:cs="Arial"/>
        </w:rPr>
        <w:t xml:space="preserve">The review contained far more potential activities for the Scientific Council than can realistically be addressed in one triennium. Accordingly, it is proposed that </w:t>
      </w:r>
      <w:r w:rsidR="004E6738">
        <w:rPr>
          <w:rFonts w:cs="Arial"/>
        </w:rPr>
        <w:t>the Scientific Council</w:t>
      </w:r>
      <w:r w:rsidR="0004141B">
        <w:rPr>
          <w:rFonts w:cs="Arial"/>
        </w:rPr>
        <w:t xml:space="preserve"> revisits </w:t>
      </w:r>
      <w:r>
        <w:rPr>
          <w:rFonts w:cs="Arial"/>
        </w:rPr>
        <w:t xml:space="preserve">the review to see which actions should be brought to the attention of </w:t>
      </w:r>
      <w:r w:rsidR="00D05853">
        <w:rPr>
          <w:rFonts w:cs="Arial"/>
        </w:rPr>
        <w:t xml:space="preserve">future </w:t>
      </w:r>
      <w:r>
        <w:rPr>
          <w:rFonts w:cs="Arial"/>
        </w:rPr>
        <w:t>COP</w:t>
      </w:r>
      <w:r w:rsidR="00D05853">
        <w:rPr>
          <w:rFonts w:cs="Arial"/>
        </w:rPr>
        <w:t>s</w:t>
      </w:r>
      <w:r>
        <w:rPr>
          <w:rFonts w:cs="Arial"/>
        </w:rPr>
        <w:t xml:space="preserve"> for the </w:t>
      </w:r>
      <w:r w:rsidR="00D05853">
        <w:rPr>
          <w:rFonts w:cs="Arial"/>
        </w:rPr>
        <w:t xml:space="preserve">following </w:t>
      </w:r>
      <w:r>
        <w:rPr>
          <w:rFonts w:cs="Arial"/>
        </w:rPr>
        <w:t>trienni</w:t>
      </w:r>
      <w:r w:rsidR="0033056B">
        <w:rPr>
          <w:rFonts w:cs="Arial"/>
        </w:rPr>
        <w:t>a</w:t>
      </w:r>
      <w:r>
        <w:rPr>
          <w:rFonts w:cs="Arial"/>
        </w:rPr>
        <w:t xml:space="preserve">. To assist in this, the Secretariat has compiled a list of future potential decisions in </w:t>
      </w:r>
      <w:hyperlink r:id="rId27" w:history="1">
        <w:r w:rsidR="004A6475" w:rsidRPr="00F10D4B">
          <w:rPr>
            <w:rStyle w:val="Hyperlink"/>
            <w:rFonts w:cs="Arial"/>
          </w:rPr>
          <w:t>UNEP/CMS/COP14/Inf.27.5.1b</w:t>
        </w:r>
      </w:hyperlink>
      <w:r w:rsidDel="004A6475">
        <w:rPr>
          <w:rFonts w:cs="Arial"/>
        </w:rPr>
        <w:t xml:space="preserve"> </w:t>
      </w:r>
      <w:r>
        <w:rPr>
          <w:rFonts w:cs="Arial"/>
          <w:i/>
          <w:iCs/>
        </w:rPr>
        <w:t xml:space="preserve">Compilation of Recommendations that could be Directed to the Scientific Council at </w:t>
      </w:r>
      <w:r w:rsidR="0000734B">
        <w:rPr>
          <w:rFonts w:cs="Arial"/>
          <w:i/>
          <w:iCs/>
        </w:rPr>
        <w:t xml:space="preserve">COP14 </w:t>
      </w:r>
      <w:r w:rsidR="00DE50AE">
        <w:rPr>
          <w:rFonts w:cs="Arial"/>
          <w:i/>
          <w:iCs/>
        </w:rPr>
        <w:t>and</w:t>
      </w:r>
      <w:r w:rsidR="0000734B">
        <w:rPr>
          <w:rFonts w:cs="Arial"/>
          <w:i/>
          <w:iCs/>
        </w:rPr>
        <w:t xml:space="preserve"> </w:t>
      </w:r>
      <w:r>
        <w:rPr>
          <w:rFonts w:cs="Arial"/>
          <w:i/>
          <w:iCs/>
        </w:rPr>
        <w:t>Future COPs</w:t>
      </w:r>
      <w:r>
        <w:rPr>
          <w:rFonts w:cs="Arial"/>
        </w:rPr>
        <w:t>.</w:t>
      </w:r>
    </w:p>
    <w:p w14:paraId="0FFD86D9" w14:textId="77777777" w:rsidR="0092640D" w:rsidRPr="0092640D" w:rsidRDefault="0092640D" w:rsidP="0092640D">
      <w:pPr>
        <w:widowControl w:val="0"/>
        <w:spacing w:after="0" w:line="240" w:lineRule="auto"/>
        <w:ind w:left="567"/>
        <w:jc w:val="both"/>
      </w:pPr>
    </w:p>
    <w:p w14:paraId="7B48C962" w14:textId="75A29122" w:rsidR="0092640D" w:rsidRDefault="0092640D">
      <w:pPr>
        <w:widowControl w:val="0"/>
        <w:numPr>
          <w:ilvl w:val="0"/>
          <w:numId w:val="6"/>
        </w:numPr>
        <w:spacing w:after="0" w:line="240" w:lineRule="auto"/>
        <w:ind w:left="567" w:hanging="567"/>
        <w:jc w:val="both"/>
      </w:pPr>
      <w:r>
        <w:rPr>
          <w:rFonts w:cs="Arial"/>
        </w:rPr>
        <w:t xml:space="preserve">Furthermore, </w:t>
      </w:r>
      <w:r w:rsidR="00700A77">
        <w:rPr>
          <w:rFonts w:cs="Arial"/>
        </w:rPr>
        <w:t>recommendations</w:t>
      </w:r>
      <w:r>
        <w:rPr>
          <w:rFonts w:cs="Arial"/>
        </w:rPr>
        <w:t xml:space="preserve"> relating to topics covered in other documents have been included in these documents, as far as feasible. This is the case for </w:t>
      </w:r>
      <w:hyperlink r:id="rId28" w:history="1">
        <w:r w:rsidR="002A2806" w:rsidRPr="00D023CE">
          <w:rPr>
            <w:rStyle w:val="Hyperlink"/>
          </w:rPr>
          <w:t>UNEP/CMS/COP14/Doc.27.2.2</w:t>
        </w:r>
      </w:hyperlink>
      <w:r w:rsidR="00BD4053">
        <w:t xml:space="preserve"> </w:t>
      </w:r>
      <w:r w:rsidRPr="000C0A3F">
        <w:rPr>
          <w:rFonts w:cs="Arial"/>
          <w:i/>
          <w:iCs/>
        </w:rPr>
        <w:t>Marine Noise</w:t>
      </w:r>
      <w:r>
        <w:rPr>
          <w:rFonts w:cs="Arial"/>
        </w:rPr>
        <w:t xml:space="preserve">, </w:t>
      </w:r>
      <w:hyperlink r:id="rId29" w:history="1">
        <w:r w:rsidR="00E4190C" w:rsidRPr="00E4190C">
          <w:rPr>
            <w:rStyle w:val="Hyperlink"/>
            <w:rFonts w:cs="Arial"/>
          </w:rPr>
          <w:t>UNEP/CMS/COP14/</w:t>
        </w:r>
        <w:r w:rsidRPr="00E4190C">
          <w:rPr>
            <w:rStyle w:val="Hyperlink"/>
          </w:rPr>
          <w:t>Doc.</w:t>
        </w:r>
        <w:r w:rsidR="00E4190C" w:rsidRPr="00E4190C">
          <w:rPr>
            <w:rStyle w:val="Hyperlink"/>
          </w:rPr>
          <w:t>27.2.3</w:t>
        </w:r>
      </w:hyperlink>
      <w:r>
        <w:t xml:space="preserve"> </w:t>
      </w:r>
      <w:r w:rsidRPr="000C0A3F">
        <w:rPr>
          <w:i/>
          <w:iCs/>
        </w:rPr>
        <w:t>Vessel Strikes</w:t>
      </w:r>
      <w:r>
        <w:t xml:space="preserve">, </w:t>
      </w:r>
      <w:hyperlink r:id="rId30" w:history="1">
        <w:r w:rsidR="00986391" w:rsidRPr="00986391">
          <w:rPr>
            <w:rStyle w:val="Hyperlink"/>
          </w:rPr>
          <w:t>UNEP/CMS/COP14/Doc.27.3.1</w:t>
        </w:r>
      </w:hyperlink>
      <w:r w:rsidR="00BD4053">
        <w:t xml:space="preserve"> </w:t>
      </w:r>
      <w:r w:rsidR="00887EDE">
        <w:rPr>
          <w:i/>
          <w:iCs/>
        </w:rPr>
        <w:t>Recreational In-Water Interactions</w:t>
      </w:r>
      <w:r w:rsidR="003E57CA">
        <w:rPr>
          <w:i/>
          <w:iCs/>
        </w:rPr>
        <w:t>,</w:t>
      </w:r>
      <w:r w:rsidR="000C0A3F">
        <w:t xml:space="preserve"> and </w:t>
      </w:r>
      <w:hyperlink r:id="rId31" w:history="1">
        <w:r w:rsidR="00983EA1" w:rsidRPr="00983EA1">
          <w:rPr>
            <w:rStyle w:val="Hyperlink"/>
          </w:rPr>
          <w:t>UNEP/CMS/COP14/</w:t>
        </w:r>
        <w:r w:rsidR="000C0A3F" w:rsidRPr="00983EA1">
          <w:rPr>
            <w:rStyle w:val="Hyperlink"/>
          </w:rPr>
          <w:t>Doc.</w:t>
        </w:r>
        <w:r w:rsidR="00983EA1" w:rsidRPr="00983EA1">
          <w:rPr>
            <w:rStyle w:val="Hyperlink"/>
          </w:rPr>
          <w:t>27.2.4</w:t>
        </w:r>
      </w:hyperlink>
      <w:r w:rsidR="000C0A3F">
        <w:t xml:space="preserve"> </w:t>
      </w:r>
      <w:r w:rsidR="000C0A3F" w:rsidRPr="000C0A3F">
        <w:rPr>
          <w:i/>
          <w:iCs/>
        </w:rPr>
        <w:t>Deep-</w:t>
      </w:r>
      <w:r w:rsidR="00CC51F5">
        <w:rPr>
          <w:i/>
          <w:iCs/>
        </w:rPr>
        <w:t>S</w:t>
      </w:r>
      <w:r w:rsidR="000C0A3F" w:rsidRPr="000C0A3F">
        <w:rPr>
          <w:i/>
          <w:iCs/>
        </w:rPr>
        <w:t>ea Mining</w:t>
      </w:r>
      <w:r w:rsidR="000C0A3F">
        <w:t>.</w:t>
      </w:r>
    </w:p>
    <w:p w14:paraId="64242E83" w14:textId="77777777" w:rsidR="006E5484" w:rsidRDefault="006E5484">
      <w:pPr>
        <w:widowControl w:val="0"/>
        <w:spacing w:after="0" w:line="240" w:lineRule="auto"/>
        <w:ind w:left="567"/>
        <w:jc w:val="both"/>
        <w:rPr>
          <w:rFonts w:cs="Arial"/>
        </w:rPr>
      </w:pPr>
    </w:p>
    <w:p w14:paraId="7A45C6A5" w14:textId="40EA2891" w:rsidR="00941220" w:rsidRPr="005217A3" w:rsidRDefault="00682563" w:rsidP="00941220">
      <w:pPr>
        <w:pStyle w:val="ListParagraph"/>
        <w:numPr>
          <w:ilvl w:val="0"/>
          <w:numId w:val="6"/>
        </w:numPr>
        <w:spacing w:after="0" w:line="240" w:lineRule="auto"/>
        <w:ind w:left="567" w:hanging="567"/>
        <w:jc w:val="both"/>
      </w:pPr>
      <w:r>
        <w:rPr>
          <w:rFonts w:cs="Arial"/>
        </w:rPr>
        <w:t xml:space="preserve">Several of the recommendations in the </w:t>
      </w:r>
      <w:hyperlink r:id="rId32" w:history="1">
        <w:r w:rsidRPr="00AB0FF2">
          <w:rPr>
            <w:rStyle w:val="Hyperlink"/>
            <w:rFonts w:cs="Arial"/>
          </w:rPr>
          <w:t>review</w:t>
        </w:r>
      </w:hyperlink>
      <w:r>
        <w:rPr>
          <w:rFonts w:cs="Arial"/>
        </w:rPr>
        <w:t xml:space="preserve"> relate to animal welfare</w:t>
      </w:r>
      <w:r w:rsidR="005D124A">
        <w:rPr>
          <w:rFonts w:cs="Arial"/>
        </w:rPr>
        <w:t xml:space="preserve"> science</w:t>
      </w:r>
      <w:r>
        <w:rPr>
          <w:rFonts w:cs="Arial"/>
        </w:rPr>
        <w:t>, a</w:t>
      </w:r>
      <w:r w:rsidR="00941220">
        <w:rPr>
          <w:rFonts w:cs="Arial"/>
        </w:rPr>
        <w:t xml:space="preserve"> rapidly evolving scientific discipline prompting a change in the way welfare is considered in a conservation context. </w:t>
      </w:r>
      <w:r w:rsidR="008B31BB">
        <w:rPr>
          <w:rFonts w:cs="Arial"/>
        </w:rPr>
        <w:t xml:space="preserve">Animal welfare science </w:t>
      </w:r>
      <w:r w:rsidR="00DF7232">
        <w:rPr>
          <w:rFonts w:cs="Arial"/>
        </w:rPr>
        <w:t>makes the link between the traditional focus of conservation strategies on population</w:t>
      </w:r>
      <w:r w:rsidR="0040734D">
        <w:rPr>
          <w:rFonts w:cs="Arial"/>
        </w:rPr>
        <w:t>-</w:t>
      </w:r>
      <w:r w:rsidR="00DF7232">
        <w:rPr>
          <w:rFonts w:cs="Arial"/>
        </w:rPr>
        <w:t>level effects</w:t>
      </w:r>
      <w:r w:rsidR="00C15071">
        <w:rPr>
          <w:rFonts w:cs="Arial"/>
        </w:rPr>
        <w:t xml:space="preserve"> and the fact that</w:t>
      </w:r>
      <w:r w:rsidR="00941220">
        <w:rPr>
          <w:rFonts w:cs="Arial"/>
        </w:rPr>
        <w:t xml:space="preserve"> populations comprise animals whose conservation potential is first influenced by the welfare of individuals within the population. The growing understanding of how animal welfare science aids conservation and how animal welfare and conservation principles are intrinsically linked is </w:t>
      </w:r>
      <w:r w:rsidR="00A10530">
        <w:rPr>
          <w:rFonts w:cs="Arial"/>
        </w:rPr>
        <w:t>the reason why</w:t>
      </w:r>
      <w:r w:rsidR="00941220">
        <w:rPr>
          <w:rFonts w:cs="Arial"/>
        </w:rPr>
        <w:t xml:space="preserve"> a more general consideration of this topic by the Scientific Council</w:t>
      </w:r>
      <w:r w:rsidR="007B10A0">
        <w:rPr>
          <w:rFonts w:cs="Arial"/>
        </w:rPr>
        <w:t xml:space="preserve">, in addition to the specific recommendations made in the </w:t>
      </w:r>
      <w:r w:rsidR="00204EE0">
        <w:rPr>
          <w:rFonts w:cs="Arial"/>
        </w:rPr>
        <w:t>draft Decisions,</w:t>
      </w:r>
      <w:r w:rsidR="00941220">
        <w:rPr>
          <w:rFonts w:cs="Arial"/>
        </w:rPr>
        <w:t xml:space="preserve"> is recommended</w:t>
      </w:r>
      <w:r w:rsidR="00AF59D8">
        <w:rPr>
          <w:rFonts w:cs="Arial"/>
        </w:rPr>
        <w:t xml:space="preserve"> below</w:t>
      </w:r>
      <w:r w:rsidR="00941220">
        <w:rPr>
          <w:rFonts w:cs="Arial"/>
        </w:rPr>
        <w:t>.</w:t>
      </w:r>
    </w:p>
    <w:p w14:paraId="5B19467B" w14:textId="77777777" w:rsidR="006E5484" w:rsidRDefault="006E5484">
      <w:pPr>
        <w:spacing w:after="0" w:line="240" w:lineRule="auto"/>
        <w:rPr>
          <w:rFonts w:cs="Arial"/>
          <w:u w:val="single"/>
        </w:rPr>
      </w:pPr>
    </w:p>
    <w:p w14:paraId="73B1D64A" w14:textId="77777777" w:rsidR="006E5484" w:rsidRDefault="00FB2FEF">
      <w:pPr>
        <w:spacing w:after="0" w:line="240" w:lineRule="auto"/>
      </w:pPr>
      <w:r>
        <w:rPr>
          <w:rFonts w:cs="Arial"/>
          <w:u w:val="single"/>
        </w:rPr>
        <w:t>Discussion and analysis</w:t>
      </w:r>
    </w:p>
    <w:p w14:paraId="0876CD85" w14:textId="77777777" w:rsidR="006E5484" w:rsidRDefault="006E5484">
      <w:pPr>
        <w:spacing w:after="0" w:line="240" w:lineRule="auto"/>
        <w:rPr>
          <w:rFonts w:cs="Arial"/>
        </w:rPr>
      </w:pPr>
    </w:p>
    <w:p w14:paraId="50B72BE0" w14:textId="3B90ED4E" w:rsidR="006E5484" w:rsidRDefault="00FB2FEF">
      <w:pPr>
        <w:pStyle w:val="ListParagraph"/>
        <w:numPr>
          <w:ilvl w:val="0"/>
          <w:numId w:val="6"/>
        </w:numPr>
        <w:spacing w:after="0" w:line="240" w:lineRule="auto"/>
        <w:ind w:left="567" w:hanging="567"/>
        <w:jc w:val="both"/>
      </w:pPr>
      <w:r>
        <w:rPr>
          <w:rFonts w:cs="Arial"/>
        </w:rPr>
        <w:t xml:space="preserve">Given the highly concerning conservation status of many species and populations of cetaceans, as demonstrated clearly in the </w:t>
      </w:r>
      <w:hyperlink r:id="rId33" w:history="1">
        <w:r w:rsidRPr="00AB0FF2">
          <w:rPr>
            <w:rStyle w:val="Hyperlink"/>
            <w:rFonts w:cs="Arial"/>
          </w:rPr>
          <w:t>review</w:t>
        </w:r>
      </w:hyperlink>
      <w:r>
        <w:rPr>
          <w:rFonts w:cs="Arial"/>
        </w:rPr>
        <w:t xml:space="preserve">, there remains a clear </w:t>
      </w:r>
      <w:r w:rsidR="00D30FA6">
        <w:rPr>
          <w:rFonts w:cs="Arial"/>
        </w:rPr>
        <w:t xml:space="preserve">need for </w:t>
      </w:r>
      <w:r>
        <w:rPr>
          <w:rFonts w:cs="Arial"/>
        </w:rPr>
        <w:t>a</w:t>
      </w:r>
      <w:r w:rsidR="00D30FA6">
        <w:rPr>
          <w:rFonts w:cs="Arial"/>
        </w:rPr>
        <w:t xml:space="preserve"> </w:t>
      </w:r>
      <w:r>
        <w:rPr>
          <w:rFonts w:cs="Arial"/>
        </w:rPr>
        <w:t xml:space="preserve">focus on the </w:t>
      </w:r>
      <w:r w:rsidR="0020786E">
        <w:rPr>
          <w:rFonts w:cs="Arial"/>
        </w:rPr>
        <w:t>conservation actions required for</w:t>
      </w:r>
      <w:r>
        <w:rPr>
          <w:rFonts w:cs="Arial"/>
        </w:rPr>
        <w:t xml:space="preserve"> this taxonomic group. The draft Resolution and draft Decisions contained in this document seek to provide that focus.</w:t>
      </w:r>
    </w:p>
    <w:p w14:paraId="1E1B11EF" w14:textId="77777777" w:rsidR="006E5484" w:rsidRDefault="006E5484">
      <w:pPr>
        <w:pStyle w:val="ListParagraph"/>
        <w:spacing w:after="0" w:line="240" w:lineRule="auto"/>
        <w:ind w:left="567"/>
        <w:jc w:val="both"/>
        <w:rPr>
          <w:rFonts w:cs="Arial"/>
        </w:rPr>
      </w:pPr>
    </w:p>
    <w:p w14:paraId="4A9A6DAE" w14:textId="0643957E" w:rsidR="006E5484" w:rsidRDefault="00FB2FEF">
      <w:pPr>
        <w:pStyle w:val="ListParagraph"/>
        <w:numPr>
          <w:ilvl w:val="0"/>
          <w:numId w:val="6"/>
        </w:numPr>
        <w:spacing w:after="0" w:line="240" w:lineRule="auto"/>
        <w:ind w:left="567" w:hanging="567"/>
        <w:jc w:val="both"/>
      </w:pPr>
      <w:r>
        <w:rPr>
          <w:rFonts w:cs="Arial"/>
        </w:rPr>
        <w:t>Given the diverse scope of the Decisions adopted at COP13 on the subject of cetaceans, separate sets of draft Decisions have been prepared for each group, including ecosystem functioning and two regional cetacean-related initiatives</w:t>
      </w:r>
      <w:r w:rsidR="0040734D">
        <w:rPr>
          <w:rFonts w:cs="Arial"/>
        </w:rPr>
        <w:t>:</w:t>
      </w:r>
      <w:r>
        <w:rPr>
          <w:rFonts w:cs="Arial"/>
        </w:rPr>
        <w:t xml:space="preserve"> the potential Action Plan for Cetaceans in the Red Sea Region and the Action Plan for the Protection and Conservation of South Atlantic Whales.</w:t>
      </w:r>
    </w:p>
    <w:p w14:paraId="216E9929" w14:textId="77777777" w:rsidR="006E5484" w:rsidRDefault="006E5484">
      <w:pPr>
        <w:spacing w:after="0" w:line="240" w:lineRule="auto"/>
        <w:jc w:val="both"/>
        <w:rPr>
          <w:rFonts w:cs="Arial"/>
        </w:rPr>
      </w:pPr>
    </w:p>
    <w:p w14:paraId="1351E4A3" w14:textId="77777777" w:rsidR="0031773E" w:rsidRDefault="0031773E">
      <w:pPr>
        <w:spacing w:after="0" w:line="240" w:lineRule="auto"/>
        <w:rPr>
          <w:rFonts w:cs="Arial"/>
          <w:u w:val="single"/>
        </w:rPr>
      </w:pPr>
      <w:r>
        <w:rPr>
          <w:rFonts w:cs="Arial"/>
          <w:u w:val="single"/>
        </w:rPr>
        <w:br w:type="page"/>
      </w:r>
    </w:p>
    <w:p w14:paraId="4B69E033" w14:textId="1966AEF0" w:rsidR="006E5484" w:rsidRDefault="00FB2FEF">
      <w:pPr>
        <w:spacing w:after="0" w:line="240" w:lineRule="auto"/>
      </w:pPr>
      <w:r>
        <w:rPr>
          <w:rFonts w:cs="Arial"/>
          <w:u w:val="single"/>
        </w:rPr>
        <w:lastRenderedPageBreak/>
        <w:t>Recommended actions</w:t>
      </w:r>
    </w:p>
    <w:p w14:paraId="37CAE58F" w14:textId="77777777" w:rsidR="006E5484" w:rsidRDefault="006E5484">
      <w:pPr>
        <w:spacing w:after="0" w:line="240" w:lineRule="auto"/>
        <w:rPr>
          <w:rFonts w:cs="Arial"/>
        </w:rPr>
      </w:pPr>
    </w:p>
    <w:p w14:paraId="7DD58167" w14:textId="77777777" w:rsidR="006E5484" w:rsidRDefault="00FB2FEF">
      <w:pPr>
        <w:widowControl w:val="0"/>
        <w:numPr>
          <w:ilvl w:val="0"/>
          <w:numId w:val="6"/>
        </w:numPr>
        <w:spacing w:after="0" w:line="240" w:lineRule="auto"/>
        <w:ind w:left="567" w:hanging="567"/>
        <w:jc w:val="both"/>
      </w:pPr>
      <w:r>
        <w:rPr>
          <w:rFonts w:cs="Arial"/>
          <w:lang w:eastAsia="en-GB"/>
        </w:rPr>
        <w:t>The Conference of the Parties is recommended to</w:t>
      </w:r>
      <w:r>
        <w:rPr>
          <w:rFonts w:cs="Arial"/>
        </w:rPr>
        <w:t>:</w:t>
      </w:r>
    </w:p>
    <w:p w14:paraId="02D24030" w14:textId="77777777" w:rsidR="006E5484" w:rsidRDefault="006E5484">
      <w:pPr>
        <w:spacing w:after="0" w:line="240" w:lineRule="auto"/>
        <w:jc w:val="both"/>
        <w:rPr>
          <w:rFonts w:cs="Arial"/>
        </w:rPr>
      </w:pPr>
    </w:p>
    <w:p w14:paraId="56F516FA" w14:textId="3C3EA963" w:rsidR="006E5484" w:rsidRDefault="00FB2FEF" w:rsidP="0031773E">
      <w:pPr>
        <w:pStyle w:val="Secondnumbering"/>
        <w:ind w:left="900"/>
        <w:jc w:val="both"/>
      </w:pPr>
      <w:r>
        <w:rPr>
          <w:rFonts w:cs="Arial"/>
        </w:rPr>
        <w:t xml:space="preserve">note the reports and recommendations contained in </w:t>
      </w:r>
      <w:hyperlink r:id="rId34" w:history="1">
        <w:r w:rsidR="00A03D30" w:rsidRPr="00352831">
          <w:rPr>
            <w:rStyle w:val="Hyperlink"/>
            <w:rFonts w:cs="Arial"/>
          </w:rPr>
          <w:t>UNEP/CMS/COP14/Inf.27.5.1a</w:t>
        </w:r>
      </w:hyperlink>
      <w:r w:rsidR="005B41E2">
        <w:rPr>
          <w:rFonts w:cs="Arial"/>
        </w:rPr>
        <w:t xml:space="preserve"> </w:t>
      </w:r>
      <w:r>
        <w:rPr>
          <w:rFonts w:cs="Arial"/>
        </w:rPr>
        <w:t xml:space="preserve">and </w:t>
      </w:r>
      <w:hyperlink r:id="rId35" w:history="1">
        <w:r w:rsidR="00A03D30" w:rsidRPr="00F10D4B">
          <w:rPr>
            <w:rStyle w:val="Hyperlink"/>
            <w:rFonts w:cs="Arial"/>
          </w:rPr>
          <w:t>UNEP/CMS/COP14/Inf.27.5.1b</w:t>
        </w:r>
      </w:hyperlink>
      <w:r>
        <w:rPr>
          <w:rFonts w:cs="Arial"/>
        </w:rPr>
        <w:t>;</w:t>
      </w:r>
    </w:p>
    <w:p w14:paraId="137F4EBD" w14:textId="77777777" w:rsidR="006E5484" w:rsidRDefault="006E5484" w:rsidP="0031773E">
      <w:pPr>
        <w:pStyle w:val="ListParagraph"/>
        <w:spacing w:after="0" w:line="240" w:lineRule="auto"/>
        <w:ind w:left="900" w:hanging="360"/>
        <w:contextualSpacing w:val="0"/>
        <w:jc w:val="both"/>
      </w:pPr>
    </w:p>
    <w:p w14:paraId="15FC71F1" w14:textId="0982E071" w:rsidR="006E5484" w:rsidRDefault="00FB2FEF" w:rsidP="0031773E">
      <w:pPr>
        <w:pStyle w:val="Secondnumbering"/>
        <w:ind w:left="900"/>
        <w:jc w:val="both"/>
      </w:pPr>
      <w:r>
        <w:t>note the conservation recommendations for Range States of specific cetacean species outlined in Annex 1 of this document;</w:t>
      </w:r>
    </w:p>
    <w:p w14:paraId="10ABF6C2" w14:textId="77777777" w:rsidR="006E5484" w:rsidRDefault="006E5484" w:rsidP="0031773E">
      <w:pPr>
        <w:pStyle w:val="Secondnumbering"/>
        <w:numPr>
          <w:ilvl w:val="0"/>
          <w:numId w:val="0"/>
        </w:numPr>
        <w:ind w:left="900" w:hanging="360"/>
        <w:jc w:val="both"/>
      </w:pPr>
    </w:p>
    <w:p w14:paraId="3026198A" w14:textId="77777777" w:rsidR="006E5484" w:rsidRDefault="00FB2FEF" w:rsidP="0031773E">
      <w:pPr>
        <w:pStyle w:val="Secondnumbering"/>
        <w:ind w:left="900"/>
        <w:jc w:val="both"/>
      </w:pPr>
      <w:r>
        <w:rPr>
          <w:rFonts w:cs="Arial"/>
        </w:rPr>
        <w:t xml:space="preserve">adopt the draft Resolution contained in Annex 2 of this document; </w:t>
      </w:r>
    </w:p>
    <w:p w14:paraId="40AE8B4A" w14:textId="77777777" w:rsidR="006E5484" w:rsidRDefault="006E5484" w:rsidP="0031773E">
      <w:pPr>
        <w:pStyle w:val="Secondnumbering"/>
        <w:numPr>
          <w:ilvl w:val="0"/>
          <w:numId w:val="0"/>
        </w:numPr>
        <w:ind w:left="900" w:hanging="360"/>
        <w:jc w:val="both"/>
      </w:pPr>
    </w:p>
    <w:p w14:paraId="03226CA7" w14:textId="77777777" w:rsidR="006E5484" w:rsidRDefault="00FB2FEF" w:rsidP="0031773E">
      <w:pPr>
        <w:pStyle w:val="Secondnumbering"/>
        <w:ind w:left="900"/>
        <w:jc w:val="both"/>
      </w:pPr>
      <w:r>
        <w:rPr>
          <w:rFonts w:cs="Arial"/>
        </w:rPr>
        <w:t>adopt the draft Decisions as contained in Annex 3 of this document;</w:t>
      </w:r>
    </w:p>
    <w:p w14:paraId="5AAF032E" w14:textId="77777777" w:rsidR="006E5484" w:rsidRDefault="006E5484" w:rsidP="0031773E">
      <w:pPr>
        <w:pStyle w:val="Secondnumbering"/>
        <w:numPr>
          <w:ilvl w:val="0"/>
          <w:numId w:val="0"/>
        </w:numPr>
        <w:ind w:left="900" w:hanging="360"/>
        <w:jc w:val="both"/>
      </w:pPr>
    </w:p>
    <w:p w14:paraId="0719E49E" w14:textId="1EAD3F48" w:rsidR="006E5484" w:rsidRDefault="00FB2FEF" w:rsidP="0031773E">
      <w:pPr>
        <w:pStyle w:val="Secondnumbering"/>
        <w:ind w:left="900"/>
        <w:jc w:val="both"/>
      </w:pPr>
      <w:r>
        <w:rPr>
          <w:rFonts w:cs="Arial"/>
        </w:rPr>
        <w:t>delete Decisions 13.80</w:t>
      </w:r>
      <w:r w:rsidR="00F6797C">
        <w:rPr>
          <w:rFonts w:cs="Arial"/>
        </w:rPr>
        <w:t>-</w:t>
      </w:r>
      <w:r>
        <w:rPr>
          <w:rFonts w:cs="Arial"/>
        </w:rPr>
        <w:t>13.85;</w:t>
      </w:r>
    </w:p>
    <w:p w14:paraId="076430E8" w14:textId="77777777" w:rsidR="006E5484" w:rsidRDefault="006E5484" w:rsidP="0031773E">
      <w:pPr>
        <w:pStyle w:val="Secondnumbering"/>
        <w:numPr>
          <w:ilvl w:val="0"/>
          <w:numId w:val="0"/>
        </w:numPr>
        <w:ind w:left="900" w:hanging="360"/>
        <w:jc w:val="both"/>
      </w:pPr>
    </w:p>
    <w:p w14:paraId="29B4EDE7" w14:textId="77777777" w:rsidR="006E5484" w:rsidRDefault="00FB2FEF" w:rsidP="0031773E">
      <w:pPr>
        <w:pStyle w:val="Secondnumbering"/>
        <w:ind w:left="900"/>
        <w:jc w:val="both"/>
      </w:pPr>
      <w:bookmarkStart w:id="2" w:name="_Hlk135389050"/>
      <w:r>
        <w:t xml:space="preserve">repeal Resolution 10.15 (Rev.COP12) </w:t>
      </w:r>
      <w:r>
        <w:rPr>
          <w:i/>
          <w:iCs/>
        </w:rPr>
        <w:t>Global Programme of Work for Cetaceans</w:t>
      </w:r>
      <w:bookmarkEnd w:id="2"/>
      <w:r>
        <w:t>.</w:t>
      </w:r>
    </w:p>
    <w:p w14:paraId="1D17848C" w14:textId="77777777" w:rsidR="006E5484" w:rsidRDefault="006E5484">
      <w:pPr>
        <w:pStyle w:val="Secondnumbering"/>
        <w:numPr>
          <w:ilvl w:val="0"/>
          <w:numId w:val="0"/>
        </w:numPr>
        <w:ind w:left="900"/>
      </w:pPr>
    </w:p>
    <w:p w14:paraId="2A44A93B" w14:textId="77777777" w:rsidR="006E5484" w:rsidRDefault="006E5484">
      <w:pPr>
        <w:pStyle w:val="Secondnumbering"/>
        <w:numPr>
          <w:ilvl w:val="0"/>
          <w:numId w:val="0"/>
        </w:numPr>
        <w:ind w:left="900"/>
      </w:pPr>
    </w:p>
    <w:p w14:paraId="271D0305" w14:textId="77777777" w:rsidR="006E5484" w:rsidRDefault="006E5484">
      <w:pPr>
        <w:spacing w:after="0" w:line="240" w:lineRule="auto"/>
        <w:rPr>
          <w:rFonts w:cs="Arial"/>
          <w:caps/>
        </w:rPr>
        <w:sectPr w:rsidR="006E5484" w:rsidSect="0031773E">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20" w:footer="720" w:gutter="0"/>
          <w:cols w:space="720"/>
          <w:formProt w:val="0"/>
          <w:titlePg/>
          <w:docGrid w:linePitch="360" w:charSpace="4096"/>
        </w:sectPr>
      </w:pPr>
    </w:p>
    <w:p w14:paraId="1F098E57" w14:textId="77777777" w:rsidR="006E5484" w:rsidRDefault="00FB2FEF">
      <w:pPr>
        <w:pStyle w:val="Secondnumbering"/>
        <w:numPr>
          <w:ilvl w:val="0"/>
          <w:numId w:val="0"/>
        </w:numPr>
        <w:jc w:val="right"/>
      </w:pPr>
      <w:r>
        <w:rPr>
          <w:rFonts w:cs="Arial"/>
          <w:b/>
          <w:caps/>
        </w:rPr>
        <w:lastRenderedPageBreak/>
        <w:t>Annex 1</w:t>
      </w:r>
    </w:p>
    <w:p w14:paraId="4CA669EF" w14:textId="77777777" w:rsidR="006E5484" w:rsidRDefault="006E5484">
      <w:pPr>
        <w:pStyle w:val="Secondnumbering"/>
        <w:numPr>
          <w:ilvl w:val="0"/>
          <w:numId w:val="0"/>
        </w:numPr>
      </w:pPr>
    </w:p>
    <w:p w14:paraId="0645644E" w14:textId="77777777" w:rsidR="0031773E" w:rsidRDefault="0031773E">
      <w:pPr>
        <w:pStyle w:val="Secondnumbering"/>
        <w:numPr>
          <w:ilvl w:val="0"/>
          <w:numId w:val="0"/>
        </w:numPr>
      </w:pPr>
    </w:p>
    <w:p w14:paraId="273AD6DC" w14:textId="77777777" w:rsidR="006E5484" w:rsidRDefault="00FB2FEF">
      <w:pPr>
        <w:pStyle w:val="Secondnumbering"/>
        <w:numPr>
          <w:ilvl w:val="0"/>
          <w:numId w:val="0"/>
        </w:numPr>
        <w:jc w:val="center"/>
      </w:pPr>
      <w:r>
        <w:rPr>
          <w:b/>
          <w:bCs/>
        </w:rPr>
        <w:t xml:space="preserve">CONSERVATION RECOMMENDATIONS FOR RANGE STATES </w:t>
      </w:r>
    </w:p>
    <w:p w14:paraId="17517204" w14:textId="77777777" w:rsidR="006E5484" w:rsidRDefault="00FB2FEF">
      <w:pPr>
        <w:pStyle w:val="Secondnumbering"/>
        <w:numPr>
          <w:ilvl w:val="0"/>
          <w:numId w:val="0"/>
        </w:numPr>
        <w:jc w:val="center"/>
      </w:pPr>
      <w:r>
        <w:rPr>
          <w:b/>
          <w:bCs/>
        </w:rPr>
        <w:t>OF SPECIFIC CETACEAN SPECIES</w:t>
      </w:r>
    </w:p>
    <w:p w14:paraId="2A8FD0DB" w14:textId="77777777" w:rsidR="006E5484" w:rsidRDefault="006E5484">
      <w:pPr>
        <w:pStyle w:val="Secondnumbering"/>
        <w:numPr>
          <w:ilvl w:val="0"/>
          <w:numId w:val="0"/>
        </w:numPr>
        <w:jc w:val="center"/>
        <w:rPr>
          <w:b/>
          <w:bCs/>
        </w:rPr>
      </w:pPr>
    </w:p>
    <w:p w14:paraId="6A4C2D62" w14:textId="2502ABF1" w:rsidR="006E5484" w:rsidRDefault="00FB2FEF">
      <w:pPr>
        <w:pStyle w:val="Secondnumbering"/>
        <w:numPr>
          <w:ilvl w:val="0"/>
          <w:numId w:val="0"/>
        </w:numPr>
        <w:jc w:val="center"/>
      </w:pPr>
      <w:r>
        <w:rPr>
          <w:i/>
          <w:iCs/>
        </w:rPr>
        <w:t xml:space="preserve">(Extracted </w:t>
      </w:r>
      <w:r w:rsidR="00AA1B7B">
        <w:rPr>
          <w:i/>
          <w:iCs/>
        </w:rPr>
        <w:t xml:space="preserve">with some amendments </w:t>
      </w:r>
      <w:r>
        <w:rPr>
          <w:i/>
          <w:iCs/>
        </w:rPr>
        <w:t xml:space="preserve">from </w:t>
      </w:r>
      <w:hyperlink r:id="rId42" w:history="1">
        <w:r w:rsidR="00D40585" w:rsidRPr="00352831">
          <w:rPr>
            <w:rStyle w:val="Hyperlink"/>
            <w:rFonts w:cs="Arial"/>
          </w:rPr>
          <w:t>UNEP/CMS/COP14/Inf.27.5.1a</w:t>
        </w:r>
      </w:hyperlink>
      <w:r>
        <w:rPr>
          <w:i/>
          <w:iCs/>
        </w:rPr>
        <w:t>)</w:t>
      </w:r>
    </w:p>
    <w:p w14:paraId="077601EA" w14:textId="77777777" w:rsidR="006E5484" w:rsidRDefault="006E5484">
      <w:pPr>
        <w:pStyle w:val="Secondnumbering"/>
        <w:numPr>
          <w:ilvl w:val="0"/>
          <w:numId w:val="0"/>
        </w:numPr>
        <w:jc w:val="both"/>
      </w:pPr>
    </w:p>
    <w:p w14:paraId="55342468" w14:textId="77777777" w:rsidR="006E5484" w:rsidRDefault="006E5484">
      <w:pPr>
        <w:pStyle w:val="Secondnumbering"/>
        <w:numPr>
          <w:ilvl w:val="0"/>
          <w:numId w:val="0"/>
        </w:numPr>
        <w:jc w:val="both"/>
      </w:pPr>
    </w:p>
    <w:p w14:paraId="4C657EAD" w14:textId="602FE363" w:rsidR="006E5484" w:rsidRDefault="00FB2FEF">
      <w:pPr>
        <w:pStyle w:val="Secondnumbering"/>
        <w:numPr>
          <w:ilvl w:val="0"/>
          <w:numId w:val="0"/>
        </w:numPr>
        <w:jc w:val="both"/>
      </w:pPr>
      <w:r>
        <w:t xml:space="preserve">The following actions are recommended based on the particular vulnerability of the species to the threat listed, or the severity of the impact on populations. </w:t>
      </w:r>
      <w:r w:rsidR="00AA1B7B">
        <w:t>It includes both CMS-listed and non-listed species, and is intended purely for the information of Parties that are range states to these species or populations.</w:t>
      </w:r>
    </w:p>
    <w:p w14:paraId="6CB984F7" w14:textId="77777777" w:rsidR="006E5484" w:rsidRDefault="006E5484">
      <w:pPr>
        <w:spacing w:after="0" w:line="240" w:lineRule="auto"/>
        <w:jc w:val="both"/>
        <w:rPr>
          <w:rFonts w:cs="Arial"/>
          <w:b/>
          <w:bCs/>
          <w:caps/>
        </w:rPr>
      </w:pPr>
    </w:p>
    <w:p w14:paraId="242EFAEF" w14:textId="77777777" w:rsidR="006E5484" w:rsidRDefault="006E5484">
      <w:pPr>
        <w:spacing w:after="0" w:line="240" w:lineRule="auto"/>
        <w:jc w:val="both"/>
        <w:rPr>
          <w:rFonts w:cs="Arial"/>
          <w:b/>
          <w:bCs/>
          <w:caps/>
        </w:rPr>
      </w:pPr>
    </w:p>
    <w:p w14:paraId="395D5866" w14:textId="166FBEF3" w:rsidR="006E5484" w:rsidRDefault="00FB2FEF">
      <w:pPr>
        <w:spacing w:after="0" w:line="240" w:lineRule="auto"/>
        <w:jc w:val="both"/>
      </w:pPr>
      <w:bookmarkStart w:id="3" w:name="_Toc135306682"/>
      <w:r>
        <w:rPr>
          <w:rFonts w:cs="Arial"/>
          <w:b/>
          <w:bCs/>
        </w:rPr>
        <w:t>Intersections with Fisheries: Entanglement, Bycatch and Prey Depletion</w:t>
      </w:r>
      <w:bookmarkEnd w:id="3"/>
    </w:p>
    <w:p w14:paraId="4D151606" w14:textId="77777777" w:rsidR="006E5484" w:rsidRDefault="006E5484">
      <w:pPr>
        <w:spacing w:after="0" w:line="240" w:lineRule="auto"/>
        <w:jc w:val="both"/>
      </w:pPr>
    </w:p>
    <w:p w14:paraId="3CFABD45" w14:textId="77777777" w:rsidR="006E5484" w:rsidRDefault="00FB2FEF" w:rsidP="0031773E">
      <w:pPr>
        <w:pStyle w:val="ListParagraph"/>
        <w:numPr>
          <w:ilvl w:val="0"/>
          <w:numId w:val="19"/>
        </w:numPr>
        <w:spacing w:after="0" w:line="240" w:lineRule="auto"/>
        <w:ind w:left="540" w:hanging="540"/>
        <w:jc w:val="both"/>
      </w:pPr>
      <w:r>
        <w:t xml:space="preserve">Range States for the following species should prioritize </w:t>
      </w:r>
      <w:r>
        <w:rPr>
          <w:u w:val="single"/>
        </w:rPr>
        <w:t>bycatch</w:t>
      </w:r>
      <w:r>
        <w:t xml:space="preserve"> mitigation:</w:t>
      </w:r>
    </w:p>
    <w:p w14:paraId="7A3BD8C7" w14:textId="77777777" w:rsidR="006E5484" w:rsidRDefault="006E5484">
      <w:pPr>
        <w:pStyle w:val="ListParagraph"/>
        <w:spacing w:after="0" w:line="240" w:lineRule="auto"/>
        <w:jc w:val="both"/>
      </w:pPr>
    </w:p>
    <w:p w14:paraId="64F84CE4" w14:textId="77777777" w:rsidR="006E5484" w:rsidRDefault="00FB2FEF" w:rsidP="0031773E">
      <w:pPr>
        <w:pStyle w:val="ListParagraph"/>
        <w:numPr>
          <w:ilvl w:val="1"/>
          <w:numId w:val="20"/>
        </w:numPr>
        <w:spacing w:after="0" w:line="240" w:lineRule="auto"/>
        <w:ind w:left="900"/>
        <w:jc w:val="both"/>
      </w:pPr>
      <w:r>
        <w:t>Atlantic humpback dolphin (</w:t>
      </w:r>
      <w:r>
        <w:rPr>
          <w:i/>
          <w:iCs/>
        </w:rPr>
        <w:t xml:space="preserve">Sousa </w:t>
      </w:r>
      <w:proofErr w:type="spellStart"/>
      <w:r>
        <w:rPr>
          <w:i/>
          <w:iCs/>
        </w:rPr>
        <w:t>teuszii</w:t>
      </w:r>
      <w:proofErr w:type="spellEnd"/>
      <w:r>
        <w:t>, App I and II) throughout its range, but especially in the Gulf of Guinea;</w:t>
      </w:r>
    </w:p>
    <w:p w14:paraId="24AAB7BF" w14:textId="77777777" w:rsidR="006E5484" w:rsidRDefault="006E5484" w:rsidP="0031773E">
      <w:pPr>
        <w:pStyle w:val="ListParagraph"/>
        <w:spacing w:after="0" w:line="240" w:lineRule="auto"/>
        <w:ind w:left="900" w:hanging="360"/>
        <w:jc w:val="both"/>
      </w:pPr>
    </w:p>
    <w:p w14:paraId="4457E9F6" w14:textId="77777777" w:rsidR="006E5484" w:rsidRDefault="00FB2FEF" w:rsidP="0031773E">
      <w:pPr>
        <w:pStyle w:val="ListParagraph"/>
        <w:numPr>
          <w:ilvl w:val="1"/>
          <w:numId w:val="20"/>
        </w:numPr>
        <w:spacing w:after="0" w:line="240" w:lineRule="auto"/>
        <w:ind w:left="900"/>
        <w:jc w:val="both"/>
      </w:pPr>
      <w:r>
        <w:t>Harbour porpoise (</w:t>
      </w:r>
      <w:r>
        <w:rPr>
          <w:i/>
          <w:iCs/>
        </w:rPr>
        <w:t xml:space="preserve">Phocoena </w:t>
      </w:r>
      <w:proofErr w:type="spellStart"/>
      <w:r>
        <w:rPr>
          <w:i/>
          <w:iCs/>
        </w:rPr>
        <w:t>phocoena</w:t>
      </w:r>
      <w:proofErr w:type="spellEnd"/>
      <w:r>
        <w:t>, App II, including the distinctive Baltic Sea and Iberian populations), common dolphin (</w:t>
      </w:r>
      <w:r>
        <w:rPr>
          <w:i/>
        </w:rPr>
        <w:t xml:space="preserve">Delphinus </w:t>
      </w:r>
      <w:proofErr w:type="spellStart"/>
      <w:r>
        <w:rPr>
          <w:i/>
        </w:rPr>
        <w:t>delphis</w:t>
      </w:r>
      <w:proofErr w:type="spellEnd"/>
      <w:r>
        <w:t>, App I and II) and bottlenose dolphin (</w:t>
      </w:r>
      <w:r>
        <w:rPr>
          <w:i/>
          <w:iCs/>
        </w:rPr>
        <w:t xml:space="preserve">Tursiops </w:t>
      </w:r>
      <w:proofErr w:type="spellStart"/>
      <w:r>
        <w:rPr>
          <w:i/>
          <w:iCs/>
        </w:rPr>
        <w:t>truncatus</w:t>
      </w:r>
      <w:proofErr w:type="spellEnd"/>
      <w:r>
        <w:t>, App II), striped dolphin (</w:t>
      </w:r>
      <w:proofErr w:type="spellStart"/>
      <w:r>
        <w:rPr>
          <w:i/>
          <w:iCs/>
        </w:rPr>
        <w:t>Stenella</w:t>
      </w:r>
      <w:proofErr w:type="spellEnd"/>
      <w:r>
        <w:rPr>
          <w:i/>
          <w:iCs/>
        </w:rPr>
        <w:t xml:space="preserve"> </w:t>
      </w:r>
      <w:proofErr w:type="spellStart"/>
      <w:r>
        <w:rPr>
          <w:i/>
          <w:iCs/>
        </w:rPr>
        <w:t>coeruleoalba</w:t>
      </w:r>
      <w:proofErr w:type="spellEnd"/>
      <w:r>
        <w:t>, App II) and sperm whale (</w:t>
      </w:r>
      <w:r>
        <w:rPr>
          <w:i/>
          <w:iCs/>
        </w:rPr>
        <w:t>Physeter macrocephalus</w:t>
      </w:r>
      <w:r>
        <w:t>, App I) in European and surrounding waters;</w:t>
      </w:r>
    </w:p>
    <w:p w14:paraId="7BB75875" w14:textId="77777777" w:rsidR="006E5484" w:rsidRDefault="006E5484" w:rsidP="0031773E">
      <w:pPr>
        <w:pStyle w:val="ListParagraph"/>
        <w:spacing w:after="0" w:line="240" w:lineRule="auto"/>
        <w:ind w:left="900" w:hanging="360"/>
        <w:jc w:val="both"/>
      </w:pPr>
    </w:p>
    <w:p w14:paraId="43C97564" w14:textId="77777777" w:rsidR="006E5484" w:rsidRDefault="00FB2FEF" w:rsidP="0031773E">
      <w:pPr>
        <w:pStyle w:val="ListParagraph"/>
        <w:numPr>
          <w:ilvl w:val="1"/>
          <w:numId w:val="20"/>
        </w:numPr>
        <w:spacing w:after="0" w:line="240" w:lineRule="auto"/>
        <w:ind w:left="900"/>
        <w:jc w:val="both"/>
      </w:pPr>
      <w:r>
        <w:t>Commerson's dolphin (</w:t>
      </w:r>
      <w:proofErr w:type="spellStart"/>
      <w:r>
        <w:rPr>
          <w:i/>
          <w:iCs/>
        </w:rPr>
        <w:t>Cephalorhynchus</w:t>
      </w:r>
      <w:proofErr w:type="spellEnd"/>
      <w:r>
        <w:rPr>
          <w:i/>
          <w:iCs/>
        </w:rPr>
        <w:t xml:space="preserve"> </w:t>
      </w:r>
      <w:proofErr w:type="spellStart"/>
      <w:r>
        <w:rPr>
          <w:i/>
          <w:iCs/>
        </w:rPr>
        <w:t>commersonii</w:t>
      </w:r>
      <w:proofErr w:type="spellEnd"/>
      <w:r>
        <w:t xml:space="preserve">, App II), </w:t>
      </w:r>
      <w:proofErr w:type="spellStart"/>
      <w:r>
        <w:t>Franciscana</w:t>
      </w:r>
      <w:proofErr w:type="spellEnd"/>
      <w:r>
        <w:t xml:space="preserve"> dolphin (</w:t>
      </w:r>
      <w:proofErr w:type="spellStart"/>
      <w:r>
        <w:rPr>
          <w:i/>
          <w:iCs/>
        </w:rPr>
        <w:t>Pontoporia</w:t>
      </w:r>
      <w:proofErr w:type="spellEnd"/>
      <w:r>
        <w:rPr>
          <w:i/>
          <w:iCs/>
        </w:rPr>
        <w:t xml:space="preserve"> </w:t>
      </w:r>
      <w:proofErr w:type="spellStart"/>
      <w:r>
        <w:rPr>
          <w:i/>
          <w:iCs/>
        </w:rPr>
        <w:t>blainvillei</w:t>
      </w:r>
      <w:proofErr w:type="spellEnd"/>
      <w:r>
        <w:t>, App I and II) in the Western South Atlantic;</w:t>
      </w:r>
    </w:p>
    <w:p w14:paraId="22A964F5" w14:textId="77777777" w:rsidR="006E5484" w:rsidRDefault="006E5484" w:rsidP="0031773E">
      <w:pPr>
        <w:pStyle w:val="ListParagraph"/>
        <w:spacing w:after="0" w:line="240" w:lineRule="auto"/>
        <w:ind w:left="900" w:hanging="360"/>
        <w:jc w:val="both"/>
      </w:pPr>
    </w:p>
    <w:p w14:paraId="5792C67F" w14:textId="77777777" w:rsidR="006E5484" w:rsidRDefault="00FB2FEF" w:rsidP="0031773E">
      <w:pPr>
        <w:pStyle w:val="ListParagraph"/>
        <w:numPr>
          <w:ilvl w:val="1"/>
          <w:numId w:val="20"/>
        </w:numPr>
        <w:spacing w:after="0" w:line="240" w:lineRule="auto"/>
        <w:ind w:left="900"/>
        <w:jc w:val="both"/>
      </w:pPr>
      <w:r>
        <w:t>Bottlenose dolphin (</w:t>
      </w:r>
      <w:r>
        <w:rPr>
          <w:i/>
          <w:iCs/>
        </w:rPr>
        <w:t xml:space="preserve">Tursiops </w:t>
      </w:r>
      <w:proofErr w:type="spellStart"/>
      <w:r>
        <w:rPr>
          <w:i/>
          <w:iCs/>
        </w:rPr>
        <w:t>truncatus</w:t>
      </w:r>
      <w:proofErr w:type="spellEnd"/>
      <w:r>
        <w:t>, App II), and Atlantic spotted dolphin (</w:t>
      </w:r>
      <w:proofErr w:type="spellStart"/>
      <w:r>
        <w:rPr>
          <w:i/>
          <w:iCs/>
        </w:rPr>
        <w:t>Stenella</w:t>
      </w:r>
      <w:proofErr w:type="spellEnd"/>
      <w:r>
        <w:rPr>
          <w:i/>
          <w:iCs/>
        </w:rPr>
        <w:t xml:space="preserve"> frontalis</w:t>
      </w:r>
      <w:r>
        <w:t>, not listed) in the Gulf of Mexico;</w:t>
      </w:r>
    </w:p>
    <w:p w14:paraId="34D5D885" w14:textId="77777777" w:rsidR="006E5484" w:rsidRDefault="006E5484" w:rsidP="0031773E">
      <w:pPr>
        <w:pStyle w:val="ListParagraph"/>
        <w:spacing w:after="0" w:line="240" w:lineRule="auto"/>
        <w:ind w:left="900" w:hanging="360"/>
        <w:jc w:val="both"/>
      </w:pPr>
    </w:p>
    <w:p w14:paraId="0AE02CC1" w14:textId="77777777" w:rsidR="006E5484" w:rsidRDefault="00FB2FEF" w:rsidP="0031773E">
      <w:pPr>
        <w:pStyle w:val="ListParagraph"/>
        <w:numPr>
          <w:ilvl w:val="1"/>
          <w:numId w:val="20"/>
        </w:numPr>
        <w:spacing w:after="0" w:line="240" w:lineRule="auto"/>
        <w:ind w:left="900"/>
        <w:jc w:val="both"/>
      </w:pPr>
      <w:r>
        <w:t>Burmeister’s porpoise (</w:t>
      </w:r>
      <w:r>
        <w:rPr>
          <w:i/>
          <w:iCs/>
        </w:rPr>
        <w:t xml:space="preserve">Phocoena </w:t>
      </w:r>
      <w:proofErr w:type="spellStart"/>
      <w:r>
        <w:rPr>
          <w:i/>
          <w:iCs/>
        </w:rPr>
        <w:t>spinipinnis</w:t>
      </w:r>
      <w:proofErr w:type="spellEnd"/>
      <w:r>
        <w:t>, App II) in the Eastern South Pacific;</w:t>
      </w:r>
    </w:p>
    <w:p w14:paraId="552191B3" w14:textId="77777777" w:rsidR="006E5484" w:rsidRDefault="006E5484" w:rsidP="0031773E">
      <w:pPr>
        <w:pStyle w:val="ListParagraph"/>
        <w:spacing w:after="0" w:line="240" w:lineRule="auto"/>
        <w:ind w:left="900" w:hanging="360"/>
        <w:jc w:val="both"/>
      </w:pPr>
    </w:p>
    <w:p w14:paraId="03DF529A" w14:textId="77777777" w:rsidR="006E5484" w:rsidRDefault="00FB2FEF" w:rsidP="0031773E">
      <w:pPr>
        <w:pStyle w:val="ListParagraph"/>
        <w:numPr>
          <w:ilvl w:val="1"/>
          <w:numId w:val="20"/>
        </w:numPr>
        <w:spacing w:after="0" w:line="240" w:lineRule="auto"/>
        <w:ind w:left="900"/>
        <w:jc w:val="both"/>
      </w:pPr>
      <w:r>
        <w:t>Irrawaddy dolphin (</w:t>
      </w:r>
      <w:proofErr w:type="spellStart"/>
      <w:r>
        <w:rPr>
          <w:i/>
          <w:iCs/>
        </w:rPr>
        <w:t>Orcaella</w:t>
      </w:r>
      <w:proofErr w:type="spellEnd"/>
      <w:r>
        <w:rPr>
          <w:i/>
          <w:iCs/>
        </w:rPr>
        <w:t xml:space="preserve"> </w:t>
      </w:r>
      <w:proofErr w:type="spellStart"/>
      <w:r>
        <w:rPr>
          <w:i/>
          <w:iCs/>
        </w:rPr>
        <w:t>brevirostris</w:t>
      </w:r>
      <w:proofErr w:type="spellEnd"/>
      <w:r>
        <w:t>, App I and II) throughout East and Southeast Asia, as well as spinner dolphin (</w:t>
      </w:r>
      <w:proofErr w:type="spellStart"/>
      <w:r>
        <w:rPr>
          <w:i/>
          <w:iCs/>
        </w:rPr>
        <w:t>Stenella</w:t>
      </w:r>
      <w:proofErr w:type="spellEnd"/>
      <w:r>
        <w:rPr>
          <w:i/>
          <w:iCs/>
        </w:rPr>
        <w:t xml:space="preserve"> </w:t>
      </w:r>
      <w:proofErr w:type="spellStart"/>
      <w:r>
        <w:rPr>
          <w:i/>
          <w:iCs/>
        </w:rPr>
        <w:t>longirostris</w:t>
      </w:r>
      <w:proofErr w:type="spellEnd"/>
      <w:r>
        <w:t>, App II) and Fraser's dolphin (</w:t>
      </w:r>
      <w:proofErr w:type="spellStart"/>
      <w:r>
        <w:rPr>
          <w:i/>
          <w:iCs/>
        </w:rPr>
        <w:t>Lagenodelphis</w:t>
      </w:r>
      <w:proofErr w:type="spellEnd"/>
      <w:r>
        <w:rPr>
          <w:i/>
          <w:iCs/>
        </w:rPr>
        <w:t xml:space="preserve"> </w:t>
      </w:r>
      <w:proofErr w:type="spellStart"/>
      <w:r>
        <w:rPr>
          <w:i/>
          <w:iCs/>
        </w:rPr>
        <w:t>hosei</w:t>
      </w:r>
      <w:proofErr w:type="spellEnd"/>
      <w:r>
        <w:t>, App II) in the Philippines, Yangtze River finless porpoise (</w:t>
      </w:r>
      <w:proofErr w:type="spellStart"/>
      <w:r>
        <w:rPr>
          <w:i/>
          <w:iCs/>
        </w:rPr>
        <w:t>Neophocaena</w:t>
      </w:r>
      <w:proofErr w:type="spellEnd"/>
      <w:r>
        <w:rPr>
          <w:i/>
          <w:iCs/>
        </w:rPr>
        <w:t xml:space="preserve"> </w:t>
      </w:r>
      <w:proofErr w:type="spellStart"/>
      <w:r>
        <w:rPr>
          <w:i/>
          <w:iCs/>
        </w:rPr>
        <w:t>asiaeorientalis</w:t>
      </w:r>
      <w:proofErr w:type="spellEnd"/>
      <w:r>
        <w:t>, App II) in the Yangtze River and the Taiwanese humpback dolphin (</w:t>
      </w:r>
      <w:r>
        <w:rPr>
          <w:i/>
          <w:iCs/>
        </w:rPr>
        <w:t xml:space="preserve">Sousa chinensis </w:t>
      </w:r>
      <w:proofErr w:type="spellStart"/>
      <w:r>
        <w:rPr>
          <w:i/>
          <w:iCs/>
        </w:rPr>
        <w:t>taiwanensis</w:t>
      </w:r>
      <w:proofErr w:type="spellEnd"/>
      <w:r>
        <w:t>, App II);</w:t>
      </w:r>
    </w:p>
    <w:p w14:paraId="297097DE" w14:textId="77777777" w:rsidR="006E5484" w:rsidRDefault="006E5484" w:rsidP="0031773E">
      <w:pPr>
        <w:pStyle w:val="ListParagraph"/>
        <w:spacing w:after="0" w:line="240" w:lineRule="auto"/>
        <w:ind w:left="900" w:hanging="360"/>
        <w:jc w:val="both"/>
      </w:pPr>
    </w:p>
    <w:p w14:paraId="1EA36426" w14:textId="77777777" w:rsidR="006E5484" w:rsidRDefault="00FB2FEF" w:rsidP="0031773E">
      <w:pPr>
        <w:pStyle w:val="ListParagraph"/>
        <w:numPr>
          <w:ilvl w:val="1"/>
          <w:numId w:val="20"/>
        </w:numPr>
        <w:spacing w:after="0" w:line="240" w:lineRule="auto"/>
        <w:ind w:left="900"/>
        <w:jc w:val="both"/>
      </w:pPr>
      <w:r>
        <w:t>Indo-Pacific humpback dolphin (</w:t>
      </w:r>
      <w:r>
        <w:rPr>
          <w:i/>
          <w:iCs/>
        </w:rPr>
        <w:t>Sousa chinensis</w:t>
      </w:r>
      <w:r>
        <w:t>, App II), Indian Ocean humpback dolphin (</w:t>
      </w:r>
      <w:r>
        <w:rPr>
          <w:i/>
          <w:iCs/>
        </w:rPr>
        <w:t xml:space="preserve">Sousa </w:t>
      </w:r>
      <w:proofErr w:type="spellStart"/>
      <w:r>
        <w:rPr>
          <w:i/>
          <w:iCs/>
        </w:rPr>
        <w:t>plumbea</w:t>
      </w:r>
      <w:proofErr w:type="spellEnd"/>
      <w:r>
        <w:t xml:space="preserve">, included in App. II listing of </w:t>
      </w:r>
      <w:r>
        <w:rPr>
          <w:i/>
          <w:iCs/>
        </w:rPr>
        <w:t>S. chinensis</w:t>
      </w:r>
      <w:r>
        <w:t>), and Indo-Pacific bottlenose dolphin (</w:t>
      </w:r>
      <w:r>
        <w:rPr>
          <w:i/>
          <w:iCs/>
        </w:rPr>
        <w:t xml:space="preserve">Tursiops </w:t>
      </w:r>
      <w:proofErr w:type="spellStart"/>
      <w:r>
        <w:rPr>
          <w:i/>
          <w:iCs/>
        </w:rPr>
        <w:t>aduncus</w:t>
      </w:r>
      <w:proofErr w:type="spellEnd"/>
      <w:r>
        <w:t>, App II) in the Indian Ocean and South China Sea and Risso’s dolphin (</w:t>
      </w:r>
      <w:r>
        <w:rPr>
          <w:i/>
        </w:rPr>
        <w:t>Grampus griseus</w:t>
      </w:r>
      <w:r>
        <w:t>, App II) in the northwest Indian Ocean.</w:t>
      </w:r>
    </w:p>
    <w:p w14:paraId="7D45D59A" w14:textId="77777777" w:rsidR="006E5484" w:rsidRDefault="006E5484">
      <w:pPr>
        <w:spacing w:after="0" w:line="240" w:lineRule="auto"/>
        <w:jc w:val="both"/>
      </w:pPr>
    </w:p>
    <w:p w14:paraId="7B205FF1" w14:textId="77777777" w:rsidR="006E5484" w:rsidRDefault="00FB2FEF" w:rsidP="0031773E">
      <w:pPr>
        <w:pStyle w:val="ListParagraph"/>
        <w:numPr>
          <w:ilvl w:val="0"/>
          <w:numId w:val="19"/>
        </w:numPr>
        <w:spacing w:after="0" w:line="240" w:lineRule="auto"/>
        <w:ind w:left="540" w:hanging="540"/>
        <w:jc w:val="both"/>
      </w:pPr>
      <w:r>
        <w:t xml:space="preserve">Range States for the following species should prioritize </w:t>
      </w:r>
      <w:r>
        <w:rPr>
          <w:u w:val="single"/>
        </w:rPr>
        <w:t>entanglement</w:t>
      </w:r>
      <w:r>
        <w:t xml:space="preserve"> mitigation:</w:t>
      </w:r>
    </w:p>
    <w:p w14:paraId="240D8914" w14:textId="77777777" w:rsidR="006E5484" w:rsidRDefault="006E5484">
      <w:pPr>
        <w:pStyle w:val="ListParagraph"/>
        <w:spacing w:after="0" w:line="240" w:lineRule="auto"/>
        <w:jc w:val="both"/>
      </w:pPr>
    </w:p>
    <w:p w14:paraId="365086BA" w14:textId="77777777" w:rsidR="006E5484" w:rsidRDefault="00FB2FEF" w:rsidP="0031773E">
      <w:pPr>
        <w:pStyle w:val="ListParagraph"/>
        <w:numPr>
          <w:ilvl w:val="1"/>
          <w:numId w:val="21"/>
        </w:numPr>
        <w:spacing w:after="0" w:line="240" w:lineRule="auto"/>
        <w:ind w:left="900"/>
        <w:jc w:val="both"/>
      </w:pPr>
      <w:r>
        <w:t>humpback whale (Megaptera novaeangliae, App I), North Atlantic right whale (</w:t>
      </w:r>
      <w:proofErr w:type="spellStart"/>
      <w:r>
        <w:t>Eubalaena</w:t>
      </w:r>
      <w:proofErr w:type="spellEnd"/>
      <w:r>
        <w:t xml:space="preserve"> glacialis, App I), and minke whales (Balaenoptera </w:t>
      </w:r>
      <w:proofErr w:type="spellStart"/>
      <w:r>
        <w:t>acutorostrata</w:t>
      </w:r>
      <w:proofErr w:type="spellEnd"/>
      <w:r>
        <w:t>, not listed) in the North Atlantic, North Pacific, and Arabian Sea.</w:t>
      </w:r>
    </w:p>
    <w:p w14:paraId="4A4D6BD4" w14:textId="77777777" w:rsidR="006E5484" w:rsidRDefault="006E5484">
      <w:pPr>
        <w:spacing w:after="0" w:line="240" w:lineRule="auto"/>
        <w:jc w:val="both"/>
      </w:pPr>
    </w:p>
    <w:p w14:paraId="172E9130" w14:textId="77777777" w:rsidR="006E5484" w:rsidRDefault="006E5484">
      <w:pPr>
        <w:spacing w:after="0" w:line="240" w:lineRule="auto"/>
        <w:jc w:val="both"/>
      </w:pPr>
    </w:p>
    <w:p w14:paraId="4E630051" w14:textId="77777777" w:rsidR="00413CEE" w:rsidRDefault="00413CEE">
      <w:pPr>
        <w:spacing w:after="0" w:line="240" w:lineRule="auto"/>
        <w:rPr>
          <w:b/>
          <w:bCs/>
        </w:rPr>
      </w:pPr>
      <w:r>
        <w:rPr>
          <w:b/>
          <w:bCs/>
        </w:rPr>
        <w:br w:type="page"/>
      </w:r>
    </w:p>
    <w:p w14:paraId="7084AADD" w14:textId="40CB32A7" w:rsidR="006E5484" w:rsidRDefault="00FB2FEF">
      <w:pPr>
        <w:spacing w:after="0" w:line="240" w:lineRule="auto"/>
        <w:jc w:val="both"/>
      </w:pPr>
      <w:r w:rsidRPr="0031561D">
        <w:rPr>
          <w:b/>
          <w:bCs/>
        </w:rPr>
        <w:lastRenderedPageBreak/>
        <w:t>Climate Change</w:t>
      </w:r>
    </w:p>
    <w:p w14:paraId="2C9BC49E" w14:textId="77777777" w:rsidR="006E5484" w:rsidRDefault="006E5484">
      <w:pPr>
        <w:spacing w:after="0" w:line="240" w:lineRule="auto"/>
        <w:jc w:val="both"/>
      </w:pPr>
    </w:p>
    <w:p w14:paraId="6ED29D43" w14:textId="77777777" w:rsidR="006E5484" w:rsidRDefault="00FB2FEF" w:rsidP="0031773E">
      <w:pPr>
        <w:pStyle w:val="ListParagraph"/>
        <w:numPr>
          <w:ilvl w:val="0"/>
          <w:numId w:val="19"/>
        </w:numPr>
        <w:spacing w:after="0" w:line="240" w:lineRule="auto"/>
        <w:ind w:left="540" w:hanging="540"/>
        <w:jc w:val="both"/>
      </w:pPr>
      <w:r>
        <w:t>Range States for the following species should develop adaptive conservation efforts for:</w:t>
      </w:r>
    </w:p>
    <w:p w14:paraId="20E81891" w14:textId="77777777" w:rsidR="006E5484" w:rsidRDefault="006E5484">
      <w:pPr>
        <w:pStyle w:val="ListParagraph"/>
        <w:spacing w:after="0" w:line="240" w:lineRule="auto"/>
        <w:jc w:val="both"/>
      </w:pPr>
    </w:p>
    <w:p w14:paraId="030324A8" w14:textId="77777777" w:rsidR="006E5484" w:rsidRDefault="00FB2FEF" w:rsidP="0031773E">
      <w:pPr>
        <w:pStyle w:val="ListParagraph"/>
        <w:numPr>
          <w:ilvl w:val="0"/>
          <w:numId w:val="22"/>
        </w:numPr>
        <w:spacing w:after="0" w:line="240" w:lineRule="auto"/>
        <w:ind w:left="900"/>
        <w:jc w:val="both"/>
      </w:pPr>
      <w:r>
        <w:t>Antarctic populations of blue whales (</w:t>
      </w:r>
      <w:r>
        <w:rPr>
          <w:i/>
          <w:iCs/>
        </w:rPr>
        <w:t>Balaenoptera musculus</w:t>
      </w:r>
      <w:r>
        <w:t>, App I), southern right whales (</w:t>
      </w:r>
      <w:proofErr w:type="spellStart"/>
      <w:r>
        <w:rPr>
          <w:i/>
          <w:iCs/>
        </w:rPr>
        <w:t>Eubalaena</w:t>
      </w:r>
      <w:proofErr w:type="spellEnd"/>
      <w:r>
        <w:rPr>
          <w:i/>
          <w:iCs/>
        </w:rPr>
        <w:t xml:space="preserve"> australis</w:t>
      </w:r>
      <w:r>
        <w:t>, App I), Atlantic/Indian Ocean fin (</w:t>
      </w:r>
      <w:r>
        <w:rPr>
          <w:i/>
          <w:iCs/>
        </w:rPr>
        <w:t>Balaenoptera physalus</w:t>
      </w:r>
      <w:r>
        <w:t>, App I and II), and humpback whales (</w:t>
      </w:r>
      <w:r>
        <w:rPr>
          <w:i/>
          <w:iCs/>
        </w:rPr>
        <w:t>Megaptera novaeangliae</w:t>
      </w:r>
      <w:r>
        <w:t>, App I);</w:t>
      </w:r>
    </w:p>
    <w:p w14:paraId="2AA1FA6E" w14:textId="77777777" w:rsidR="006E5484" w:rsidRDefault="006E5484" w:rsidP="0031773E">
      <w:pPr>
        <w:pStyle w:val="ListParagraph"/>
        <w:spacing w:after="0" w:line="240" w:lineRule="auto"/>
        <w:ind w:left="900" w:hanging="360"/>
        <w:jc w:val="both"/>
      </w:pPr>
    </w:p>
    <w:p w14:paraId="231106B0" w14:textId="77777777" w:rsidR="006E5484" w:rsidRDefault="00FB2FEF" w:rsidP="0031773E">
      <w:pPr>
        <w:pStyle w:val="ListParagraph"/>
        <w:numPr>
          <w:ilvl w:val="0"/>
          <w:numId w:val="22"/>
        </w:numPr>
        <w:spacing w:after="0" w:line="240" w:lineRule="auto"/>
        <w:ind w:left="900"/>
        <w:jc w:val="both"/>
      </w:pPr>
      <w:r>
        <w:t>Bowhead whales (</w:t>
      </w:r>
      <w:r>
        <w:rPr>
          <w:i/>
          <w:iCs/>
        </w:rPr>
        <w:t>Balaena mysticetus</w:t>
      </w:r>
      <w:r>
        <w:t>, App I), belugas (</w:t>
      </w:r>
      <w:r>
        <w:rPr>
          <w:i/>
          <w:iCs/>
        </w:rPr>
        <w:t>Delphinapterus leucas</w:t>
      </w:r>
      <w:r>
        <w:t>, App II), and narwhals (</w:t>
      </w:r>
      <w:r>
        <w:rPr>
          <w:i/>
          <w:iCs/>
        </w:rPr>
        <w:t>Monodon monoceros</w:t>
      </w:r>
      <w:r>
        <w:t>, App II) in the Arctic;</w:t>
      </w:r>
    </w:p>
    <w:p w14:paraId="5F3A454F" w14:textId="77777777" w:rsidR="006E5484" w:rsidRDefault="006E5484" w:rsidP="0031773E">
      <w:pPr>
        <w:pStyle w:val="ListParagraph"/>
        <w:spacing w:after="0" w:line="240" w:lineRule="auto"/>
        <w:ind w:left="900" w:hanging="360"/>
        <w:jc w:val="both"/>
      </w:pPr>
    </w:p>
    <w:p w14:paraId="5981CA74" w14:textId="77777777" w:rsidR="006E5484" w:rsidRDefault="00FB2FEF" w:rsidP="0031773E">
      <w:pPr>
        <w:pStyle w:val="ListParagraph"/>
        <w:numPr>
          <w:ilvl w:val="0"/>
          <w:numId w:val="22"/>
        </w:numPr>
        <w:spacing w:after="0" w:line="240" w:lineRule="auto"/>
        <w:ind w:left="900"/>
        <w:jc w:val="both"/>
      </w:pPr>
      <w:r>
        <w:t>Subarctic humpback whales (</w:t>
      </w:r>
      <w:r>
        <w:rPr>
          <w:i/>
          <w:iCs/>
        </w:rPr>
        <w:t>Megaptera novaeangliae</w:t>
      </w:r>
      <w:r>
        <w:t>, App I), fin whales (</w:t>
      </w:r>
      <w:r>
        <w:rPr>
          <w:i/>
          <w:iCs/>
        </w:rPr>
        <w:t>Balaenoptera physalus</w:t>
      </w:r>
      <w:r>
        <w:t>, App I and II) and common minke whales (</w:t>
      </w:r>
      <w:r>
        <w:rPr>
          <w:i/>
          <w:iCs/>
        </w:rPr>
        <w:t xml:space="preserve">Balaenoptera </w:t>
      </w:r>
      <w:proofErr w:type="spellStart"/>
      <w:r>
        <w:rPr>
          <w:i/>
          <w:iCs/>
        </w:rPr>
        <w:t>acutorostrata</w:t>
      </w:r>
      <w:proofErr w:type="spellEnd"/>
      <w:r>
        <w:t>, not listed), northern hemisphere sperm whales (</w:t>
      </w:r>
      <w:r>
        <w:rPr>
          <w:i/>
          <w:iCs/>
        </w:rPr>
        <w:t>Physeter macrocephalus</w:t>
      </w:r>
      <w:r>
        <w:t>, App I and II) and orca (</w:t>
      </w:r>
      <w:r>
        <w:rPr>
          <w:i/>
          <w:iCs/>
        </w:rPr>
        <w:t>Orcinus orca</w:t>
      </w:r>
      <w:r>
        <w:t>, App I), including other baleen whale species that are migrating earlier and extending their stay in the higher latitudes;</w:t>
      </w:r>
    </w:p>
    <w:p w14:paraId="6340AD6A" w14:textId="77777777" w:rsidR="006E5484" w:rsidRDefault="006E5484" w:rsidP="0031773E">
      <w:pPr>
        <w:pStyle w:val="ListParagraph"/>
        <w:spacing w:after="0" w:line="240" w:lineRule="auto"/>
        <w:ind w:left="900" w:hanging="360"/>
        <w:jc w:val="both"/>
      </w:pPr>
    </w:p>
    <w:p w14:paraId="43499D37" w14:textId="77777777" w:rsidR="006E5484" w:rsidRDefault="00FB2FEF" w:rsidP="0031773E">
      <w:pPr>
        <w:pStyle w:val="ListParagraph"/>
        <w:numPr>
          <w:ilvl w:val="0"/>
          <w:numId w:val="22"/>
        </w:numPr>
        <w:spacing w:after="0" w:line="240" w:lineRule="auto"/>
        <w:ind w:left="900"/>
        <w:jc w:val="both"/>
      </w:pPr>
      <w:r>
        <w:t>Mid-latitude striped dolphins (</w:t>
      </w:r>
      <w:proofErr w:type="spellStart"/>
      <w:r>
        <w:rPr>
          <w:i/>
          <w:iCs/>
        </w:rPr>
        <w:t>Stenella</w:t>
      </w:r>
      <w:proofErr w:type="spellEnd"/>
      <w:r>
        <w:rPr>
          <w:i/>
          <w:iCs/>
        </w:rPr>
        <w:t xml:space="preserve"> </w:t>
      </w:r>
      <w:proofErr w:type="spellStart"/>
      <w:r>
        <w:rPr>
          <w:i/>
          <w:iCs/>
        </w:rPr>
        <w:t>coeruleoalba</w:t>
      </w:r>
      <w:proofErr w:type="spellEnd"/>
      <w:r>
        <w:t>, App II), common dolphins (</w:t>
      </w:r>
      <w:r>
        <w:rPr>
          <w:i/>
          <w:iCs/>
        </w:rPr>
        <w:t xml:space="preserve">Delphinus </w:t>
      </w:r>
      <w:proofErr w:type="spellStart"/>
      <w:r>
        <w:rPr>
          <w:i/>
          <w:iCs/>
        </w:rPr>
        <w:t>delphis</w:t>
      </w:r>
      <w:proofErr w:type="spellEnd"/>
      <w:r>
        <w:t>, App I and II), Cuvier’s beaked whales (</w:t>
      </w:r>
      <w:r>
        <w:rPr>
          <w:i/>
          <w:iCs/>
        </w:rPr>
        <w:t xml:space="preserve">Ziphius </w:t>
      </w:r>
      <w:proofErr w:type="spellStart"/>
      <w:r>
        <w:rPr>
          <w:i/>
          <w:iCs/>
        </w:rPr>
        <w:t>cavirostris</w:t>
      </w:r>
      <w:proofErr w:type="spellEnd"/>
      <w:r>
        <w:t>, App I), white-beaked dolphins (</w:t>
      </w:r>
      <w:proofErr w:type="spellStart"/>
      <w:r>
        <w:rPr>
          <w:i/>
          <w:iCs/>
        </w:rPr>
        <w:t>Lagenorhynchus</w:t>
      </w:r>
      <w:proofErr w:type="spellEnd"/>
      <w:r>
        <w:rPr>
          <w:i/>
          <w:iCs/>
        </w:rPr>
        <w:t xml:space="preserve"> </w:t>
      </w:r>
      <w:proofErr w:type="spellStart"/>
      <w:r>
        <w:rPr>
          <w:i/>
          <w:iCs/>
        </w:rPr>
        <w:t>albirostris</w:t>
      </w:r>
      <w:proofErr w:type="spellEnd"/>
      <w:r>
        <w:t>, App II), harbour porpoises (</w:t>
      </w:r>
      <w:r>
        <w:rPr>
          <w:i/>
          <w:iCs/>
        </w:rPr>
        <w:t xml:space="preserve">Phocoena </w:t>
      </w:r>
      <w:proofErr w:type="spellStart"/>
      <w:r>
        <w:rPr>
          <w:i/>
          <w:iCs/>
        </w:rPr>
        <w:t>phocoena</w:t>
      </w:r>
      <w:proofErr w:type="spellEnd"/>
      <w:r>
        <w:t>, App II), northern bottlenose whales (</w:t>
      </w:r>
      <w:r>
        <w:rPr>
          <w:i/>
          <w:iCs/>
        </w:rPr>
        <w:t>Hyperoodon ampullatus</w:t>
      </w:r>
      <w:r>
        <w:t>, App II), Pacific white-sided dolphins (</w:t>
      </w:r>
      <w:proofErr w:type="spellStart"/>
      <w:r>
        <w:rPr>
          <w:i/>
          <w:iCs/>
        </w:rPr>
        <w:t>Lagenorhynchus</w:t>
      </w:r>
      <w:proofErr w:type="spellEnd"/>
      <w:r>
        <w:rPr>
          <w:i/>
          <w:iCs/>
        </w:rPr>
        <w:t xml:space="preserve"> </w:t>
      </w:r>
      <w:proofErr w:type="spellStart"/>
      <w:r>
        <w:rPr>
          <w:i/>
          <w:iCs/>
        </w:rPr>
        <w:t>obliquidens</w:t>
      </w:r>
      <w:proofErr w:type="spellEnd"/>
      <w:r>
        <w:t>).</w:t>
      </w:r>
    </w:p>
    <w:p w14:paraId="7A211B6C" w14:textId="77777777" w:rsidR="006E5484" w:rsidRDefault="006E5484">
      <w:pPr>
        <w:spacing w:after="0" w:line="240" w:lineRule="auto"/>
        <w:jc w:val="both"/>
      </w:pPr>
    </w:p>
    <w:p w14:paraId="6325F345" w14:textId="77777777" w:rsidR="006E5484" w:rsidRDefault="006E5484">
      <w:pPr>
        <w:spacing w:after="0" w:line="240" w:lineRule="auto"/>
        <w:jc w:val="both"/>
        <w:sectPr w:rsidR="006E5484" w:rsidSect="0031773E">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20" w:footer="720" w:gutter="0"/>
          <w:cols w:space="720"/>
          <w:formProt w:val="0"/>
          <w:titlePg/>
          <w:docGrid w:linePitch="360" w:charSpace="4096"/>
        </w:sectPr>
      </w:pPr>
    </w:p>
    <w:p w14:paraId="41F293C7" w14:textId="77777777" w:rsidR="006E5484" w:rsidRDefault="00FB2FEF">
      <w:pPr>
        <w:pStyle w:val="Secondnumbering"/>
        <w:numPr>
          <w:ilvl w:val="0"/>
          <w:numId w:val="0"/>
        </w:numPr>
        <w:jc w:val="right"/>
      </w:pPr>
      <w:r>
        <w:rPr>
          <w:rFonts w:cs="Arial"/>
          <w:b/>
          <w:caps/>
        </w:rPr>
        <w:lastRenderedPageBreak/>
        <w:t>Annex 2</w:t>
      </w:r>
    </w:p>
    <w:p w14:paraId="121C20D9" w14:textId="77777777" w:rsidR="006E5484" w:rsidRDefault="006E5484">
      <w:pPr>
        <w:pStyle w:val="Secondnumbering"/>
        <w:numPr>
          <w:ilvl w:val="0"/>
          <w:numId w:val="0"/>
        </w:numPr>
      </w:pPr>
    </w:p>
    <w:p w14:paraId="4B3B6E00" w14:textId="77777777" w:rsidR="0031773E" w:rsidRDefault="0031773E">
      <w:pPr>
        <w:widowControl w:val="0"/>
        <w:spacing w:after="0" w:line="240" w:lineRule="auto"/>
        <w:jc w:val="center"/>
        <w:rPr>
          <w:rFonts w:eastAsia="Times New Roman" w:cs="Arial"/>
        </w:rPr>
      </w:pPr>
    </w:p>
    <w:p w14:paraId="5C24D95B" w14:textId="0242797D" w:rsidR="006E5484" w:rsidRDefault="00FB2FEF">
      <w:pPr>
        <w:widowControl w:val="0"/>
        <w:spacing w:after="0" w:line="240" w:lineRule="auto"/>
        <w:jc w:val="center"/>
      </w:pPr>
      <w:r>
        <w:rPr>
          <w:rFonts w:eastAsia="Times New Roman" w:cs="Arial"/>
        </w:rPr>
        <w:t>DRAFT RESOLUTION</w:t>
      </w:r>
    </w:p>
    <w:p w14:paraId="0CB35E90" w14:textId="77777777" w:rsidR="006E5484" w:rsidRDefault="006E5484">
      <w:pPr>
        <w:widowControl w:val="0"/>
        <w:spacing w:after="0" w:line="240" w:lineRule="auto"/>
        <w:jc w:val="center"/>
        <w:rPr>
          <w:rFonts w:eastAsia="Times New Roman" w:cs="Arial"/>
        </w:rPr>
      </w:pPr>
    </w:p>
    <w:p w14:paraId="583F805F" w14:textId="77777777" w:rsidR="006E5484" w:rsidRDefault="00FB2FEF">
      <w:pPr>
        <w:widowControl w:val="0"/>
        <w:pBdr>
          <w:top w:val="single" w:sz="6" w:space="0" w:color="FFFFFF"/>
          <w:left w:val="single" w:sz="6" w:space="0" w:color="FFFFFF"/>
          <w:bottom w:val="single" w:sz="6" w:space="0" w:color="FFFFFF"/>
          <w:right w:val="single" w:sz="6" w:space="0" w:color="FFFFFF"/>
        </w:pBdr>
        <w:spacing w:after="0" w:line="240" w:lineRule="auto"/>
        <w:jc w:val="center"/>
        <w:outlineLvl w:val="1"/>
      </w:pPr>
      <w:r>
        <w:rPr>
          <w:rFonts w:eastAsia="Times New Roman" w:cs="Arial"/>
          <w:b/>
          <w:caps/>
        </w:rPr>
        <w:t>Conservation Priorities for Cetaceans</w:t>
      </w:r>
    </w:p>
    <w:p w14:paraId="172C8FFC" w14:textId="77777777" w:rsidR="006E5484" w:rsidRDefault="006E5484">
      <w:pPr>
        <w:widowControl w:val="0"/>
        <w:spacing w:after="0" w:line="240" w:lineRule="auto"/>
        <w:jc w:val="both"/>
        <w:rPr>
          <w:rFonts w:eastAsia="Times New Roman" w:cs="Arial"/>
        </w:rPr>
      </w:pPr>
    </w:p>
    <w:p w14:paraId="239C775D" w14:textId="77777777" w:rsidR="006E5484" w:rsidRDefault="006E5484">
      <w:pPr>
        <w:widowControl w:val="0"/>
        <w:spacing w:after="0" w:line="240" w:lineRule="auto"/>
        <w:jc w:val="both"/>
        <w:rPr>
          <w:rFonts w:eastAsia="Times New Roman" w:cs="Arial"/>
          <w:i/>
        </w:rPr>
      </w:pPr>
    </w:p>
    <w:p w14:paraId="449BE2D5" w14:textId="7BF6BC83" w:rsidR="006E5484" w:rsidRDefault="00FB2FEF">
      <w:pPr>
        <w:widowControl w:val="0"/>
        <w:spacing w:after="0" w:line="240" w:lineRule="auto"/>
        <w:jc w:val="both"/>
      </w:pPr>
      <w:r>
        <w:rPr>
          <w:rFonts w:eastAsia="Times New Roman" w:cs="Arial"/>
          <w:i/>
        </w:rPr>
        <w:t xml:space="preserve">Recalling </w:t>
      </w:r>
      <w:r>
        <w:rPr>
          <w:rFonts w:eastAsia="Times New Roman" w:cs="Arial"/>
          <w:iCs/>
        </w:rPr>
        <w:t>Article 2, paragraph 1 of the Convention, where “Parties acknowledge the importance of migratory species being conserved”, and</w:t>
      </w:r>
      <w:r>
        <w:rPr>
          <w:rFonts w:eastAsia="Times New Roman" w:cs="Arial"/>
          <w:i/>
        </w:rPr>
        <w:t xml:space="preserve"> acknowledging</w:t>
      </w:r>
      <w:r>
        <w:rPr>
          <w:rFonts w:eastAsia="Times New Roman" w:cs="Arial"/>
          <w:iCs/>
        </w:rPr>
        <w:t xml:space="preserve"> that migratory cetacean species face multiple and cumulative threats with possible effects over vast areas,</w:t>
      </w:r>
    </w:p>
    <w:p w14:paraId="2B59DA20" w14:textId="77777777" w:rsidR="006E5484" w:rsidRDefault="006E5484">
      <w:pPr>
        <w:widowControl w:val="0"/>
        <w:spacing w:after="0" w:line="240" w:lineRule="auto"/>
        <w:jc w:val="both"/>
        <w:rPr>
          <w:rFonts w:eastAsia="Times New Roman" w:cs="Arial"/>
          <w:i/>
        </w:rPr>
      </w:pPr>
    </w:p>
    <w:p w14:paraId="203509E8" w14:textId="47EC1EE7" w:rsidR="006E5484" w:rsidRDefault="00FB2FEF">
      <w:pPr>
        <w:widowControl w:val="0"/>
        <w:spacing w:after="0" w:line="240" w:lineRule="auto"/>
        <w:jc w:val="both"/>
      </w:pPr>
      <w:r>
        <w:rPr>
          <w:rFonts w:eastAsia="Times New Roman" w:cs="Arial"/>
          <w:i/>
          <w:iCs/>
        </w:rPr>
        <w:t>Recalling</w:t>
      </w:r>
      <w:r>
        <w:rPr>
          <w:rFonts w:eastAsia="Times New Roman" w:cs="Arial"/>
          <w:i/>
        </w:rPr>
        <w:t xml:space="preserve"> </w:t>
      </w:r>
      <w:r>
        <w:rPr>
          <w:rFonts w:eastAsia="Times New Roman" w:cs="Arial"/>
          <w:iCs/>
        </w:rPr>
        <w:t xml:space="preserve">Resolution 10.15 (Rev.COP12) </w:t>
      </w:r>
      <w:r>
        <w:rPr>
          <w:rFonts w:eastAsia="Times New Roman" w:cs="Arial"/>
          <w:i/>
        </w:rPr>
        <w:t>Global Programme of Work for Cetaceans,</w:t>
      </w:r>
    </w:p>
    <w:p w14:paraId="2DC9DE54" w14:textId="77777777" w:rsidR="006E5484" w:rsidRDefault="006E5484">
      <w:pPr>
        <w:widowControl w:val="0"/>
        <w:spacing w:after="0" w:line="240" w:lineRule="auto"/>
        <w:jc w:val="both"/>
        <w:rPr>
          <w:rFonts w:eastAsia="Times New Roman" w:cs="Arial"/>
          <w:i/>
        </w:rPr>
      </w:pPr>
    </w:p>
    <w:p w14:paraId="3462F636" w14:textId="7F241C44" w:rsidR="006E5484" w:rsidRDefault="00FB2FEF">
      <w:pPr>
        <w:widowControl w:val="0"/>
        <w:spacing w:after="0" w:line="240" w:lineRule="auto"/>
        <w:jc w:val="both"/>
      </w:pPr>
      <w:r w:rsidRPr="00A77FC3">
        <w:rPr>
          <w:rFonts w:eastAsia="Times New Roman" w:cs="Arial"/>
          <w:i/>
          <w:iCs/>
        </w:rPr>
        <w:t>Acknowledging</w:t>
      </w:r>
      <w:r w:rsidRPr="00A77FC3">
        <w:rPr>
          <w:rFonts w:eastAsia="Times New Roman" w:cs="Arial"/>
          <w:i/>
        </w:rPr>
        <w:t xml:space="preserve"> </w:t>
      </w:r>
      <w:r w:rsidRPr="00A77FC3">
        <w:rPr>
          <w:rFonts w:eastAsia="Times New Roman" w:cs="Arial"/>
          <w:iCs/>
        </w:rPr>
        <w:t xml:space="preserve">other related CMS Resolutions including </w:t>
      </w:r>
      <w:r w:rsidR="00FE0018" w:rsidRPr="00A77FC3">
        <w:rPr>
          <w:rFonts w:eastAsia="Times New Roman" w:cs="Arial"/>
          <w:iCs/>
        </w:rPr>
        <w:t xml:space="preserve">Resolution 07.02 (Rev.COP12) </w:t>
      </w:r>
      <w:r w:rsidR="00FE0018" w:rsidRPr="00A77FC3">
        <w:rPr>
          <w:rFonts w:eastAsia="Times New Roman" w:cs="Arial"/>
          <w:i/>
        </w:rPr>
        <w:t>Impact Assessment and Migratory Species</w:t>
      </w:r>
      <w:r w:rsidR="00FE0018" w:rsidRPr="00A77FC3">
        <w:rPr>
          <w:rFonts w:eastAsia="Times New Roman" w:cs="Arial"/>
          <w:iCs/>
        </w:rPr>
        <w:t xml:space="preserve">, </w:t>
      </w:r>
      <w:r w:rsidR="007F69F5" w:rsidRPr="00A77FC3">
        <w:rPr>
          <w:rFonts w:eastAsia="Times New Roman" w:cs="Arial"/>
          <w:iCs/>
        </w:rPr>
        <w:t xml:space="preserve">Resolution 07.03 (Rev.COP12) </w:t>
      </w:r>
      <w:r w:rsidR="007F69F5" w:rsidRPr="00A77FC3">
        <w:rPr>
          <w:rFonts w:eastAsia="Times New Roman" w:cs="Arial"/>
          <w:i/>
        </w:rPr>
        <w:t>Oil Pollution and Migratory Species</w:t>
      </w:r>
      <w:r w:rsidRPr="00A77FC3">
        <w:rPr>
          <w:rFonts w:eastAsia="Times New Roman" w:cs="Arial"/>
          <w:iCs/>
        </w:rPr>
        <w:t xml:space="preserve">, </w:t>
      </w:r>
      <w:r w:rsidR="003B42BF" w:rsidRPr="00A77FC3">
        <w:rPr>
          <w:rFonts w:eastAsia="Times New Roman" w:cs="Arial"/>
          <w:iCs/>
        </w:rPr>
        <w:t xml:space="preserve">Resolution 09.09 (Rev.COP12) </w:t>
      </w:r>
      <w:r w:rsidR="003B42BF" w:rsidRPr="00A77FC3">
        <w:rPr>
          <w:rFonts w:eastAsia="Times New Roman" w:cs="Arial"/>
          <w:i/>
        </w:rPr>
        <w:t>Marine Migratory Species</w:t>
      </w:r>
      <w:r w:rsidR="003B42BF" w:rsidRPr="00A77FC3">
        <w:rPr>
          <w:rFonts w:eastAsia="Times New Roman" w:cs="Arial"/>
          <w:iCs/>
        </w:rPr>
        <w:t xml:space="preserve">, </w:t>
      </w:r>
      <w:r w:rsidR="00077E8E" w:rsidRPr="00A77FC3">
        <w:rPr>
          <w:rFonts w:eastAsia="Times New Roman" w:cs="Arial"/>
          <w:iCs/>
        </w:rPr>
        <w:t xml:space="preserve">Resolution 11.10 (Rev.COP13) </w:t>
      </w:r>
      <w:r w:rsidR="00077E8E" w:rsidRPr="00A77FC3">
        <w:rPr>
          <w:rFonts w:eastAsia="Times New Roman" w:cs="Arial"/>
          <w:i/>
        </w:rPr>
        <w:t>Synergies and Partnerships</w:t>
      </w:r>
      <w:r w:rsidRPr="00A77FC3">
        <w:rPr>
          <w:rFonts w:eastAsia="Times New Roman" w:cs="Arial"/>
          <w:iCs/>
        </w:rPr>
        <w:t xml:space="preserve">, </w:t>
      </w:r>
      <w:r w:rsidR="008F4FB7" w:rsidRPr="00A77FC3">
        <w:rPr>
          <w:rFonts w:eastAsia="Times New Roman" w:cs="Arial"/>
          <w:iCs/>
        </w:rPr>
        <w:t xml:space="preserve">Resolution 11.22 (Rev.COP12) </w:t>
      </w:r>
      <w:r w:rsidR="008F4FB7" w:rsidRPr="00A77FC3">
        <w:rPr>
          <w:rFonts w:eastAsia="Times New Roman" w:cs="Arial"/>
          <w:i/>
        </w:rPr>
        <w:t>Live Capture of Cetaceans from the Wild for Commercial Purposes</w:t>
      </w:r>
      <w:r w:rsidRPr="00A77FC3">
        <w:rPr>
          <w:rFonts w:eastAsia="Times New Roman" w:cs="Arial"/>
          <w:iCs/>
        </w:rPr>
        <w:t xml:space="preserve">, </w:t>
      </w:r>
      <w:r w:rsidR="008F4FB7" w:rsidRPr="00A77FC3">
        <w:rPr>
          <w:rFonts w:eastAsia="Times New Roman" w:cs="Arial"/>
          <w:iCs/>
        </w:rPr>
        <w:t xml:space="preserve">Resolution 11.23 (Rev.COP12) </w:t>
      </w:r>
      <w:r w:rsidR="008F4FB7" w:rsidRPr="00A77FC3">
        <w:rPr>
          <w:rFonts w:eastAsia="Times New Roman" w:cs="Arial"/>
          <w:i/>
        </w:rPr>
        <w:t>Conservation Implications of Animal Culture and Social Complexity</w:t>
      </w:r>
      <w:r w:rsidRPr="00A77FC3">
        <w:rPr>
          <w:rFonts w:eastAsia="Times New Roman" w:cs="Arial"/>
          <w:iCs/>
        </w:rPr>
        <w:t xml:space="preserve">, </w:t>
      </w:r>
      <w:r w:rsidR="00561434" w:rsidRPr="00A77FC3">
        <w:rPr>
          <w:rFonts w:eastAsia="Times New Roman" w:cs="Arial"/>
          <w:iCs/>
        </w:rPr>
        <w:t xml:space="preserve">Resolution 11.27 (Rev.COP13) </w:t>
      </w:r>
      <w:r w:rsidR="00561434" w:rsidRPr="00A77FC3">
        <w:rPr>
          <w:rFonts w:eastAsia="Times New Roman" w:cs="Arial"/>
          <w:i/>
        </w:rPr>
        <w:t>Renewable Energy and Migratory Species</w:t>
      </w:r>
      <w:r w:rsidR="00321072" w:rsidRPr="00A77FC3">
        <w:rPr>
          <w:rFonts w:eastAsia="Times New Roman" w:cs="Arial"/>
          <w:iCs/>
        </w:rPr>
        <w:t>,</w:t>
      </w:r>
      <w:r w:rsidRPr="00A77FC3">
        <w:rPr>
          <w:rFonts w:eastAsia="Times New Roman" w:cs="Arial"/>
          <w:iCs/>
        </w:rPr>
        <w:t xml:space="preserve"> </w:t>
      </w:r>
      <w:r w:rsidR="009249B4" w:rsidRPr="00A77FC3">
        <w:rPr>
          <w:rFonts w:eastAsia="Times New Roman" w:cs="Arial"/>
          <w:iCs/>
        </w:rPr>
        <w:t xml:space="preserve">Resolution 11.28 </w:t>
      </w:r>
      <w:r w:rsidR="009249B4" w:rsidRPr="00A77FC3">
        <w:rPr>
          <w:rFonts w:eastAsia="Times New Roman" w:cs="Arial"/>
          <w:i/>
        </w:rPr>
        <w:t>Future CMS Activities related to Invasive Alien Species</w:t>
      </w:r>
      <w:r w:rsidRPr="00A77FC3">
        <w:rPr>
          <w:rFonts w:eastAsia="Times New Roman" w:cs="Arial"/>
          <w:iCs/>
        </w:rPr>
        <w:t xml:space="preserve">, </w:t>
      </w:r>
      <w:r w:rsidR="00B31348" w:rsidRPr="00A77FC3">
        <w:rPr>
          <w:rFonts w:eastAsia="Times New Roman" w:cs="Arial"/>
          <w:iCs/>
        </w:rPr>
        <w:t xml:space="preserve">Resolution 11.29 (Rev.COP12) </w:t>
      </w:r>
      <w:r w:rsidR="00B31348" w:rsidRPr="00A77FC3">
        <w:rPr>
          <w:rFonts w:eastAsia="Times New Roman" w:cs="Arial"/>
          <w:i/>
        </w:rPr>
        <w:t>Sustainable Boat-based Marine Wildlife Watching</w:t>
      </w:r>
      <w:r w:rsidRPr="00A77FC3">
        <w:rPr>
          <w:rFonts w:eastAsia="Times New Roman" w:cs="Arial"/>
          <w:iCs/>
        </w:rPr>
        <w:t xml:space="preserve">, </w:t>
      </w:r>
      <w:r w:rsidR="00C160F6" w:rsidRPr="00A77FC3">
        <w:rPr>
          <w:rFonts w:eastAsia="Times New Roman" w:cs="Arial"/>
          <w:iCs/>
        </w:rPr>
        <w:t xml:space="preserve">Resolution 12.07 (Rev.COP13) </w:t>
      </w:r>
      <w:r w:rsidR="00C160F6" w:rsidRPr="00A77FC3">
        <w:rPr>
          <w:rFonts w:eastAsia="Times New Roman" w:cs="Arial"/>
          <w:i/>
        </w:rPr>
        <w:t>The Role of Ecological Networks in the Conservation of Migratory Species</w:t>
      </w:r>
      <w:r w:rsidRPr="00A77FC3">
        <w:rPr>
          <w:rFonts w:eastAsia="Times New Roman" w:cs="Arial"/>
          <w:iCs/>
        </w:rPr>
        <w:t xml:space="preserve">, </w:t>
      </w:r>
      <w:r w:rsidR="00993FC2" w:rsidRPr="00A77FC3">
        <w:rPr>
          <w:rFonts w:eastAsia="Times New Roman" w:cs="Arial"/>
          <w:iCs/>
        </w:rPr>
        <w:t xml:space="preserve">Resolution 12.13 </w:t>
      </w:r>
      <w:r w:rsidR="00993FC2" w:rsidRPr="00A77FC3">
        <w:rPr>
          <w:rFonts w:eastAsia="Times New Roman" w:cs="Arial"/>
          <w:i/>
        </w:rPr>
        <w:t>Important Marine Mammal Areas (IMMAs)</w:t>
      </w:r>
      <w:r w:rsidRPr="00A77FC3">
        <w:rPr>
          <w:rFonts w:eastAsia="Times New Roman" w:cs="Arial"/>
          <w:iCs/>
        </w:rPr>
        <w:t xml:space="preserve">, </w:t>
      </w:r>
      <w:r w:rsidR="00DB0E62" w:rsidRPr="00A77FC3">
        <w:rPr>
          <w:rFonts w:eastAsia="Times New Roman" w:cs="Arial"/>
          <w:iCs/>
        </w:rPr>
        <w:t>R</w:t>
      </w:r>
      <w:r w:rsidR="00993FC2" w:rsidRPr="00A77FC3">
        <w:rPr>
          <w:rFonts w:eastAsia="Times New Roman" w:cs="Arial"/>
          <w:iCs/>
        </w:rPr>
        <w:t xml:space="preserve">esolution 12.14 </w:t>
      </w:r>
      <w:r w:rsidR="00993FC2" w:rsidRPr="00A77FC3">
        <w:rPr>
          <w:rFonts w:eastAsia="Times New Roman" w:cs="Arial"/>
          <w:i/>
        </w:rPr>
        <w:t>Adverse Impacts of Anthropogenic Noise on Cetaceans and Other Migratory Species</w:t>
      </w:r>
      <w:r w:rsidRPr="00A77FC3">
        <w:rPr>
          <w:rFonts w:eastAsia="Times New Roman" w:cs="Arial"/>
          <w:iCs/>
        </w:rPr>
        <w:t xml:space="preserve">, </w:t>
      </w:r>
      <w:r w:rsidR="00DB0E62" w:rsidRPr="00A77FC3">
        <w:rPr>
          <w:rFonts w:eastAsia="Times New Roman" w:cs="Arial"/>
          <w:iCs/>
        </w:rPr>
        <w:t xml:space="preserve">Resolution 12.15 </w:t>
      </w:r>
      <w:r w:rsidR="00DB0E62" w:rsidRPr="00A77FC3">
        <w:rPr>
          <w:rFonts w:eastAsia="Times New Roman" w:cs="Arial"/>
          <w:i/>
        </w:rPr>
        <w:t>Aquatic Wild Meat</w:t>
      </w:r>
      <w:r w:rsidRPr="00A77FC3">
        <w:rPr>
          <w:rFonts w:eastAsia="Times New Roman" w:cs="Arial"/>
          <w:iCs/>
        </w:rPr>
        <w:t xml:space="preserve">, </w:t>
      </w:r>
      <w:r w:rsidR="00D001A5" w:rsidRPr="00A77FC3">
        <w:rPr>
          <w:rFonts w:eastAsia="Times New Roman" w:cs="Arial"/>
          <w:iCs/>
        </w:rPr>
        <w:t xml:space="preserve">Resolution 12.16 </w:t>
      </w:r>
      <w:r w:rsidR="00D001A5" w:rsidRPr="00A77FC3">
        <w:rPr>
          <w:rFonts w:eastAsia="Times New Roman" w:cs="Arial"/>
          <w:i/>
        </w:rPr>
        <w:t>Recreational In-Water Interaction with Aquatic Mammals</w:t>
      </w:r>
      <w:r w:rsidRPr="00A77FC3">
        <w:rPr>
          <w:rFonts w:eastAsia="Times New Roman" w:cs="Arial"/>
          <w:iCs/>
        </w:rPr>
        <w:t xml:space="preserve">, </w:t>
      </w:r>
      <w:r w:rsidR="00426AAB" w:rsidRPr="00A77FC3">
        <w:rPr>
          <w:rFonts w:eastAsia="Times New Roman" w:cs="Arial"/>
          <w:iCs/>
        </w:rPr>
        <w:t xml:space="preserve">Resolution 12.17 </w:t>
      </w:r>
      <w:r w:rsidR="00426AAB" w:rsidRPr="00A77FC3">
        <w:rPr>
          <w:rFonts w:eastAsia="Times New Roman" w:cs="Arial"/>
          <w:i/>
        </w:rPr>
        <w:t>Conservation and Management of Whales and their Habitats in the South Atlantic Region</w:t>
      </w:r>
      <w:r w:rsidRPr="00A77FC3">
        <w:rPr>
          <w:rFonts w:eastAsia="Times New Roman" w:cs="Arial"/>
          <w:iCs/>
        </w:rPr>
        <w:t xml:space="preserve">, </w:t>
      </w:r>
      <w:r w:rsidR="00C47FFA" w:rsidRPr="00A77FC3">
        <w:rPr>
          <w:rFonts w:eastAsia="Times New Roman" w:cs="Arial"/>
          <w:iCs/>
        </w:rPr>
        <w:t xml:space="preserve">Resolution 12.20 </w:t>
      </w:r>
      <w:r w:rsidR="00C47FFA" w:rsidRPr="00A77FC3">
        <w:rPr>
          <w:rFonts w:eastAsia="Times New Roman" w:cs="Arial"/>
          <w:i/>
        </w:rPr>
        <w:t>Management of Marine Debris</w:t>
      </w:r>
      <w:r w:rsidRPr="00A77FC3">
        <w:rPr>
          <w:rFonts w:eastAsia="Times New Roman" w:cs="Arial"/>
          <w:iCs/>
        </w:rPr>
        <w:t xml:space="preserve">, </w:t>
      </w:r>
      <w:r w:rsidR="00C47FFA" w:rsidRPr="00A77FC3">
        <w:rPr>
          <w:rFonts w:eastAsia="Times New Roman" w:cs="Arial"/>
          <w:iCs/>
        </w:rPr>
        <w:t xml:space="preserve">Resolution 12.21 </w:t>
      </w:r>
      <w:r w:rsidR="004413B7" w:rsidRPr="004413B7">
        <w:rPr>
          <w:rFonts w:eastAsia="Times New Roman" w:cs="Arial"/>
          <w:i/>
        </w:rPr>
        <w:t>Climate Change</w:t>
      </w:r>
      <w:r w:rsidR="00C47FFA" w:rsidRPr="004413B7">
        <w:rPr>
          <w:rFonts w:eastAsia="Times New Roman" w:cs="Arial"/>
          <w:i/>
        </w:rPr>
        <w:t xml:space="preserve"> a</w:t>
      </w:r>
      <w:r w:rsidR="00C47FFA" w:rsidRPr="00A77FC3">
        <w:rPr>
          <w:rFonts w:eastAsia="Times New Roman" w:cs="Arial"/>
          <w:i/>
        </w:rPr>
        <w:t>nd Migratory Species</w:t>
      </w:r>
      <w:r w:rsidRPr="00A77FC3">
        <w:rPr>
          <w:rFonts w:eastAsia="Times New Roman" w:cs="Arial"/>
          <w:iCs/>
        </w:rPr>
        <w:t xml:space="preserve">, </w:t>
      </w:r>
      <w:r w:rsidR="00D85B02" w:rsidRPr="00A77FC3">
        <w:rPr>
          <w:rFonts w:eastAsia="Times New Roman" w:cs="Arial"/>
          <w:iCs/>
        </w:rPr>
        <w:t xml:space="preserve">Resolution 12.22 </w:t>
      </w:r>
      <w:r w:rsidR="00D85B02" w:rsidRPr="00A77FC3">
        <w:rPr>
          <w:rFonts w:eastAsia="Times New Roman" w:cs="Arial"/>
          <w:i/>
        </w:rPr>
        <w:t>Bycatch</w:t>
      </w:r>
      <w:r w:rsidRPr="00A77FC3">
        <w:rPr>
          <w:rFonts w:eastAsia="Times New Roman" w:cs="Arial"/>
          <w:iCs/>
        </w:rPr>
        <w:t xml:space="preserve">, </w:t>
      </w:r>
      <w:r w:rsidR="00D85B02" w:rsidRPr="00A77FC3">
        <w:rPr>
          <w:rFonts w:eastAsia="Times New Roman" w:cs="Arial"/>
          <w:iCs/>
        </w:rPr>
        <w:t xml:space="preserve">Resolution 12.23 </w:t>
      </w:r>
      <w:r w:rsidR="00D85B02" w:rsidRPr="00A77FC3">
        <w:rPr>
          <w:rFonts w:eastAsia="Times New Roman" w:cs="Arial"/>
          <w:i/>
        </w:rPr>
        <w:t>Sustainable Tourism and Migratory Species</w:t>
      </w:r>
      <w:r w:rsidRPr="00A77FC3">
        <w:rPr>
          <w:rFonts w:eastAsia="Times New Roman" w:cs="Arial"/>
          <w:iCs/>
        </w:rPr>
        <w:t xml:space="preserve">, </w:t>
      </w:r>
      <w:r w:rsidR="0079417E" w:rsidRPr="00A77FC3">
        <w:rPr>
          <w:rFonts w:eastAsia="Times New Roman" w:cs="Arial"/>
          <w:iCs/>
        </w:rPr>
        <w:t xml:space="preserve">Resolution 12.24 </w:t>
      </w:r>
      <w:r w:rsidR="0079417E" w:rsidRPr="00A77FC3">
        <w:rPr>
          <w:rFonts w:eastAsia="Times New Roman" w:cs="Arial"/>
          <w:i/>
        </w:rPr>
        <w:t>Promoting Marine Protected Area Networks in the ASEAN Region</w:t>
      </w:r>
      <w:r w:rsidRPr="00A77FC3">
        <w:rPr>
          <w:rFonts w:eastAsia="Times New Roman" w:cs="Arial"/>
          <w:iCs/>
        </w:rPr>
        <w:t xml:space="preserve">, </w:t>
      </w:r>
      <w:r w:rsidR="00877B72" w:rsidRPr="00A77FC3">
        <w:rPr>
          <w:rFonts w:eastAsia="Times New Roman" w:cs="Arial"/>
          <w:iCs/>
        </w:rPr>
        <w:t xml:space="preserve">Resolution 12.25 </w:t>
      </w:r>
      <w:r w:rsidR="00877B72" w:rsidRPr="00A77FC3">
        <w:rPr>
          <w:rFonts w:eastAsia="Times New Roman" w:cs="Arial"/>
          <w:i/>
        </w:rPr>
        <w:t>Promoting Conservation of Critical Intertidal and Other Coastal Habitats for Migratory Species</w:t>
      </w:r>
      <w:r w:rsidRPr="00A77FC3">
        <w:rPr>
          <w:rFonts w:eastAsia="Times New Roman" w:cs="Arial"/>
          <w:iCs/>
        </w:rPr>
        <w:t xml:space="preserve">, </w:t>
      </w:r>
      <w:r w:rsidR="00877B72" w:rsidRPr="00A77FC3">
        <w:rPr>
          <w:rFonts w:eastAsia="Times New Roman" w:cs="Arial"/>
          <w:iCs/>
        </w:rPr>
        <w:t xml:space="preserve">Resolution 12.26 (Rev.COP13) </w:t>
      </w:r>
      <w:r w:rsidR="00877B72" w:rsidRPr="00A77FC3">
        <w:rPr>
          <w:rFonts w:eastAsia="Times New Roman" w:cs="Arial"/>
          <w:i/>
        </w:rPr>
        <w:t>Improving Ways of Addressing Connectivity in the Conservation of Migratory Species</w:t>
      </w:r>
      <w:r w:rsidRPr="00A77FC3">
        <w:rPr>
          <w:rFonts w:eastAsia="Times New Roman" w:cs="Arial"/>
          <w:iCs/>
        </w:rPr>
        <w:t xml:space="preserve">, </w:t>
      </w:r>
      <w:r w:rsidR="006F635D">
        <w:rPr>
          <w:rFonts w:eastAsia="Times New Roman" w:cs="Arial"/>
          <w:iCs/>
        </w:rPr>
        <w:t xml:space="preserve">and </w:t>
      </w:r>
      <w:r w:rsidR="00DF774A" w:rsidRPr="00A77FC3">
        <w:rPr>
          <w:rFonts w:eastAsia="Times New Roman" w:cs="Arial"/>
          <w:iCs/>
        </w:rPr>
        <w:t xml:space="preserve">Resolution 13.5 </w:t>
      </w:r>
      <w:r w:rsidR="00DF774A" w:rsidRPr="00B57EAB">
        <w:rPr>
          <w:rFonts w:eastAsia="Times New Roman" w:cs="Arial"/>
          <w:i/>
        </w:rPr>
        <w:t>Light Pollution Guidelines for Wildlife</w:t>
      </w:r>
      <w:r w:rsidRPr="00A77FC3">
        <w:rPr>
          <w:rFonts w:eastAsia="Times New Roman" w:cs="Arial"/>
          <w:i/>
        </w:rPr>
        <w:t>,</w:t>
      </w:r>
    </w:p>
    <w:p w14:paraId="538C4A36" w14:textId="77777777" w:rsidR="006E5484" w:rsidRDefault="006E5484">
      <w:pPr>
        <w:widowControl w:val="0"/>
        <w:spacing w:after="0" w:line="240" w:lineRule="auto"/>
        <w:jc w:val="both"/>
        <w:rPr>
          <w:rFonts w:eastAsia="Times New Roman" w:cs="Arial"/>
          <w:i/>
        </w:rPr>
      </w:pPr>
    </w:p>
    <w:p w14:paraId="2FEAD5C9" w14:textId="6887166D" w:rsidR="009473BE" w:rsidRPr="00A77FC3" w:rsidRDefault="006223AD" w:rsidP="00A77FC3">
      <w:pPr>
        <w:widowControl w:val="0"/>
        <w:spacing w:after="0" w:line="240" w:lineRule="auto"/>
        <w:jc w:val="both"/>
        <w:rPr>
          <w:rFonts w:eastAsia="Times New Roman" w:cs="Arial"/>
          <w:iCs/>
        </w:rPr>
      </w:pPr>
      <w:r w:rsidRPr="00A77FC3">
        <w:rPr>
          <w:rFonts w:eastAsia="Times New Roman" w:cs="Arial"/>
          <w:i/>
        </w:rPr>
        <w:t>Respond</w:t>
      </w:r>
      <w:r w:rsidR="009473BE" w:rsidRPr="00A77FC3">
        <w:rPr>
          <w:rFonts w:eastAsia="Times New Roman" w:cs="Arial"/>
          <w:i/>
        </w:rPr>
        <w:t>ing</w:t>
      </w:r>
      <w:r w:rsidR="009473BE" w:rsidRPr="00A77FC3">
        <w:rPr>
          <w:rFonts w:eastAsia="Times New Roman" w:cs="Arial"/>
          <w:iCs/>
        </w:rPr>
        <w:t xml:space="preserve"> to </w:t>
      </w:r>
      <w:r w:rsidR="00ED3FEE" w:rsidRPr="00A77FC3">
        <w:rPr>
          <w:rFonts w:eastAsia="Times New Roman" w:cs="Arial"/>
          <w:iCs/>
        </w:rPr>
        <w:t xml:space="preserve">widespread concerns that </w:t>
      </w:r>
      <w:r w:rsidR="009473BE" w:rsidRPr="00A77FC3">
        <w:rPr>
          <w:rFonts w:eastAsia="Times New Roman" w:cs="Arial"/>
          <w:iCs/>
        </w:rPr>
        <w:t>cetaceans, a large and diverse taxonomic group</w:t>
      </w:r>
      <w:r w:rsidR="00650C0F" w:rsidRPr="00A77FC3">
        <w:rPr>
          <w:rFonts w:eastAsia="Times New Roman" w:cs="Arial"/>
          <w:iCs/>
        </w:rPr>
        <w:t xml:space="preserve"> </w:t>
      </w:r>
      <w:r w:rsidR="009659D5" w:rsidRPr="00A77FC3">
        <w:rPr>
          <w:rFonts w:eastAsia="Times New Roman" w:cs="Arial"/>
          <w:iCs/>
        </w:rPr>
        <w:t xml:space="preserve">of </w:t>
      </w:r>
      <w:r w:rsidR="00942936" w:rsidRPr="00A77FC3">
        <w:rPr>
          <w:rFonts w:eastAsia="Times New Roman" w:cs="Arial"/>
          <w:iCs/>
        </w:rPr>
        <w:t>over</w:t>
      </w:r>
      <w:r w:rsidR="009659D5" w:rsidRPr="00A77FC3">
        <w:rPr>
          <w:rFonts w:eastAsia="Times New Roman" w:cs="Arial"/>
          <w:iCs/>
        </w:rPr>
        <w:t xml:space="preserve"> 90 species with many discrete populations </w:t>
      </w:r>
      <w:r w:rsidR="00650C0F" w:rsidRPr="00A77FC3">
        <w:rPr>
          <w:rFonts w:eastAsia="Times New Roman" w:cs="Arial"/>
          <w:iCs/>
        </w:rPr>
        <w:t xml:space="preserve">that </w:t>
      </w:r>
      <w:r w:rsidR="009659D5" w:rsidRPr="00A77FC3">
        <w:rPr>
          <w:rFonts w:eastAsia="Times New Roman" w:cs="Arial"/>
          <w:iCs/>
        </w:rPr>
        <w:t>can be found in all the world’s oceans and seas and some large river</w:t>
      </w:r>
      <w:r w:rsidR="00C155D3" w:rsidRPr="00A77FC3">
        <w:rPr>
          <w:rFonts w:eastAsia="Times New Roman" w:cs="Arial"/>
          <w:iCs/>
        </w:rPr>
        <w:t>-</w:t>
      </w:r>
      <w:r w:rsidR="009659D5" w:rsidRPr="00A77FC3">
        <w:rPr>
          <w:rFonts w:eastAsia="Times New Roman" w:cs="Arial"/>
          <w:iCs/>
        </w:rPr>
        <w:t>systems</w:t>
      </w:r>
      <w:r w:rsidR="00650C0F" w:rsidRPr="00A77FC3">
        <w:rPr>
          <w:rFonts w:eastAsia="Times New Roman" w:cs="Arial"/>
          <w:iCs/>
        </w:rPr>
        <w:t>,</w:t>
      </w:r>
      <w:r w:rsidR="00ED3FEE" w:rsidRPr="00A77FC3">
        <w:rPr>
          <w:rFonts w:eastAsia="Times New Roman" w:cs="Arial"/>
          <w:iCs/>
        </w:rPr>
        <w:t xml:space="preserve"> and </w:t>
      </w:r>
      <w:r w:rsidR="006F7240" w:rsidRPr="00A77FC3">
        <w:rPr>
          <w:rFonts w:eastAsia="Times New Roman" w:cs="Arial"/>
          <w:iCs/>
        </w:rPr>
        <w:t>which have</w:t>
      </w:r>
      <w:r w:rsidR="00ED3FEE" w:rsidRPr="00A77FC3">
        <w:t xml:space="preserve"> a crucial role in marine ecosystems and in the mitigation of climate change</w:t>
      </w:r>
      <w:r w:rsidR="006F7240" w:rsidRPr="00A77FC3">
        <w:t>,</w:t>
      </w:r>
      <w:r w:rsidR="00650C0F" w:rsidRPr="00A77FC3">
        <w:rPr>
          <w:rFonts w:eastAsia="Times New Roman" w:cs="Arial"/>
          <w:iCs/>
        </w:rPr>
        <w:t xml:space="preserve"> </w:t>
      </w:r>
      <w:r w:rsidR="006F7240" w:rsidRPr="00A77FC3">
        <w:rPr>
          <w:rFonts w:eastAsia="Times New Roman" w:cs="Arial"/>
          <w:iCs/>
        </w:rPr>
        <w:t xml:space="preserve">are </w:t>
      </w:r>
      <w:r w:rsidR="009473BE" w:rsidRPr="00A77FC3">
        <w:rPr>
          <w:rFonts w:eastAsia="Times New Roman" w:cs="Arial"/>
          <w:iCs/>
        </w:rPr>
        <w:t xml:space="preserve">affected by </w:t>
      </w:r>
      <w:r w:rsidR="006F7240" w:rsidRPr="00A77FC3">
        <w:rPr>
          <w:rFonts w:eastAsia="Times New Roman" w:cs="Arial"/>
          <w:iCs/>
        </w:rPr>
        <w:t>ever-growing and diverse</w:t>
      </w:r>
      <w:r w:rsidR="009473BE" w:rsidRPr="00A77FC3">
        <w:rPr>
          <w:rFonts w:eastAsia="Times New Roman" w:cs="Arial"/>
          <w:iCs/>
        </w:rPr>
        <w:t xml:space="preserve"> threats</w:t>
      </w:r>
      <w:r w:rsidR="00785BD4" w:rsidRPr="00A77FC3">
        <w:rPr>
          <w:rFonts w:eastAsia="Times New Roman" w:cs="Arial"/>
          <w:iCs/>
        </w:rPr>
        <w:t xml:space="preserve">, </w:t>
      </w:r>
      <w:r w:rsidR="00785BD4" w:rsidRPr="00A77FC3">
        <w:t>including increasing human-induced impacts</w:t>
      </w:r>
      <w:r w:rsidR="00942936" w:rsidRPr="00A77FC3">
        <w:t>,</w:t>
      </w:r>
    </w:p>
    <w:p w14:paraId="61C49DE0" w14:textId="77777777" w:rsidR="009473BE" w:rsidRPr="00A77FC3" w:rsidRDefault="009473BE" w:rsidP="00A77FC3">
      <w:pPr>
        <w:widowControl w:val="0"/>
        <w:spacing w:after="0" w:line="240" w:lineRule="auto"/>
        <w:jc w:val="both"/>
        <w:rPr>
          <w:rFonts w:eastAsia="Times New Roman" w:cs="Arial"/>
          <w:i/>
        </w:rPr>
      </w:pPr>
    </w:p>
    <w:p w14:paraId="2C3C0D95" w14:textId="01A2EDDF" w:rsidR="00650C0F" w:rsidRPr="00A77FC3" w:rsidRDefault="00650C0F" w:rsidP="5FEC8E68">
      <w:pPr>
        <w:widowControl w:val="0"/>
        <w:spacing w:after="0" w:line="240" w:lineRule="auto"/>
        <w:jc w:val="both"/>
        <w:rPr>
          <w:rFonts w:eastAsia="Times New Roman" w:cs="Arial"/>
          <w:i/>
          <w:iCs/>
        </w:rPr>
      </w:pPr>
      <w:r w:rsidRPr="5FEC8E68">
        <w:rPr>
          <w:rFonts w:eastAsia="Times New Roman" w:cs="Arial"/>
          <w:i/>
          <w:iCs/>
        </w:rPr>
        <w:t xml:space="preserve">Recalling </w:t>
      </w:r>
      <w:r w:rsidRPr="5FEC8E68">
        <w:rPr>
          <w:rFonts w:eastAsia="Times New Roman" w:cs="Arial"/>
        </w:rPr>
        <w:t xml:space="preserve">that </w:t>
      </w:r>
      <w:r w:rsidR="597FB4BD" w:rsidRPr="5FEC8E68">
        <w:rPr>
          <w:rFonts w:eastAsia="Times New Roman" w:cs="Arial"/>
        </w:rPr>
        <w:t>over 50</w:t>
      </w:r>
      <w:r w:rsidRPr="5FEC8E68">
        <w:rPr>
          <w:rFonts w:eastAsia="Times New Roman" w:cs="Arial"/>
        </w:rPr>
        <w:t xml:space="preserve"> </w:t>
      </w:r>
      <w:r w:rsidR="00321072" w:rsidRPr="5FEC8E68">
        <w:rPr>
          <w:rFonts w:eastAsia="Times New Roman" w:cs="Arial"/>
        </w:rPr>
        <w:t xml:space="preserve">cetacean </w:t>
      </w:r>
      <w:r w:rsidRPr="5FEC8E68">
        <w:rPr>
          <w:rFonts w:eastAsia="Times New Roman" w:cs="Arial"/>
        </w:rPr>
        <w:t xml:space="preserve">species are </w:t>
      </w:r>
      <w:r w:rsidR="00F71A1B" w:rsidRPr="5FEC8E68">
        <w:rPr>
          <w:rFonts w:eastAsia="Times New Roman" w:cs="Arial"/>
        </w:rPr>
        <w:t xml:space="preserve">currently </w:t>
      </w:r>
      <w:r w:rsidRPr="5FEC8E68">
        <w:rPr>
          <w:rFonts w:eastAsia="Times New Roman" w:cs="Arial"/>
        </w:rPr>
        <w:t xml:space="preserve">listed </w:t>
      </w:r>
      <w:r w:rsidR="50211D13" w:rsidRPr="5FEC8E68">
        <w:rPr>
          <w:rFonts w:eastAsia="Times New Roman" w:cs="Arial"/>
        </w:rPr>
        <w:t>o</w:t>
      </w:r>
      <w:r w:rsidRPr="5FEC8E68">
        <w:rPr>
          <w:rFonts w:eastAsia="Times New Roman" w:cs="Arial"/>
        </w:rPr>
        <w:t>n the CMS Appendices</w:t>
      </w:r>
      <w:r w:rsidR="00F71A1B" w:rsidRPr="5FEC8E68">
        <w:rPr>
          <w:rFonts w:eastAsia="Times New Roman" w:cs="Arial"/>
        </w:rPr>
        <w:t>,</w:t>
      </w:r>
    </w:p>
    <w:p w14:paraId="3636A60F" w14:textId="77777777" w:rsidR="00650C0F" w:rsidRPr="00A77FC3" w:rsidRDefault="00650C0F" w:rsidP="00A77FC3">
      <w:pPr>
        <w:widowControl w:val="0"/>
        <w:spacing w:after="0" w:line="240" w:lineRule="auto"/>
        <w:jc w:val="both"/>
        <w:rPr>
          <w:rFonts w:eastAsia="Times New Roman" w:cs="Arial"/>
          <w:i/>
        </w:rPr>
      </w:pPr>
    </w:p>
    <w:p w14:paraId="417BC257" w14:textId="26E2DD67" w:rsidR="00650C0F" w:rsidRPr="00A77FC3" w:rsidRDefault="00650C0F" w:rsidP="00A77FC3">
      <w:pPr>
        <w:widowControl w:val="0"/>
        <w:spacing w:after="0" w:line="240" w:lineRule="auto"/>
        <w:jc w:val="both"/>
        <w:rPr>
          <w:iCs/>
        </w:rPr>
      </w:pPr>
      <w:r w:rsidRPr="00A77FC3">
        <w:rPr>
          <w:rFonts w:eastAsia="Times New Roman" w:cs="Arial"/>
          <w:i/>
        </w:rPr>
        <w:t xml:space="preserve">Recognizing </w:t>
      </w:r>
      <w:r w:rsidRPr="00A77FC3">
        <w:rPr>
          <w:iCs/>
        </w:rPr>
        <w:t xml:space="preserve">the value of </w:t>
      </w:r>
      <w:r w:rsidR="009659D5" w:rsidRPr="00A77FC3">
        <w:rPr>
          <w:iCs/>
        </w:rPr>
        <w:t xml:space="preserve">the </w:t>
      </w:r>
      <w:r w:rsidRPr="00A77FC3">
        <w:rPr>
          <w:iCs/>
        </w:rPr>
        <w:t xml:space="preserve">knowledge </w:t>
      </w:r>
      <w:r w:rsidR="00F50E3C" w:rsidRPr="00A77FC3">
        <w:rPr>
          <w:iCs/>
        </w:rPr>
        <w:t xml:space="preserve">and expertise </w:t>
      </w:r>
      <w:r w:rsidRPr="00A77FC3">
        <w:rPr>
          <w:iCs/>
        </w:rPr>
        <w:t xml:space="preserve">within the wider CMS Family, especially </w:t>
      </w:r>
      <w:r w:rsidR="009659D5" w:rsidRPr="00A77FC3">
        <w:rPr>
          <w:iCs/>
        </w:rPr>
        <w:t xml:space="preserve">related to </w:t>
      </w:r>
      <w:r w:rsidR="00F50E3C" w:rsidRPr="00A77FC3">
        <w:rPr>
          <w:iCs/>
        </w:rPr>
        <w:t xml:space="preserve">the close collaboration of the CMS with </w:t>
      </w:r>
      <w:r w:rsidRPr="00A77FC3">
        <w:rPr>
          <w:iCs/>
        </w:rPr>
        <w:t xml:space="preserve">its specialized </w:t>
      </w:r>
      <w:r w:rsidR="000B2228" w:rsidRPr="00A77FC3">
        <w:rPr>
          <w:iCs/>
        </w:rPr>
        <w:t xml:space="preserve">cetacean-related </w:t>
      </w:r>
      <w:r w:rsidRPr="00A77FC3">
        <w:rPr>
          <w:iCs/>
        </w:rPr>
        <w:t>regional Agreements</w:t>
      </w:r>
      <w:r w:rsidR="00F50E3C" w:rsidRPr="00A77FC3">
        <w:rPr>
          <w:iCs/>
        </w:rPr>
        <w:t xml:space="preserve"> ACCOBAMS</w:t>
      </w:r>
      <w:r w:rsidR="00636CF2">
        <w:rPr>
          <w:rStyle w:val="FootnoteReference"/>
          <w:iCs/>
        </w:rPr>
        <w:footnoteReference w:id="4"/>
      </w:r>
      <w:r w:rsidR="00F50E3C" w:rsidRPr="00A77FC3">
        <w:rPr>
          <w:iCs/>
        </w:rPr>
        <w:t xml:space="preserve"> and ASCOBANS</w:t>
      </w:r>
      <w:r w:rsidR="00A807AA">
        <w:rPr>
          <w:rStyle w:val="FootnoteReference"/>
          <w:iCs/>
        </w:rPr>
        <w:footnoteReference w:id="5"/>
      </w:r>
      <w:r w:rsidR="009659D5" w:rsidRPr="00A77FC3">
        <w:rPr>
          <w:iCs/>
        </w:rPr>
        <w:t xml:space="preserve">, </w:t>
      </w:r>
      <w:r w:rsidR="00C155D3" w:rsidRPr="00A77FC3">
        <w:rPr>
          <w:iCs/>
        </w:rPr>
        <w:t>the</w:t>
      </w:r>
      <w:r w:rsidR="00C155D3" w:rsidRPr="00A77FC3">
        <w:rPr>
          <w:rFonts w:eastAsia="Times New Roman" w:cs="Arial"/>
          <w:iCs/>
        </w:rPr>
        <w:t xml:space="preserve"> </w:t>
      </w:r>
      <w:r w:rsidR="00C155D3" w:rsidRPr="00A77FC3">
        <w:rPr>
          <w:iCs/>
        </w:rPr>
        <w:t>Memorandum of Understanding concerning the Conservation of the Manatee and Small Cetaceans of Western Africa and Macaronesia, the Memorandum of Understanding for the Conservation of Cetaceans and their Habitats in the Pacific Islands Region</w:t>
      </w:r>
      <w:r w:rsidR="009B756A" w:rsidRPr="00A77FC3">
        <w:rPr>
          <w:iCs/>
        </w:rPr>
        <w:t>,</w:t>
      </w:r>
      <w:r w:rsidR="00C155D3" w:rsidRPr="00A77FC3">
        <w:rPr>
          <w:iCs/>
        </w:rPr>
        <w:t xml:space="preserve"> </w:t>
      </w:r>
      <w:r w:rsidR="00F50E3C" w:rsidRPr="00A77FC3">
        <w:rPr>
          <w:rFonts w:eastAsia="Times New Roman" w:cs="Arial"/>
          <w:iCs/>
        </w:rPr>
        <w:t xml:space="preserve">and related workstreams, </w:t>
      </w:r>
      <w:r w:rsidR="009659D5" w:rsidRPr="00A77FC3">
        <w:rPr>
          <w:rFonts w:eastAsia="Times New Roman" w:cs="Arial"/>
          <w:iCs/>
        </w:rPr>
        <w:t xml:space="preserve">in order </w:t>
      </w:r>
      <w:r w:rsidR="00F50E3C" w:rsidRPr="00A77FC3">
        <w:rPr>
          <w:rFonts w:eastAsia="Times New Roman" w:cs="Arial"/>
          <w:iCs/>
        </w:rPr>
        <w:t xml:space="preserve">to generate </w:t>
      </w:r>
      <w:r w:rsidR="009659D5" w:rsidRPr="00A77FC3">
        <w:rPr>
          <w:rFonts w:eastAsia="Times New Roman" w:cs="Arial"/>
          <w:iCs/>
        </w:rPr>
        <w:t xml:space="preserve">the best possible </w:t>
      </w:r>
      <w:r w:rsidR="00F50E3C" w:rsidRPr="00A77FC3">
        <w:rPr>
          <w:rFonts w:eastAsia="Times New Roman" w:cs="Arial"/>
          <w:iCs/>
        </w:rPr>
        <w:t xml:space="preserve">advice and guidance </w:t>
      </w:r>
      <w:r w:rsidR="009659D5" w:rsidRPr="00A77FC3">
        <w:rPr>
          <w:rFonts w:eastAsia="Times New Roman" w:cs="Arial"/>
          <w:iCs/>
        </w:rPr>
        <w:t xml:space="preserve">for </w:t>
      </w:r>
      <w:r w:rsidR="00F50E3C" w:rsidRPr="00A77FC3">
        <w:rPr>
          <w:rFonts w:eastAsia="Times New Roman" w:cs="Arial"/>
          <w:iCs/>
        </w:rPr>
        <w:t>conservation action</w:t>
      </w:r>
      <w:r w:rsidR="009659D5" w:rsidRPr="00A77FC3">
        <w:rPr>
          <w:rFonts w:eastAsia="Times New Roman" w:cs="Arial"/>
          <w:iCs/>
        </w:rPr>
        <w:t>s</w:t>
      </w:r>
      <w:r w:rsidR="00F50E3C" w:rsidRPr="00A77FC3">
        <w:rPr>
          <w:rFonts w:eastAsia="Times New Roman" w:cs="Arial"/>
          <w:iCs/>
        </w:rPr>
        <w:t xml:space="preserve"> on </w:t>
      </w:r>
      <w:r w:rsidR="009659D5" w:rsidRPr="00A77FC3">
        <w:rPr>
          <w:rFonts w:eastAsia="Times New Roman" w:cs="Arial"/>
          <w:iCs/>
        </w:rPr>
        <w:t xml:space="preserve">a </w:t>
      </w:r>
      <w:r w:rsidR="00F50E3C" w:rsidRPr="00A77FC3">
        <w:rPr>
          <w:rFonts w:eastAsia="Times New Roman" w:cs="Arial"/>
          <w:iCs/>
        </w:rPr>
        <w:t xml:space="preserve">global </w:t>
      </w:r>
      <w:r w:rsidR="009659D5" w:rsidRPr="00A77FC3">
        <w:rPr>
          <w:rFonts w:eastAsia="Times New Roman" w:cs="Arial"/>
          <w:iCs/>
        </w:rPr>
        <w:t xml:space="preserve">and regional </w:t>
      </w:r>
      <w:r w:rsidR="00F50E3C" w:rsidRPr="00A77FC3">
        <w:rPr>
          <w:rFonts w:eastAsia="Times New Roman" w:cs="Arial"/>
          <w:iCs/>
        </w:rPr>
        <w:t>scale</w:t>
      </w:r>
      <w:r w:rsidR="009659D5" w:rsidRPr="00A77FC3">
        <w:rPr>
          <w:rFonts w:eastAsia="Times New Roman" w:cs="Arial"/>
          <w:iCs/>
        </w:rPr>
        <w:t>, as appropriate</w:t>
      </w:r>
      <w:r w:rsidR="005E7D88" w:rsidRPr="00A77FC3">
        <w:rPr>
          <w:rFonts w:eastAsia="Times New Roman" w:cs="Arial"/>
          <w:iCs/>
        </w:rPr>
        <w:t>,</w:t>
      </w:r>
    </w:p>
    <w:p w14:paraId="7121204A" w14:textId="77777777" w:rsidR="008C7A92" w:rsidRPr="00A77FC3" w:rsidRDefault="008C7A92" w:rsidP="00A77FC3">
      <w:pPr>
        <w:widowControl w:val="0"/>
        <w:spacing w:after="0" w:line="240" w:lineRule="auto"/>
        <w:jc w:val="both"/>
      </w:pPr>
      <w:r w:rsidRPr="00A77FC3">
        <w:rPr>
          <w:rFonts w:eastAsia="Times New Roman" w:cs="Arial"/>
          <w:i/>
          <w:iCs/>
        </w:rPr>
        <w:lastRenderedPageBreak/>
        <w:t>Aware</w:t>
      </w:r>
      <w:r w:rsidRPr="00A77FC3">
        <w:rPr>
          <w:rFonts w:eastAsia="Times New Roman" w:cs="Arial"/>
          <w:i/>
        </w:rPr>
        <w:t xml:space="preserve"> </w:t>
      </w:r>
      <w:r w:rsidRPr="00A77FC3">
        <w:rPr>
          <w:rFonts w:eastAsia="Times New Roman" w:cs="Arial"/>
          <w:iCs/>
        </w:rPr>
        <w:t>that many multilateral environmental agreements deal with matters directly or indirectly affecting cetacean conservation and that close collaboration with these MEAs is crucial in order to achieve the desired conservation status for cetaceans</w:t>
      </w:r>
      <w:r w:rsidRPr="008E47E2">
        <w:rPr>
          <w:rFonts w:eastAsia="Times New Roman" w:cs="Arial"/>
          <w:iCs/>
        </w:rPr>
        <w:t>,</w:t>
      </w:r>
    </w:p>
    <w:p w14:paraId="1EE0B417" w14:textId="77777777" w:rsidR="008C7A92" w:rsidRPr="00A77FC3" w:rsidRDefault="008C7A92" w:rsidP="00A77FC3">
      <w:pPr>
        <w:widowControl w:val="0"/>
        <w:spacing w:after="0" w:line="240" w:lineRule="auto"/>
        <w:jc w:val="both"/>
        <w:rPr>
          <w:rFonts w:eastAsia="Times New Roman" w:cs="Arial"/>
          <w:i/>
        </w:rPr>
      </w:pPr>
    </w:p>
    <w:p w14:paraId="2B30E49D" w14:textId="77777777" w:rsidR="006E5484" w:rsidRDefault="00FB2FEF">
      <w:pPr>
        <w:widowControl w:val="0"/>
        <w:spacing w:after="0" w:line="240" w:lineRule="auto"/>
        <w:jc w:val="both"/>
      </w:pPr>
      <w:r>
        <w:rPr>
          <w:rFonts w:eastAsia="Times New Roman" w:cs="Arial"/>
          <w:i/>
        </w:rPr>
        <w:t>Recognizing</w:t>
      </w:r>
      <w:r>
        <w:rPr>
          <w:rFonts w:eastAsia="Times New Roman" w:cs="Arial"/>
          <w:iCs/>
        </w:rPr>
        <w:t xml:space="preserve"> the support of </w:t>
      </w:r>
      <w:r w:rsidR="00650C0F" w:rsidRPr="00A77FC3">
        <w:rPr>
          <w:rFonts w:eastAsia="Times New Roman" w:cs="Arial"/>
          <w:iCs/>
        </w:rPr>
        <w:t>partner organi</w:t>
      </w:r>
      <w:r w:rsidR="005E7D88" w:rsidRPr="00A77FC3">
        <w:rPr>
          <w:rFonts w:eastAsia="Times New Roman" w:cs="Arial"/>
          <w:iCs/>
        </w:rPr>
        <w:t>z</w:t>
      </w:r>
      <w:r w:rsidR="00650C0F" w:rsidRPr="00A77FC3">
        <w:rPr>
          <w:rFonts w:eastAsia="Times New Roman" w:cs="Arial"/>
          <w:iCs/>
        </w:rPr>
        <w:t xml:space="preserve">ations </w:t>
      </w:r>
      <w:r>
        <w:rPr>
          <w:rFonts w:eastAsia="Times New Roman" w:cs="Arial"/>
          <w:iCs/>
        </w:rPr>
        <w:t>OceanCare</w:t>
      </w:r>
      <w:r w:rsidRPr="00A77FC3">
        <w:rPr>
          <w:rFonts w:eastAsia="Times New Roman" w:cs="Arial"/>
          <w:iCs/>
        </w:rPr>
        <w:t xml:space="preserve"> </w:t>
      </w:r>
      <w:r w:rsidR="00650C0F" w:rsidRPr="00A77FC3">
        <w:rPr>
          <w:rFonts w:eastAsia="Times New Roman" w:cs="Arial"/>
          <w:iCs/>
        </w:rPr>
        <w:t>and W</w:t>
      </w:r>
      <w:r w:rsidR="002D32A4" w:rsidRPr="00A77FC3">
        <w:rPr>
          <w:rFonts w:eastAsia="Times New Roman" w:cs="Arial"/>
          <w:iCs/>
        </w:rPr>
        <w:t xml:space="preserve">hale and </w:t>
      </w:r>
      <w:r w:rsidR="00650C0F" w:rsidRPr="00A77FC3">
        <w:rPr>
          <w:rFonts w:eastAsia="Times New Roman" w:cs="Arial"/>
          <w:iCs/>
        </w:rPr>
        <w:t>D</w:t>
      </w:r>
      <w:r w:rsidR="002D32A4" w:rsidRPr="00A77FC3">
        <w:rPr>
          <w:rFonts w:eastAsia="Times New Roman" w:cs="Arial"/>
          <w:iCs/>
        </w:rPr>
        <w:t xml:space="preserve">olphin </w:t>
      </w:r>
      <w:r w:rsidR="00650C0F" w:rsidRPr="00A77FC3">
        <w:rPr>
          <w:rFonts w:eastAsia="Times New Roman" w:cs="Arial"/>
          <w:iCs/>
        </w:rPr>
        <w:t>C</w:t>
      </w:r>
      <w:r w:rsidR="002D32A4" w:rsidRPr="00A77FC3">
        <w:rPr>
          <w:rFonts w:eastAsia="Times New Roman" w:cs="Arial"/>
          <w:iCs/>
        </w:rPr>
        <w:t>onservation</w:t>
      </w:r>
      <w:r>
        <w:rPr>
          <w:rFonts w:eastAsia="Times New Roman" w:cs="Arial"/>
          <w:iCs/>
        </w:rPr>
        <w:t xml:space="preserve"> in the implementation of the mandates related to reviewing and updating the Convention’s work programme on cetaceans,</w:t>
      </w:r>
    </w:p>
    <w:p w14:paraId="0DBF23A5" w14:textId="77777777" w:rsidR="006E5484" w:rsidRDefault="006E5484">
      <w:pPr>
        <w:widowControl w:val="0"/>
        <w:spacing w:after="0" w:line="240" w:lineRule="auto"/>
        <w:jc w:val="both"/>
        <w:rPr>
          <w:rFonts w:eastAsia="Times New Roman" w:cs="Arial"/>
          <w:i/>
        </w:rPr>
      </w:pPr>
    </w:p>
    <w:p w14:paraId="78C724CA" w14:textId="2B809FB7" w:rsidR="006E5484" w:rsidRDefault="00FB2FEF">
      <w:pPr>
        <w:widowControl w:val="0"/>
        <w:spacing w:after="0" w:line="240" w:lineRule="auto"/>
        <w:jc w:val="both"/>
      </w:pPr>
      <w:r>
        <w:rPr>
          <w:rFonts w:eastAsia="Times New Roman" w:cs="Arial"/>
          <w:i/>
          <w:iCs/>
        </w:rPr>
        <w:t>Noting</w:t>
      </w:r>
      <w:r>
        <w:rPr>
          <w:rFonts w:eastAsia="Times New Roman" w:cs="Arial"/>
        </w:rPr>
        <w:t xml:space="preserve"> the lack of data on the distribution</w:t>
      </w:r>
      <w:r w:rsidR="00B03A1C" w:rsidRPr="00A77FC3">
        <w:rPr>
          <w:rFonts w:eastAsia="Times New Roman" w:cs="Arial"/>
        </w:rPr>
        <w:t>,</w:t>
      </w:r>
      <w:r>
        <w:rPr>
          <w:rFonts w:eastAsia="Times New Roman" w:cs="Arial"/>
        </w:rPr>
        <w:t xml:space="preserve"> migration patterns </w:t>
      </w:r>
      <w:r w:rsidR="00B03A1C" w:rsidRPr="00A77FC3">
        <w:rPr>
          <w:rFonts w:eastAsia="Times New Roman" w:cs="Arial"/>
        </w:rPr>
        <w:t xml:space="preserve">and conservation status </w:t>
      </w:r>
      <w:r>
        <w:rPr>
          <w:rFonts w:eastAsia="Times New Roman" w:cs="Arial"/>
        </w:rPr>
        <w:t>of some populations of cetaceans,</w:t>
      </w:r>
    </w:p>
    <w:p w14:paraId="0ADB4DE6" w14:textId="77777777" w:rsidR="006E5484" w:rsidRDefault="006E5484">
      <w:pPr>
        <w:widowControl w:val="0"/>
        <w:spacing w:after="0" w:line="240" w:lineRule="auto"/>
        <w:jc w:val="both"/>
        <w:rPr>
          <w:rFonts w:eastAsia="Times New Roman" w:cs="Arial"/>
        </w:rPr>
      </w:pPr>
    </w:p>
    <w:p w14:paraId="7A1A63E9" w14:textId="77777777" w:rsidR="006E5484" w:rsidRPr="00065924" w:rsidRDefault="00FB2FEF">
      <w:pPr>
        <w:widowControl w:val="0"/>
        <w:spacing w:after="0" w:line="240" w:lineRule="auto"/>
        <w:jc w:val="both"/>
        <w:rPr>
          <w:i/>
        </w:rPr>
      </w:pPr>
      <w:r>
        <w:rPr>
          <w:rFonts w:eastAsia="Times New Roman" w:cs="Arial"/>
          <w:i/>
        </w:rPr>
        <w:t>Noting</w:t>
      </w:r>
      <w:r>
        <w:rPr>
          <w:rFonts w:eastAsia="Times New Roman" w:cs="Arial"/>
          <w:iCs/>
        </w:rPr>
        <w:t xml:space="preserve"> the review of the implementation of the Global Programme of Work 2012-2024 and the analysis of the most important threats to cetaceans, along with recommendations, presented in </w:t>
      </w:r>
      <w:r w:rsidRPr="009E7D9F">
        <w:rPr>
          <w:rFonts w:cs="Arial"/>
        </w:rPr>
        <w:t>UNEP/CMS/COP14/Inf.</w:t>
      </w:r>
      <w:r w:rsidR="00461ABD" w:rsidRPr="009E7D9F">
        <w:rPr>
          <w:rFonts w:cs="Arial"/>
        </w:rPr>
        <w:t>27.5.1a</w:t>
      </w:r>
      <w:r>
        <w:rPr>
          <w:rFonts w:eastAsia="Times New Roman" w:cs="Arial"/>
          <w:i/>
        </w:rPr>
        <w:t>,</w:t>
      </w:r>
    </w:p>
    <w:p w14:paraId="5F35FA93" w14:textId="77777777" w:rsidR="006E5484" w:rsidRDefault="006E5484">
      <w:pPr>
        <w:widowControl w:val="0"/>
        <w:spacing w:after="0" w:line="240" w:lineRule="auto"/>
        <w:jc w:val="both"/>
        <w:rPr>
          <w:rFonts w:eastAsia="Times New Roman" w:cs="Arial"/>
          <w:i/>
        </w:rPr>
      </w:pPr>
    </w:p>
    <w:p w14:paraId="7DBF4F6A" w14:textId="77777777" w:rsidR="001F7059" w:rsidRDefault="001F7059">
      <w:pPr>
        <w:widowControl w:val="0"/>
        <w:spacing w:after="0" w:line="240" w:lineRule="auto"/>
        <w:jc w:val="both"/>
        <w:rPr>
          <w:rFonts w:eastAsia="Times New Roman" w:cs="Arial"/>
          <w:i/>
        </w:rPr>
      </w:pPr>
    </w:p>
    <w:p w14:paraId="34DAB5CA" w14:textId="77777777" w:rsidR="006E5484" w:rsidRDefault="00FB2FEF">
      <w:pPr>
        <w:widowControl w:val="0"/>
        <w:spacing w:after="0" w:line="240" w:lineRule="auto"/>
        <w:jc w:val="center"/>
      </w:pPr>
      <w:r>
        <w:rPr>
          <w:rFonts w:eastAsia="Times New Roman" w:cs="Arial"/>
          <w:i/>
        </w:rPr>
        <w:t>The Conference of the Parties to the</w:t>
      </w:r>
    </w:p>
    <w:p w14:paraId="457CDECC" w14:textId="77777777" w:rsidR="006E5484" w:rsidRDefault="00FB2FEF">
      <w:pPr>
        <w:widowControl w:val="0"/>
        <w:spacing w:after="0" w:line="240" w:lineRule="auto"/>
        <w:jc w:val="center"/>
      </w:pPr>
      <w:r>
        <w:rPr>
          <w:rFonts w:eastAsia="Times New Roman" w:cs="Arial"/>
          <w:i/>
        </w:rPr>
        <w:t>Convention on the Conservation of Migratory Species of Wild Animals</w:t>
      </w:r>
    </w:p>
    <w:p w14:paraId="627C1ED6" w14:textId="77777777" w:rsidR="006E5484" w:rsidRDefault="006E5484">
      <w:pPr>
        <w:widowControl w:val="0"/>
        <w:spacing w:after="0" w:line="240" w:lineRule="auto"/>
        <w:jc w:val="both"/>
        <w:rPr>
          <w:rFonts w:eastAsia="Times New Roman" w:cs="Arial"/>
        </w:rPr>
      </w:pPr>
    </w:p>
    <w:p w14:paraId="4EB7D2B4" w14:textId="77777777" w:rsidR="006E5484" w:rsidRDefault="006E5484">
      <w:pPr>
        <w:widowControl w:val="0"/>
        <w:spacing w:after="0" w:line="240" w:lineRule="auto"/>
        <w:jc w:val="both"/>
        <w:rPr>
          <w:rFonts w:eastAsia="Times New Roman" w:cs="Arial"/>
        </w:rPr>
      </w:pPr>
    </w:p>
    <w:p w14:paraId="7D1B30DC" w14:textId="5179C654" w:rsidR="006E5484" w:rsidRDefault="00462855">
      <w:pPr>
        <w:widowControl w:val="0"/>
        <w:numPr>
          <w:ilvl w:val="0"/>
          <w:numId w:val="27"/>
        </w:numPr>
        <w:spacing w:after="0" w:line="240" w:lineRule="auto"/>
        <w:ind w:left="567" w:hanging="567"/>
        <w:jc w:val="both"/>
      </w:pPr>
      <w:r w:rsidRPr="00A77FC3">
        <w:rPr>
          <w:rFonts w:eastAsia="Times New Roman" w:cs="Arial"/>
          <w:i/>
        </w:rPr>
        <w:t>Not</w:t>
      </w:r>
      <w:r w:rsidR="00B03A1C" w:rsidRPr="00A77FC3">
        <w:rPr>
          <w:rFonts w:eastAsia="Times New Roman" w:cs="Arial"/>
          <w:i/>
        </w:rPr>
        <w:t>es</w:t>
      </w:r>
      <w:r w:rsidR="00FB2FEF">
        <w:rPr>
          <w:rFonts w:eastAsia="Times New Roman" w:cs="Arial"/>
        </w:rPr>
        <w:t xml:space="preserve"> the recommendations for Parties outlined in </w:t>
      </w:r>
      <w:r w:rsidR="00FB2FEF" w:rsidRPr="009E7D9F">
        <w:rPr>
          <w:rFonts w:cs="Arial"/>
        </w:rPr>
        <w:t>UNEP/CMS/COP14/Inf.</w:t>
      </w:r>
      <w:r w:rsidR="00461ABD" w:rsidRPr="009E7D9F">
        <w:rPr>
          <w:rFonts w:cs="Arial"/>
        </w:rPr>
        <w:t>27.5.1a</w:t>
      </w:r>
      <w:r w:rsidRPr="00A77FC3">
        <w:rPr>
          <w:rFonts w:cs="Arial"/>
        </w:rPr>
        <w:t>,</w:t>
      </w:r>
      <w:r w:rsidR="000B28EB">
        <w:rPr>
          <w:rFonts w:cs="Arial"/>
        </w:rPr>
        <w:t xml:space="preserve"> </w:t>
      </w:r>
      <w:r w:rsidR="00FB2FEF">
        <w:rPr>
          <w:rFonts w:eastAsia="Times New Roman" w:cs="Arial"/>
          <w:iCs/>
        </w:rPr>
        <w:t xml:space="preserve">and </w:t>
      </w:r>
      <w:r w:rsidR="00FB2FEF">
        <w:rPr>
          <w:rFonts w:eastAsia="Times New Roman" w:cs="Arial"/>
          <w:i/>
        </w:rPr>
        <w:t>encourages</w:t>
      </w:r>
      <w:r w:rsidR="00FB2FEF">
        <w:rPr>
          <w:rFonts w:eastAsia="Times New Roman" w:cs="Arial"/>
          <w:iCs/>
        </w:rPr>
        <w:t xml:space="preserve"> Parties that exercise jurisdiction over any part of the range of CMS-listed cetacean species, o</w:t>
      </w:r>
      <w:r w:rsidR="00FB2FEF">
        <w:t>r over flag vessels that are engaged outside national jurisdictional limits,</w:t>
      </w:r>
      <w:r w:rsidR="00FB2FEF">
        <w:rPr>
          <w:rFonts w:eastAsia="Times New Roman" w:cs="Arial"/>
          <w:iCs/>
        </w:rPr>
        <w:t xml:space="preserve"> to consider the recommendations made and address the identified threats</w:t>
      </w:r>
      <w:r w:rsidR="00FB2FEF">
        <w:rPr>
          <w:rFonts w:eastAsia="Times New Roman" w:cs="Arial"/>
        </w:rPr>
        <w:t>;</w:t>
      </w:r>
    </w:p>
    <w:p w14:paraId="172E503A" w14:textId="47BA6433" w:rsidR="0031773E" w:rsidRDefault="0031773E">
      <w:pPr>
        <w:spacing w:after="0" w:line="240" w:lineRule="auto"/>
        <w:rPr>
          <w:rFonts w:eastAsia="Times New Roman" w:cs="Arial"/>
        </w:rPr>
      </w:pPr>
    </w:p>
    <w:p w14:paraId="04363ED5" w14:textId="44251C13" w:rsidR="00C400D3" w:rsidRPr="00A77FC3" w:rsidRDefault="00C400D3" w:rsidP="00A77FC3">
      <w:pPr>
        <w:widowControl w:val="0"/>
        <w:numPr>
          <w:ilvl w:val="0"/>
          <w:numId w:val="7"/>
        </w:numPr>
        <w:spacing w:after="0" w:line="240" w:lineRule="auto"/>
        <w:ind w:left="567" w:hanging="567"/>
        <w:jc w:val="both"/>
      </w:pPr>
      <w:r w:rsidRPr="00A77FC3">
        <w:rPr>
          <w:rFonts w:eastAsia="Times New Roman" w:cs="Arial"/>
          <w:i/>
          <w:iCs/>
        </w:rPr>
        <w:t>Calls on</w:t>
      </w:r>
      <w:r w:rsidRPr="00A77FC3">
        <w:rPr>
          <w:rFonts w:eastAsia="Times New Roman" w:cs="Arial"/>
          <w:i/>
        </w:rPr>
        <w:t xml:space="preserve"> </w:t>
      </w:r>
      <w:r w:rsidRPr="00A77FC3">
        <w:rPr>
          <w:rFonts w:eastAsia="Times New Roman" w:cs="Arial"/>
          <w:iCs/>
        </w:rPr>
        <w:t xml:space="preserve">Parties and non-Parties to promote the integration of cetacean conservation into all relevant sectors by coordinating their national positions among various conventions, </w:t>
      </w:r>
      <w:proofErr w:type="gramStart"/>
      <w:r w:rsidRPr="00A77FC3">
        <w:rPr>
          <w:rFonts w:eastAsia="Times New Roman" w:cs="Arial"/>
          <w:iCs/>
        </w:rPr>
        <w:t>agreements</w:t>
      </w:r>
      <w:proofErr w:type="gramEnd"/>
      <w:r w:rsidRPr="00A77FC3">
        <w:rPr>
          <w:rFonts w:eastAsia="Times New Roman" w:cs="Arial"/>
          <w:iCs/>
        </w:rPr>
        <w:t xml:space="preserve"> and other international fora</w:t>
      </w:r>
      <w:r w:rsidRPr="00A77FC3">
        <w:rPr>
          <w:rFonts w:eastAsia="Times New Roman" w:cs="Arial"/>
        </w:rPr>
        <w:t>;</w:t>
      </w:r>
    </w:p>
    <w:p w14:paraId="30151DD0" w14:textId="77777777" w:rsidR="00C400D3" w:rsidRPr="00A77FC3" w:rsidRDefault="00C400D3" w:rsidP="00A77FC3">
      <w:pPr>
        <w:widowControl w:val="0"/>
        <w:spacing w:after="0" w:line="240" w:lineRule="auto"/>
        <w:ind w:left="567" w:hanging="567"/>
        <w:rPr>
          <w:rFonts w:eastAsia="Times New Roman" w:cs="Arial"/>
        </w:rPr>
      </w:pPr>
    </w:p>
    <w:p w14:paraId="5B48B3EB" w14:textId="77777777" w:rsidR="0056046C" w:rsidRPr="00A77FC3" w:rsidRDefault="00FB2FEF" w:rsidP="0056046C">
      <w:pPr>
        <w:widowControl w:val="0"/>
        <w:numPr>
          <w:ilvl w:val="0"/>
          <w:numId w:val="7"/>
        </w:numPr>
        <w:spacing w:after="0" w:line="240" w:lineRule="auto"/>
        <w:ind w:left="567" w:hanging="567"/>
        <w:jc w:val="both"/>
      </w:pPr>
      <w:r>
        <w:rPr>
          <w:rFonts w:eastAsia="Times New Roman" w:cs="Arial"/>
          <w:i/>
          <w:iCs/>
        </w:rPr>
        <w:t>Encourages</w:t>
      </w:r>
      <w:r>
        <w:rPr>
          <w:rFonts w:eastAsia="Times New Roman" w:cs="Arial"/>
          <w:i/>
        </w:rPr>
        <w:t xml:space="preserve"> </w:t>
      </w:r>
      <w:r>
        <w:rPr>
          <w:rFonts w:eastAsia="Times New Roman" w:cs="Arial"/>
          <w:iCs/>
        </w:rPr>
        <w:t xml:space="preserve">Parties and </w:t>
      </w:r>
      <w:r>
        <w:rPr>
          <w:rFonts w:eastAsia="Times New Roman" w:cs="Arial"/>
          <w:i/>
        </w:rPr>
        <w:t>invites</w:t>
      </w:r>
      <w:r>
        <w:rPr>
          <w:rFonts w:eastAsia="Times New Roman" w:cs="Arial"/>
          <w:iCs/>
        </w:rPr>
        <w:t xml:space="preserve"> Parties</w:t>
      </w:r>
      <w:r w:rsidR="00415BB7">
        <w:rPr>
          <w:rFonts w:eastAsia="Times New Roman" w:cs="Arial"/>
          <w:iCs/>
        </w:rPr>
        <w:t xml:space="preserve"> to cetacean-related</w:t>
      </w:r>
      <w:r w:rsidR="00415BB7" w:rsidRPr="00415BB7">
        <w:rPr>
          <w:rFonts w:eastAsia="Times New Roman" w:cs="Arial"/>
          <w:iCs/>
        </w:rPr>
        <w:t xml:space="preserve"> </w:t>
      </w:r>
      <w:r w:rsidR="00415BB7">
        <w:rPr>
          <w:rFonts w:eastAsia="Times New Roman" w:cs="Arial"/>
          <w:iCs/>
        </w:rPr>
        <w:t>Agreement</w:t>
      </w:r>
      <w:r w:rsidR="00385647">
        <w:rPr>
          <w:rFonts w:eastAsia="Times New Roman" w:cs="Arial"/>
          <w:iCs/>
        </w:rPr>
        <w:t>s</w:t>
      </w:r>
      <w:r>
        <w:rPr>
          <w:rFonts w:eastAsia="Times New Roman" w:cs="Arial"/>
          <w:iCs/>
        </w:rPr>
        <w:t>, Signatories</w:t>
      </w:r>
      <w:r w:rsidR="00385647">
        <w:rPr>
          <w:rFonts w:eastAsia="Times New Roman" w:cs="Arial"/>
          <w:iCs/>
        </w:rPr>
        <w:t xml:space="preserve"> to cetacean-related Memoranda of Understanding</w:t>
      </w:r>
      <w:r>
        <w:rPr>
          <w:rFonts w:eastAsia="Times New Roman" w:cs="Arial"/>
          <w:iCs/>
        </w:rPr>
        <w:t>, partner organizations and the private sector to facilitate the implementation of priority actions for cetaceans with voluntary contributions and in-kind support</w:t>
      </w:r>
      <w:r>
        <w:rPr>
          <w:rFonts w:eastAsia="Times New Roman" w:cs="Arial"/>
        </w:rPr>
        <w:t>;</w:t>
      </w:r>
    </w:p>
    <w:p w14:paraId="0F2B362F" w14:textId="77777777" w:rsidR="0056046C" w:rsidRPr="00A77FC3" w:rsidRDefault="0056046C" w:rsidP="0056046C">
      <w:pPr>
        <w:widowControl w:val="0"/>
        <w:spacing w:after="0" w:line="240" w:lineRule="auto"/>
        <w:ind w:left="567" w:hanging="567"/>
        <w:rPr>
          <w:rFonts w:eastAsia="Times New Roman" w:cs="Arial"/>
        </w:rPr>
      </w:pPr>
    </w:p>
    <w:p w14:paraId="66C86E8D" w14:textId="77777777" w:rsidR="006E5484" w:rsidRDefault="00FB2FEF">
      <w:pPr>
        <w:widowControl w:val="0"/>
        <w:numPr>
          <w:ilvl w:val="0"/>
          <w:numId w:val="7"/>
        </w:numPr>
        <w:spacing w:after="0" w:line="240" w:lineRule="auto"/>
        <w:ind w:left="567" w:hanging="567"/>
        <w:jc w:val="both"/>
      </w:pPr>
      <w:r>
        <w:rPr>
          <w:rFonts w:eastAsia="Times New Roman" w:cs="Arial"/>
          <w:i/>
          <w:iCs/>
        </w:rPr>
        <w:t>Urges</w:t>
      </w:r>
      <w:r>
        <w:rPr>
          <w:rFonts w:eastAsia="Times New Roman" w:cs="Arial"/>
        </w:rPr>
        <w:t xml:space="preserve"> Parties to</w:t>
      </w:r>
      <w:r w:rsidR="000612CA">
        <w:rPr>
          <w:rFonts w:eastAsia="Times New Roman" w:cs="Arial"/>
        </w:rPr>
        <w:t>:</w:t>
      </w:r>
    </w:p>
    <w:p w14:paraId="3245FAE1" w14:textId="77777777" w:rsidR="006E5484" w:rsidRDefault="006E5484">
      <w:pPr>
        <w:widowControl w:val="0"/>
        <w:spacing w:after="0" w:line="240" w:lineRule="auto"/>
        <w:jc w:val="both"/>
        <w:rPr>
          <w:rFonts w:eastAsia="Times New Roman" w:cs="Arial"/>
        </w:rPr>
      </w:pPr>
    </w:p>
    <w:p w14:paraId="41B6538B" w14:textId="052B14CC" w:rsidR="006E5484" w:rsidRPr="007C598F" w:rsidRDefault="00E27FA2" w:rsidP="00065924">
      <w:pPr>
        <w:pStyle w:val="ListParagraph"/>
        <w:widowControl w:val="0"/>
        <w:numPr>
          <w:ilvl w:val="0"/>
          <w:numId w:val="17"/>
        </w:numPr>
        <w:spacing w:after="0" w:line="240" w:lineRule="auto"/>
        <w:ind w:left="900"/>
        <w:jc w:val="both"/>
      </w:pPr>
      <w:r w:rsidRPr="00A77FC3">
        <w:rPr>
          <w:rFonts w:eastAsia="Times New Roman" w:cs="Arial"/>
        </w:rPr>
        <w:t>Reduce</w:t>
      </w:r>
      <w:r w:rsidR="00FB2FEF">
        <w:rPr>
          <w:rFonts w:eastAsia="Times New Roman" w:cs="Arial"/>
        </w:rPr>
        <w:t xml:space="preserve"> fisheries-related threats such as bycatch, </w:t>
      </w:r>
      <w:proofErr w:type="gramStart"/>
      <w:r w:rsidR="00FB2FEF">
        <w:rPr>
          <w:rFonts w:eastAsia="Times New Roman" w:cs="Arial"/>
        </w:rPr>
        <w:t>entanglement</w:t>
      </w:r>
      <w:proofErr w:type="gramEnd"/>
      <w:r w:rsidR="00FB2FEF">
        <w:rPr>
          <w:rFonts w:eastAsia="Times New Roman" w:cs="Arial"/>
        </w:rPr>
        <w:t xml:space="preserve"> and prey depletion, in line with the provisions of Resolution 12.22 </w:t>
      </w:r>
      <w:r w:rsidR="00FB2FEF">
        <w:rPr>
          <w:rFonts w:eastAsia="Times New Roman" w:cs="Arial"/>
          <w:i/>
          <w:iCs/>
        </w:rPr>
        <w:t>Bycatch</w:t>
      </w:r>
      <w:r w:rsidR="00FB2FEF">
        <w:rPr>
          <w:rFonts w:eastAsia="Times New Roman" w:cs="Arial"/>
        </w:rPr>
        <w:t xml:space="preserve">, </w:t>
      </w:r>
      <w:r w:rsidR="00FB7332" w:rsidRPr="00A77FC3">
        <w:rPr>
          <w:rFonts w:eastAsia="Times New Roman" w:cs="Arial"/>
        </w:rPr>
        <w:t>with specific</w:t>
      </w:r>
      <w:r w:rsidR="001A5EF0" w:rsidRPr="00A77FC3">
        <w:rPr>
          <w:rFonts w:eastAsia="Times New Roman" w:cs="Arial"/>
        </w:rPr>
        <w:t xml:space="preserve"> attention to</w:t>
      </w:r>
      <w:r w:rsidR="00477B3E" w:rsidRPr="00A77FC3">
        <w:rPr>
          <w:rFonts w:eastAsia="Times New Roman" w:cs="Arial"/>
        </w:rPr>
        <w:t xml:space="preserve"> </w:t>
      </w:r>
      <w:r w:rsidR="00035D3C" w:rsidRPr="00A77FC3">
        <w:rPr>
          <w:rFonts w:eastAsia="Times New Roman" w:cs="Arial"/>
        </w:rPr>
        <w:t>w</w:t>
      </w:r>
      <w:r w:rsidR="008E7B06" w:rsidRPr="00A77FC3">
        <w:rPr>
          <w:rFonts w:eastAsia="Times New Roman" w:cs="Arial"/>
        </w:rPr>
        <w:t>orking through Regional Fisheries Management Organizations (RFMOs) and other relevant organizations</w:t>
      </w:r>
      <w:r w:rsidR="00524197" w:rsidRPr="00A77FC3">
        <w:rPr>
          <w:rFonts w:eastAsia="Times New Roman" w:cs="Arial"/>
        </w:rPr>
        <w:t xml:space="preserve">, </w:t>
      </w:r>
      <w:r w:rsidR="00035D3C" w:rsidRPr="00A77FC3">
        <w:rPr>
          <w:rFonts w:eastAsia="Times New Roman" w:cs="Arial"/>
        </w:rPr>
        <w:t>d</w:t>
      </w:r>
      <w:r w:rsidR="00524197" w:rsidRPr="00A77FC3">
        <w:rPr>
          <w:rFonts w:eastAsia="Times New Roman" w:cs="Arial"/>
        </w:rPr>
        <w:t>evelop</w:t>
      </w:r>
      <w:r w:rsidR="000E0400" w:rsidRPr="00A77FC3">
        <w:rPr>
          <w:rFonts w:eastAsia="Times New Roman" w:cs="Arial"/>
        </w:rPr>
        <w:t>ing</w:t>
      </w:r>
      <w:r w:rsidR="00F7328E" w:rsidRPr="00A77FC3">
        <w:rPr>
          <w:rFonts w:eastAsia="Times New Roman" w:cs="Arial"/>
        </w:rPr>
        <w:t xml:space="preserve"> and us</w:t>
      </w:r>
      <w:r w:rsidR="000E0400" w:rsidRPr="00A77FC3">
        <w:rPr>
          <w:rFonts w:eastAsia="Times New Roman" w:cs="Arial"/>
        </w:rPr>
        <w:t>ing</w:t>
      </w:r>
      <w:r w:rsidR="00F7328E" w:rsidRPr="00A77FC3">
        <w:rPr>
          <w:rFonts w:eastAsia="Times New Roman" w:cs="Arial"/>
        </w:rPr>
        <w:t xml:space="preserve"> more selective fishing</w:t>
      </w:r>
      <w:r w:rsidR="00524197" w:rsidRPr="00A77FC3">
        <w:rPr>
          <w:rFonts w:eastAsia="Times New Roman" w:cs="Arial"/>
        </w:rPr>
        <w:t xml:space="preserve"> gear</w:t>
      </w:r>
      <w:r w:rsidR="00F7328E" w:rsidRPr="00A77FC3">
        <w:rPr>
          <w:rFonts w:eastAsia="Times New Roman" w:cs="Arial"/>
        </w:rPr>
        <w:t>s</w:t>
      </w:r>
      <w:r w:rsidR="00524197" w:rsidRPr="00A77FC3">
        <w:rPr>
          <w:rFonts w:eastAsia="Times New Roman" w:cs="Arial"/>
        </w:rPr>
        <w:t xml:space="preserve">, and </w:t>
      </w:r>
      <w:r w:rsidR="00035D3C" w:rsidRPr="00A77FC3">
        <w:rPr>
          <w:rFonts w:eastAsia="Times New Roman" w:cs="Arial"/>
        </w:rPr>
        <w:t>m</w:t>
      </w:r>
      <w:r w:rsidR="00524197" w:rsidRPr="00A77FC3">
        <w:rPr>
          <w:rFonts w:eastAsia="Times New Roman" w:cs="Arial"/>
        </w:rPr>
        <w:t>aking efforts to combat illegal, unreported and unregulated (IUU) fishing;</w:t>
      </w:r>
    </w:p>
    <w:p w14:paraId="3D42DEC5" w14:textId="77777777" w:rsidR="007C598F" w:rsidRDefault="007C598F" w:rsidP="00065924">
      <w:pPr>
        <w:pStyle w:val="ListParagraph"/>
        <w:widowControl w:val="0"/>
        <w:spacing w:after="0" w:line="240" w:lineRule="auto"/>
        <w:ind w:left="993"/>
        <w:jc w:val="both"/>
      </w:pPr>
    </w:p>
    <w:p w14:paraId="6172E70A" w14:textId="619DE6A5" w:rsidR="006E5484" w:rsidRPr="00217255" w:rsidRDefault="00B0554A" w:rsidP="001F1BAB">
      <w:pPr>
        <w:pStyle w:val="ListParagraph"/>
        <w:numPr>
          <w:ilvl w:val="0"/>
          <w:numId w:val="17"/>
        </w:numPr>
        <w:spacing w:after="0" w:line="240" w:lineRule="auto"/>
        <w:ind w:left="900"/>
        <w:contextualSpacing w:val="0"/>
        <w:jc w:val="both"/>
      </w:pPr>
      <w:r w:rsidRPr="00A77FC3">
        <w:rPr>
          <w:rFonts w:eastAsia="Times New Roman" w:cs="Arial"/>
        </w:rPr>
        <w:t xml:space="preserve">Reduce takes of </w:t>
      </w:r>
      <w:r w:rsidR="00347329" w:rsidRPr="00A77FC3">
        <w:rPr>
          <w:rFonts w:eastAsia="Times New Roman" w:cs="Arial"/>
        </w:rPr>
        <w:t>cetaceans</w:t>
      </w:r>
      <w:r w:rsidRPr="00A77FC3">
        <w:rPr>
          <w:rFonts w:eastAsia="Times New Roman" w:cs="Arial"/>
        </w:rPr>
        <w:t xml:space="preserve"> </w:t>
      </w:r>
      <w:r w:rsidR="00347329" w:rsidRPr="00A77FC3">
        <w:rPr>
          <w:rFonts w:eastAsia="Times New Roman" w:cs="Arial"/>
        </w:rPr>
        <w:t>as aquatic wild meat</w:t>
      </w:r>
      <w:r w:rsidR="000730AC">
        <w:rPr>
          <w:rFonts w:eastAsia="Times New Roman" w:cs="Arial"/>
        </w:rPr>
        <w:t>,</w:t>
      </w:r>
      <w:r w:rsidR="00347329" w:rsidRPr="00A77FC3">
        <w:rPr>
          <w:rFonts w:eastAsia="Times New Roman" w:cs="Arial"/>
        </w:rPr>
        <w:t xml:space="preserve"> </w:t>
      </w:r>
      <w:r w:rsidR="000730AC">
        <w:rPr>
          <w:rFonts w:eastAsia="Times New Roman" w:cs="Arial"/>
        </w:rPr>
        <w:t>i</w:t>
      </w:r>
      <w:r w:rsidR="00FB2FEF" w:rsidRPr="00A77FC3" w:rsidDel="00767EB0">
        <w:rPr>
          <w:rFonts w:eastAsia="Times New Roman" w:cs="Arial"/>
        </w:rPr>
        <w:t>n</w:t>
      </w:r>
      <w:r w:rsidR="00FB2FEF">
        <w:rPr>
          <w:rFonts w:eastAsia="Times New Roman" w:cs="Arial"/>
        </w:rPr>
        <w:t xml:space="preserve"> line with</w:t>
      </w:r>
      <w:r w:rsidR="005D7F9A" w:rsidRPr="00A77FC3" w:rsidDel="00767EB0">
        <w:rPr>
          <w:rFonts w:eastAsia="Times New Roman" w:cs="Arial"/>
        </w:rPr>
        <w:t>,</w:t>
      </w:r>
      <w:r w:rsidR="00FB2FEF">
        <w:rPr>
          <w:rFonts w:eastAsia="Times New Roman" w:cs="Arial"/>
        </w:rPr>
        <w:t xml:space="preserve"> and building on the provisions of Resolution 12.15 </w:t>
      </w:r>
      <w:r w:rsidR="00FB2FEF">
        <w:rPr>
          <w:rFonts w:eastAsia="Times New Roman" w:cs="Arial"/>
          <w:i/>
          <w:iCs/>
        </w:rPr>
        <w:t>Aquatic Wild Meat</w:t>
      </w:r>
      <w:r w:rsidR="00FB2FEF">
        <w:rPr>
          <w:rFonts w:eastAsia="Times New Roman" w:cs="Arial"/>
        </w:rPr>
        <w:t xml:space="preserve"> and Resolution 14.[  ] </w:t>
      </w:r>
      <w:r w:rsidR="00FB2FEF">
        <w:rPr>
          <w:rFonts w:eastAsia="Times New Roman" w:cs="Arial"/>
          <w:i/>
        </w:rPr>
        <w:t>Action Plan to Address Aquatic Wild Meat Harvests in West Africa</w:t>
      </w:r>
      <w:r w:rsidR="000730AC">
        <w:rPr>
          <w:rFonts w:eastAsia="Times New Roman" w:cs="Arial"/>
        </w:rPr>
        <w:t xml:space="preserve">, with specific attention to </w:t>
      </w:r>
      <w:r w:rsidR="00773C0C">
        <w:rPr>
          <w:rFonts w:eastAsia="Times New Roman" w:cs="Arial"/>
        </w:rPr>
        <w:t>c</w:t>
      </w:r>
      <w:r w:rsidR="005A1CBF" w:rsidRPr="00773C0C">
        <w:rPr>
          <w:rFonts w:eastAsia="Times New Roman" w:cs="Arial"/>
        </w:rPr>
        <w:t>onduct</w:t>
      </w:r>
      <w:r w:rsidR="00BB1B64" w:rsidRPr="00773C0C">
        <w:rPr>
          <w:rFonts w:eastAsia="Times New Roman" w:cs="Arial"/>
        </w:rPr>
        <w:t>ing</w:t>
      </w:r>
      <w:r w:rsidR="005A1CBF" w:rsidRPr="00773C0C">
        <w:rPr>
          <w:rFonts w:eastAsia="Times New Roman" w:cs="Arial"/>
        </w:rPr>
        <w:t xml:space="preserve"> regular reviews of the direct takes of all Appendix II-listed cetaceans, overlaid with the other threats faced by these species</w:t>
      </w:r>
      <w:r w:rsidR="00773C0C">
        <w:rPr>
          <w:rFonts w:eastAsia="Times New Roman" w:cs="Arial"/>
        </w:rPr>
        <w:t>, a</w:t>
      </w:r>
      <w:r w:rsidR="00D235DC" w:rsidRPr="00773C0C">
        <w:rPr>
          <w:rFonts w:eastAsia="Times New Roman" w:cs="Arial"/>
        </w:rPr>
        <w:t>ssess</w:t>
      </w:r>
      <w:r w:rsidR="00E36EE2" w:rsidRPr="00773C0C">
        <w:rPr>
          <w:rFonts w:eastAsia="Times New Roman" w:cs="Arial"/>
        </w:rPr>
        <w:t>ing</w:t>
      </w:r>
      <w:r w:rsidR="00D235DC" w:rsidRPr="00773C0C">
        <w:rPr>
          <w:rFonts w:eastAsia="Times New Roman" w:cs="Arial"/>
        </w:rPr>
        <w:t xml:space="preserve"> measures for reducing the takes to ensure the survival of populations, including potential listing on Appendix</w:t>
      </w:r>
      <w:r w:rsidR="005018D1" w:rsidRPr="00773C0C">
        <w:rPr>
          <w:rFonts w:eastAsia="Times New Roman" w:cs="Arial"/>
        </w:rPr>
        <w:t> </w:t>
      </w:r>
      <w:r w:rsidR="00D235DC" w:rsidRPr="00773C0C">
        <w:rPr>
          <w:rFonts w:eastAsia="Times New Roman" w:cs="Arial"/>
        </w:rPr>
        <w:t>I</w:t>
      </w:r>
      <w:r w:rsidR="00773C0C">
        <w:rPr>
          <w:rFonts w:eastAsia="Times New Roman" w:cs="Arial"/>
        </w:rPr>
        <w:t>,</w:t>
      </w:r>
      <w:r w:rsidR="00D235DC" w:rsidRPr="00927104">
        <w:rPr>
          <w:rFonts w:eastAsia="Times New Roman" w:cs="Arial"/>
        </w:rPr>
        <w:t xml:space="preserve"> </w:t>
      </w:r>
      <w:r w:rsidR="00FD4A9B" w:rsidRPr="00927104">
        <w:rPr>
          <w:rFonts w:eastAsia="Times New Roman" w:cs="Arial"/>
        </w:rPr>
        <w:t xml:space="preserve">and </w:t>
      </w:r>
      <w:r w:rsidR="00773C0C">
        <w:rPr>
          <w:rFonts w:eastAsia="Times New Roman" w:cs="Arial"/>
        </w:rPr>
        <w:t>i</w:t>
      </w:r>
      <w:r w:rsidR="000A3D98" w:rsidRPr="00773C0C">
        <w:rPr>
          <w:rFonts w:eastAsia="Times New Roman" w:cs="Arial"/>
        </w:rPr>
        <w:t>mplement</w:t>
      </w:r>
      <w:r w:rsidR="00E36EE2" w:rsidRPr="00773C0C">
        <w:rPr>
          <w:rFonts w:eastAsia="Times New Roman" w:cs="Arial"/>
        </w:rPr>
        <w:t>ing</w:t>
      </w:r>
      <w:r w:rsidR="000A3D98" w:rsidRPr="00773C0C">
        <w:rPr>
          <w:rFonts w:eastAsia="Times New Roman" w:cs="Arial"/>
        </w:rPr>
        <w:t xml:space="preserve"> measures to cease the hunting of all Appendix I-listed cetaceans in line with provisions of CMS Art. III</w:t>
      </w:r>
      <w:r w:rsidR="002B7818">
        <w:rPr>
          <w:rFonts w:eastAsia="Times New Roman" w:cs="Arial"/>
        </w:rPr>
        <w:t>;</w:t>
      </w:r>
    </w:p>
    <w:p w14:paraId="17EB373A" w14:textId="77777777" w:rsidR="006E5484" w:rsidRDefault="006E5484" w:rsidP="001F1BAB">
      <w:pPr>
        <w:pStyle w:val="ListParagraph"/>
        <w:spacing w:after="0" w:line="240" w:lineRule="auto"/>
        <w:contextualSpacing w:val="0"/>
        <w:rPr>
          <w:rFonts w:eastAsia="Times New Roman" w:cs="Arial"/>
        </w:rPr>
      </w:pPr>
    </w:p>
    <w:p w14:paraId="35B279EC" w14:textId="167108B0" w:rsidR="006E5484" w:rsidRDefault="008B5C3C" w:rsidP="001F1BAB">
      <w:pPr>
        <w:pStyle w:val="ListParagraph"/>
        <w:numPr>
          <w:ilvl w:val="0"/>
          <w:numId w:val="17"/>
        </w:numPr>
        <w:spacing w:after="0" w:line="240" w:lineRule="auto"/>
        <w:ind w:left="900"/>
        <w:contextualSpacing w:val="0"/>
        <w:jc w:val="both"/>
      </w:pPr>
      <w:r>
        <w:rPr>
          <w:rFonts w:eastAsia="Times New Roman" w:cs="Arial"/>
        </w:rPr>
        <w:t>Highlight</w:t>
      </w:r>
      <w:r w:rsidR="00FB2FEF">
        <w:rPr>
          <w:rFonts w:eastAsia="Times New Roman" w:cs="Arial"/>
        </w:rPr>
        <w:t xml:space="preserve"> the positive role of cetaceans in climate </w:t>
      </w:r>
      <w:r w:rsidR="00F50E3C" w:rsidRPr="00A77FC3">
        <w:rPr>
          <w:rFonts w:eastAsia="Times New Roman" w:cs="Arial"/>
        </w:rPr>
        <w:t xml:space="preserve">change </w:t>
      </w:r>
      <w:r w:rsidR="00990C61" w:rsidRPr="00A77FC3">
        <w:rPr>
          <w:rFonts w:eastAsia="Times New Roman" w:cs="Arial"/>
        </w:rPr>
        <w:t xml:space="preserve">and biodiversity loss </w:t>
      </w:r>
      <w:r w:rsidR="00FB2FEF">
        <w:rPr>
          <w:rFonts w:eastAsia="Times New Roman" w:cs="Arial"/>
        </w:rPr>
        <w:t>mitigation in their conservation strategies, including by encouraging appropriate research</w:t>
      </w:r>
      <w:r w:rsidR="00990C61" w:rsidRPr="00A77FC3">
        <w:rPr>
          <w:rFonts w:eastAsia="Times New Roman" w:cs="Arial"/>
        </w:rPr>
        <w:t xml:space="preserve"> as suggested in the report of the</w:t>
      </w:r>
      <w:r w:rsidR="00A912BA" w:rsidRPr="00A77FC3">
        <w:rPr>
          <w:rFonts w:eastAsia="Times New Roman" w:cs="Arial"/>
        </w:rPr>
        <w:t xml:space="preserve"> 2021</w:t>
      </w:r>
      <w:r w:rsidR="00990C61" w:rsidRPr="00A77FC3">
        <w:rPr>
          <w:rFonts w:eastAsia="Times New Roman" w:cs="Arial"/>
        </w:rPr>
        <w:t xml:space="preserve"> IWC-CMS Workshop on Cetacean Ecosystem Functioning (SC/68C/REP/03)</w:t>
      </w:r>
      <w:r w:rsidR="00FB2FEF" w:rsidRPr="00A77FC3">
        <w:rPr>
          <w:rFonts w:eastAsia="Times New Roman" w:cs="Arial"/>
        </w:rPr>
        <w:t>;</w:t>
      </w:r>
    </w:p>
    <w:p w14:paraId="55B1874F" w14:textId="0966F2F3" w:rsidR="006E5484" w:rsidRPr="00A55213" w:rsidRDefault="00FB2FEF" w:rsidP="0031773E">
      <w:pPr>
        <w:pStyle w:val="ListParagraph"/>
        <w:numPr>
          <w:ilvl w:val="0"/>
          <w:numId w:val="17"/>
        </w:numPr>
        <w:spacing w:after="0" w:line="240" w:lineRule="auto"/>
        <w:ind w:left="900"/>
        <w:contextualSpacing w:val="0"/>
        <w:jc w:val="both"/>
      </w:pPr>
      <w:r>
        <w:rPr>
          <w:rFonts w:eastAsia="Times New Roman" w:cs="Arial"/>
        </w:rPr>
        <w:lastRenderedPageBreak/>
        <w:t xml:space="preserve">Reduce the threat posed by marine debris, in line with and building on the provisions of Resolution 12.20 </w:t>
      </w:r>
      <w:r>
        <w:rPr>
          <w:rFonts w:eastAsia="Times New Roman" w:cs="Arial"/>
          <w:i/>
          <w:iCs/>
        </w:rPr>
        <w:t>Management of Marine Debris</w:t>
      </w:r>
      <w:r>
        <w:rPr>
          <w:rFonts w:eastAsia="Times New Roman" w:cs="Arial"/>
        </w:rPr>
        <w:t xml:space="preserve">, </w:t>
      </w:r>
      <w:r w:rsidR="00E45CFE" w:rsidRPr="00A77FC3">
        <w:rPr>
          <w:rFonts w:eastAsia="Times New Roman" w:cs="Arial"/>
        </w:rPr>
        <w:t xml:space="preserve">with specific attention to </w:t>
      </w:r>
      <w:r w:rsidR="000E6F5C" w:rsidRPr="00A77FC3">
        <w:rPr>
          <w:rStyle w:val="cf01"/>
          <w:rFonts w:ascii="Arial" w:hAnsi="Arial" w:cs="Arial"/>
          <w:sz w:val="22"/>
          <w:szCs w:val="22"/>
        </w:rPr>
        <w:t>preventin</w:t>
      </w:r>
      <w:r w:rsidR="008A1ED9" w:rsidRPr="00A77FC3">
        <w:rPr>
          <w:rStyle w:val="cf01"/>
          <w:rFonts w:ascii="Arial" w:hAnsi="Arial" w:cs="Arial"/>
          <w:sz w:val="22"/>
          <w:szCs w:val="22"/>
        </w:rPr>
        <w:t>g</w:t>
      </w:r>
      <w:r w:rsidR="000E6F5C" w:rsidRPr="00AF4F85">
        <w:rPr>
          <w:rStyle w:val="cf01"/>
          <w:rFonts w:ascii="Arial" w:hAnsi="Arial" w:cs="Arial"/>
          <w:sz w:val="22"/>
          <w:szCs w:val="22"/>
        </w:rPr>
        <w:t xml:space="preserve"> dumping and gear loss and </w:t>
      </w:r>
      <w:r w:rsidR="008A1ED9" w:rsidRPr="00A77FC3">
        <w:rPr>
          <w:rStyle w:val="cf01"/>
          <w:rFonts w:ascii="Arial" w:hAnsi="Arial" w:cs="Arial"/>
          <w:sz w:val="22"/>
          <w:szCs w:val="22"/>
        </w:rPr>
        <w:t xml:space="preserve">promoting </w:t>
      </w:r>
      <w:r w:rsidR="00364F5A" w:rsidRPr="00A77FC3">
        <w:rPr>
          <w:rFonts w:eastAsia="Times New Roman" w:cs="Arial"/>
        </w:rPr>
        <w:t>full recovery of fishing gear, fish aggregating devices (FADs), and other debris from all fisheries activities</w:t>
      </w:r>
      <w:r w:rsidR="000E6F5C" w:rsidRPr="00A77FC3">
        <w:rPr>
          <w:rFonts w:eastAsia="Times New Roman" w:cs="Arial"/>
        </w:rPr>
        <w:t xml:space="preserve"> </w:t>
      </w:r>
      <w:r w:rsidR="000E6F5C" w:rsidRPr="00A77FC3">
        <w:rPr>
          <w:rStyle w:val="cf01"/>
          <w:rFonts w:ascii="Arial" w:hAnsi="Arial" w:cs="Arial"/>
          <w:sz w:val="22"/>
          <w:szCs w:val="22"/>
        </w:rPr>
        <w:t>in an environmentally sound manner</w:t>
      </w:r>
      <w:r w:rsidR="00AF4F85">
        <w:rPr>
          <w:rFonts w:eastAsia="Times New Roman" w:cs="Arial"/>
        </w:rPr>
        <w:t>,</w:t>
      </w:r>
      <w:r w:rsidR="00364F5A" w:rsidRPr="00A77FC3">
        <w:rPr>
          <w:rFonts w:eastAsia="Times New Roman" w:cs="Arial"/>
        </w:rPr>
        <w:t xml:space="preserve"> </w:t>
      </w:r>
      <w:r w:rsidR="00F64C44" w:rsidRPr="00A77FC3">
        <w:rPr>
          <w:rFonts w:eastAsia="Times New Roman" w:cs="Arial"/>
        </w:rPr>
        <w:t xml:space="preserve">removal of marine debris utilising Best Available Techniques </w:t>
      </w:r>
      <w:r w:rsidR="00ED283F" w:rsidRPr="00A77FC3">
        <w:rPr>
          <w:rFonts w:eastAsia="Times New Roman" w:cs="Arial"/>
        </w:rPr>
        <w:t xml:space="preserve">(BAT) </w:t>
      </w:r>
      <w:r w:rsidR="00F64C44" w:rsidRPr="00A77FC3">
        <w:rPr>
          <w:rFonts w:eastAsia="Times New Roman" w:cs="Arial"/>
        </w:rPr>
        <w:t>and Best Environmental Practice</w:t>
      </w:r>
      <w:r w:rsidR="00ED283F" w:rsidRPr="00A77FC3">
        <w:rPr>
          <w:rFonts w:eastAsia="Times New Roman" w:cs="Arial"/>
        </w:rPr>
        <w:t xml:space="preserve"> (BEP)</w:t>
      </w:r>
      <w:r w:rsidR="007938F9">
        <w:rPr>
          <w:rFonts w:eastAsia="Times New Roman" w:cs="Arial"/>
        </w:rPr>
        <w:t xml:space="preserve">, </w:t>
      </w:r>
      <w:r w:rsidR="00F64C44" w:rsidRPr="00A77FC3">
        <w:rPr>
          <w:rFonts w:eastAsia="Times New Roman" w:cs="Arial"/>
        </w:rPr>
        <w:t>applying the Voluntary Guidelines for the Marking of Fishing Gear developed by FAO</w:t>
      </w:r>
      <w:r w:rsidR="00225973" w:rsidRPr="00A77FC3">
        <w:rPr>
          <w:rFonts w:eastAsia="Times New Roman" w:cs="Arial"/>
        </w:rPr>
        <w:t xml:space="preserve">; and </w:t>
      </w:r>
      <w:r w:rsidR="00D125E3" w:rsidRPr="00A77FC3">
        <w:rPr>
          <w:rFonts w:eastAsia="Times New Roman" w:cs="Arial"/>
        </w:rPr>
        <w:t>developing, implementing and updating national action plans to prevent, reduce and eliminate plastic pollution, and support regional and international cooperation;</w:t>
      </w:r>
    </w:p>
    <w:p w14:paraId="6938C16B" w14:textId="77777777" w:rsidR="006E5484" w:rsidRDefault="006E5484" w:rsidP="001F1BAB">
      <w:pPr>
        <w:widowControl w:val="0"/>
        <w:spacing w:after="0" w:line="240" w:lineRule="auto"/>
        <w:jc w:val="both"/>
        <w:rPr>
          <w:rFonts w:eastAsia="Times New Roman" w:cs="Arial"/>
        </w:rPr>
      </w:pPr>
    </w:p>
    <w:p w14:paraId="5C2BF225" w14:textId="408A104F" w:rsidR="00F2070E" w:rsidRPr="00A77FC3" w:rsidRDefault="00FB2FEF" w:rsidP="00A77FC3">
      <w:pPr>
        <w:pStyle w:val="ListParagraph"/>
        <w:widowControl w:val="0"/>
        <w:numPr>
          <w:ilvl w:val="0"/>
          <w:numId w:val="17"/>
        </w:numPr>
        <w:spacing w:after="0" w:line="240" w:lineRule="auto"/>
        <w:ind w:left="900"/>
        <w:contextualSpacing w:val="0"/>
        <w:jc w:val="both"/>
      </w:pPr>
      <w:r>
        <w:rPr>
          <w:rFonts w:eastAsia="Times New Roman" w:cs="Arial"/>
        </w:rPr>
        <w:t xml:space="preserve">Include the impact of chemical pollution on cetacean health in risk analyses and impact assessments, recognizing the cumulative and synergistic effects of multiple stressors, in line with and building on the provisions of Resolution 07.02 (Rev.COP12) [(Rev.COP14)] </w:t>
      </w:r>
      <w:r>
        <w:rPr>
          <w:rFonts w:eastAsia="Times New Roman" w:cs="Arial"/>
          <w:i/>
          <w:iCs/>
        </w:rPr>
        <w:t>Impact Assessment and Migratory Species</w:t>
      </w:r>
      <w:r>
        <w:rPr>
          <w:rFonts w:eastAsia="Times New Roman" w:cs="Arial"/>
        </w:rPr>
        <w:t xml:space="preserve"> and Resolution 07.03 (Rev.COP12) </w:t>
      </w:r>
      <w:r>
        <w:rPr>
          <w:rFonts w:eastAsia="Times New Roman" w:cs="Arial"/>
          <w:i/>
          <w:iCs/>
        </w:rPr>
        <w:t>Oil Pollution and Migratory Species</w:t>
      </w:r>
      <w:r>
        <w:rPr>
          <w:rFonts w:eastAsia="Times New Roman" w:cs="Arial"/>
        </w:rPr>
        <w:t>;</w:t>
      </w:r>
    </w:p>
    <w:p w14:paraId="36964309" w14:textId="77777777" w:rsidR="00F2070E" w:rsidRPr="00A77FC3" w:rsidRDefault="00F2070E" w:rsidP="00A77FC3">
      <w:pPr>
        <w:pStyle w:val="ListParagraph"/>
        <w:widowControl w:val="0"/>
        <w:spacing w:after="0" w:line="240" w:lineRule="auto"/>
        <w:ind w:left="900"/>
        <w:contextualSpacing w:val="0"/>
        <w:jc w:val="both"/>
      </w:pPr>
    </w:p>
    <w:p w14:paraId="41611644" w14:textId="0BA073F4" w:rsidR="006E5484" w:rsidRPr="00C9261E" w:rsidRDefault="00ED283F" w:rsidP="001F1BAB">
      <w:pPr>
        <w:pStyle w:val="ListParagraph"/>
        <w:widowControl w:val="0"/>
        <w:numPr>
          <w:ilvl w:val="0"/>
          <w:numId w:val="17"/>
        </w:numPr>
        <w:spacing w:after="0" w:line="240" w:lineRule="auto"/>
        <w:ind w:left="900"/>
        <w:contextualSpacing w:val="0"/>
        <w:jc w:val="both"/>
      </w:pPr>
      <w:r w:rsidRPr="00A77FC3">
        <w:rPr>
          <w:rFonts w:eastAsia="Times New Roman" w:cs="Arial"/>
        </w:rPr>
        <w:t>E</w:t>
      </w:r>
      <w:r w:rsidR="00FB2FEF" w:rsidRPr="00A77FC3">
        <w:rPr>
          <w:rFonts w:eastAsia="Times New Roman" w:cs="Arial"/>
        </w:rPr>
        <w:t>ffectively mitigate marine noise impacts</w:t>
      </w:r>
      <w:r w:rsidR="00B13419" w:rsidRPr="00A77FC3">
        <w:rPr>
          <w:rFonts w:eastAsia="Times New Roman" w:cs="Arial"/>
        </w:rPr>
        <w:t>,</w:t>
      </w:r>
      <w:r w:rsidR="00FB2FEF" w:rsidRPr="00A77FC3">
        <w:rPr>
          <w:rFonts w:eastAsia="Times New Roman" w:cs="Arial"/>
        </w:rPr>
        <w:t xml:space="preserve"> </w:t>
      </w:r>
      <w:r w:rsidR="00B13419" w:rsidRPr="00A77FC3">
        <w:rPr>
          <w:rFonts w:eastAsia="Times New Roman" w:cs="Arial"/>
        </w:rPr>
        <w:t>i</w:t>
      </w:r>
      <w:r w:rsidR="0066423B" w:rsidRPr="00A77FC3">
        <w:rPr>
          <w:rFonts w:eastAsia="Times New Roman" w:cs="Arial"/>
        </w:rPr>
        <w:t>n</w:t>
      </w:r>
      <w:r w:rsidR="00FB2FEF">
        <w:rPr>
          <w:rFonts w:eastAsia="Times New Roman" w:cs="Arial"/>
        </w:rPr>
        <w:t xml:space="preserve"> line with the provisions of Resolution 12.14 </w:t>
      </w:r>
      <w:r w:rsidR="00FB2FEF">
        <w:rPr>
          <w:rFonts w:eastAsia="Times New Roman" w:cs="Arial"/>
          <w:i/>
          <w:iCs/>
        </w:rPr>
        <w:t>Adverse Impacts of Anthropogenic Noise on Cetaceans and Other Migratory Species</w:t>
      </w:r>
      <w:r w:rsidR="00FB2FEF">
        <w:rPr>
          <w:rFonts w:eastAsia="Times New Roman" w:cs="Arial"/>
        </w:rPr>
        <w:t xml:space="preserve">, </w:t>
      </w:r>
      <w:r w:rsidR="00595913" w:rsidRPr="00A77FC3">
        <w:rPr>
          <w:rFonts w:eastAsia="Times New Roman" w:cs="Arial"/>
        </w:rPr>
        <w:t xml:space="preserve">with specific attention to </w:t>
      </w:r>
      <w:r w:rsidR="007436FD" w:rsidRPr="00A77FC3">
        <w:rPr>
          <w:rFonts w:eastAsia="Times New Roman" w:cs="Arial"/>
        </w:rPr>
        <w:t xml:space="preserve">applying the </w:t>
      </w:r>
      <w:r w:rsidR="007436FD" w:rsidRPr="00A77FC3">
        <w:rPr>
          <w:rFonts w:eastAsia="Times New Roman" w:cs="Arial"/>
          <w:i/>
          <w:iCs/>
        </w:rPr>
        <w:t>CMS Family Guidelines on Environmental Impact Assessment for Marine Noise Generating Activities</w:t>
      </w:r>
      <w:r w:rsidR="007436FD" w:rsidRPr="00A77FC3">
        <w:rPr>
          <w:rFonts w:eastAsia="Times New Roman" w:cs="Arial"/>
        </w:rPr>
        <w:t xml:space="preserve"> (Annex 1 to Resolution 12.14) for </w:t>
      </w:r>
      <w:r w:rsidR="00190BE6" w:rsidRPr="00A77FC3">
        <w:rPr>
          <w:rFonts w:eastAsia="Times New Roman" w:cs="Arial"/>
        </w:rPr>
        <w:t xml:space="preserve">all marine noise-generating activities, in particular within </w:t>
      </w:r>
      <w:r w:rsidR="00837D35" w:rsidRPr="00A77FC3">
        <w:rPr>
          <w:rFonts w:eastAsia="Times New Roman" w:cs="Arial"/>
        </w:rPr>
        <w:t xml:space="preserve">important </w:t>
      </w:r>
      <w:r w:rsidR="00190BE6" w:rsidRPr="00A77FC3">
        <w:rPr>
          <w:rFonts w:eastAsia="Times New Roman" w:cs="Arial"/>
        </w:rPr>
        <w:t>habitat areas such as MPAs and IMMAs</w:t>
      </w:r>
      <w:r w:rsidR="003B7583" w:rsidRPr="00A77FC3">
        <w:rPr>
          <w:rFonts w:eastAsia="Times New Roman" w:cs="Arial"/>
        </w:rPr>
        <w:t>, and avoiding or minimizing the introduction of potentially harmful impulsive noise within these areas</w:t>
      </w:r>
      <w:r w:rsidR="00FA2839" w:rsidRPr="00A77FC3">
        <w:rPr>
          <w:rFonts w:eastAsia="Times New Roman" w:cs="Arial"/>
        </w:rPr>
        <w:t xml:space="preserve">, </w:t>
      </w:r>
      <w:r w:rsidR="00040CF2" w:rsidRPr="00A77FC3">
        <w:rPr>
          <w:rFonts w:eastAsia="Times New Roman" w:cs="Arial"/>
        </w:rPr>
        <w:t>including noise</w:t>
      </w:r>
      <w:r w:rsidR="001435ED" w:rsidRPr="00A77FC3">
        <w:rPr>
          <w:rFonts w:eastAsia="Times New Roman" w:cs="Arial"/>
        </w:rPr>
        <w:t>-related considerations</w:t>
      </w:r>
      <w:r w:rsidR="00040CF2" w:rsidRPr="00A77FC3">
        <w:rPr>
          <w:rFonts w:eastAsia="Times New Roman" w:cs="Arial"/>
        </w:rPr>
        <w:t xml:space="preserve"> in marine spatial planning procedures</w:t>
      </w:r>
      <w:r w:rsidR="003A4205" w:rsidRPr="00A77FC3">
        <w:rPr>
          <w:rFonts w:eastAsia="Times New Roman" w:cs="Arial"/>
        </w:rPr>
        <w:t xml:space="preserve">, </w:t>
      </w:r>
      <w:r w:rsidR="00A048DC" w:rsidRPr="00A77FC3">
        <w:rPr>
          <w:rFonts w:eastAsia="Times New Roman" w:cs="Arial"/>
        </w:rPr>
        <w:t xml:space="preserve">applying </w:t>
      </w:r>
      <w:r w:rsidR="004E7D67" w:rsidRPr="00A77FC3">
        <w:rPr>
          <w:rFonts w:eastAsia="Times New Roman" w:cs="Arial"/>
        </w:rPr>
        <w:t>BAT</w:t>
      </w:r>
      <w:r w:rsidR="00A048DC" w:rsidRPr="00A77FC3">
        <w:rPr>
          <w:rFonts w:eastAsia="Times New Roman" w:cs="Arial"/>
        </w:rPr>
        <w:t xml:space="preserve"> and B</w:t>
      </w:r>
      <w:r w:rsidR="0070337E" w:rsidRPr="00A77FC3">
        <w:rPr>
          <w:rFonts w:eastAsia="Times New Roman" w:cs="Arial"/>
        </w:rPr>
        <w:t>EP</w:t>
      </w:r>
      <w:r w:rsidR="00A048DC" w:rsidRPr="00A77FC3">
        <w:rPr>
          <w:rFonts w:eastAsia="Times New Roman" w:cs="Arial"/>
        </w:rPr>
        <w:t xml:space="preserve">, </w:t>
      </w:r>
      <w:r w:rsidR="00D639E2" w:rsidRPr="00A77FC3">
        <w:rPr>
          <w:rFonts w:eastAsia="Times New Roman" w:cs="Arial"/>
        </w:rPr>
        <w:t>and promoting the application of vessel speed reductions within the International Maritime Organization (IMO) as an operational measure;</w:t>
      </w:r>
    </w:p>
    <w:p w14:paraId="683CA330" w14:textId="77777777" w:rsidR="006E5484" w:rsidRDefault="006E5484">
      <w:pPr>
        <w:widowControl w:val="0"/>
        <w:spacing w:after="0" w:line="240" w:lineRule="auto"/>
        <w:jc w:val="both"/>
        <w:rPr>
          <w:rFonts w:eastAsia="Times New Roman" w:cs="Arial"/>
        </w:rPr>
      </w:pPr>
    </w:p>
    <w:p w14:paraId="794D571A" w14:textId="2501C6D3" w:rsidR="006E5484" w:rsidRPr="009B62A8" w:rsidRDefault="00FB2FEF" w:rsidP="001F1BAB">
      <w:pPr>
        <w:pStyle w:val="ListParagraph"/>
        <w:widowControl w:val="0"/>
        <w:numPr>
          <w:ilvl w:val="0"/>
          <w:numId w:val="17"/>
        </w:numPr>
        <w:spacing w:after="0" w:line="240" w:lineRule="auto"/>
        <w:ind w:left="900"/>
        <w:contextualSpacing w:val="0"/>
        <w:jc w:val="both"/>
      </w:pPr>
      <w:r>
        <w:rPr>
          <w:rFonts w:eastAsia="Times New Roman" w:cs="Arial"/>
        </w:rPr>
        <w:t xml:space="preserve">Reduce the threat posed by vessel strikes </w:t>
      </w:r>
      <w:r w:rsidR="007439E8" w:rsidRPr="00A77FC3">
        <w:rPr>
          <w:rFonts w:eastAsia="Times New Roman" w:cs="Arial"/>
        </w:rPr>
        <w:t>[</w:t>
      </w:r>
      <w:r>
        <w:rPr>
          <w:rFonts w:eastAsia="Times New Roman" w:cs="Arial"/>
        </w:rPr>
        <w:t xml:space="preserve">in line with the provisions of Resolution 14.[  ] </w:t>
      </w:r>
      <w:r>
        <w:rPr>
          <w:rFonts w:eastAsia="Times New Roman" w:cs="Arial"/>
          <w:i/>
        </w:rPr>
        <w:t>Vessel Strikes</w:t>
      </w:r>
      <w:r w:rsidR="007439E8" w:rsidRPr="00A77FC3">
        <w:rPr>
          <w:rFonts w:eastAsia="Times New Roman" w:cs="Arial"/>
          <w:iCs/>
        </w:rPr>
        <w:t>]</w:t>
      </w:r>
      <w:r w:rsidR="00C36D13" w:rsidRPr="00A77FC3">
        <w:rPr>
          <w:rStyle w:val="CommentReference"/>
        </w:rPr>
        <w:t xml:space="preserve">, </w:t>
      </w:r>
      <w:r w:rsidR="00984E03" w:rsidRPr="00A77FC3">
        <w:rPr>
          <w:rFonts w:eastAsia="Times New Roman" w:cs="Arial"/>
        </w:rPr>
        <w:t>with specific attention to reviewing and implementing, where appropriate, speed reductions as a mitigation measure</w:t>
      </w:r>
      <w:r w:rsidR="00B27A9A" w:rsidRPr="00A77FC3">
        <w:rPr>
          <w:rFonts w:eastAsia="Times New Roman" w:cs="Arial"/>
        </w:rPr>
        <w:t xml:space="preserve"> in </w:t>
      </w:r>
      <w:r w:rsidR="009F7ECD" w:rsidRPr="00A77FC3">
        <w:rPr>
          <w:rFonts w:eastAsia="Times New Roman" w:cs="Arial"/>
        </w:rPr>
        <w:t>areas of co-occurrence of whales and shipping</w:t>
      </w:r>
      <w:r w:rsidR="004B3C55" w:rsidRPr="00A77FC3">
        <w:rPr>
          <w:rFonts w:eastAsia="Times New Roman" w:cs="Arial"/>
        </w:rPr>
        <w:t xml:space="preserve">, and </w:t>
      </w:r>
      <w:r w:rsidR="001D093E" w:rsidRPr="00A77FC3">
        <w:rPr>
          <w:rFonts w:eastAsia="Times New Roman" w:cs="Arial"/>
        </w:rPr>
        <w:t xml:space="preserve">promoting solutions </w:t>
      </w:r>
      <w:r w:rsidR="003A2456" w:rsidRPr="00A77FC3">
        <w:rPr>
          <w:rFonts w:eastAsia="Times New Roman" w:cs="Arial"/>
        </w:rPr>
        <w:t xml:space="preserve">through the IMO </w:t>
      </w:r>
      <w:r w:rsidR="001D093E" w:rsidRPr="00A77FC3">
        <w:rPr>
          <w:rFonts w:eastAsia="Times New Roman" w:cs="Arial"/>
        </w:rPr>
        <w:t>through the modification of shipping lanes and/or the adoption of speed limits, where warranted, supporting the declaration of Particularly Sensitive Sea Areas (PSSAs) in areas of special importance for cetaceans, and encouraging the shipping sector to adopt voluntary measures</w:t>
      </w:r>
      <w:r w:rsidR="00465F72" w:rsidRPr="00A77FC3">
        <w:rPr>
          <w:rFonts w:eastAsia="Times New Roman" w:cs="Arial"/>
        </w:rPr>
        <w:t xml:space="preserve"> strikes</w:t>
      </w:r>
      <w:r w:rsidR="003A2456" w:rsidRPr="00A77FC3">
        <w:rPr>
          <w:rFonts w:eastAsia="Times New Roman" w:cs="Arial"/>
        </w:rPr>
        <w:t>;</w:t>
      </w:r>
    </w:p>
    <w:p w14:paraId="19DB175C" w14:textId="77777777" w:rsidR="006E5484" w:rsidRDefault="006E5484" w:rsidP="0031773E">
      <w:pPr>
        <w:widowControl w:val="0"/>
        <w:spacing w:after="0" w:line="240" w:lineRule="auto"/>
        <w:ind w:left="1260" w:hanging="360"/>
        <w:jc w:val="both"/>
        <w:rPr>
          <w:rFonts w:eastAsia="Times New Roman" w:cs="Arial"/>
        </w:rPr>
      </w:pPr>
    </w:p>
    <w:p w14:paraId="051BDC3F" w14:textId="22DC3DAB" w:rsidR="006E5484" w:rsidRDefault="00507CCA" w:rsidP="001F1BAB">
      <w:pPr>
        <w:pStyle w:val="ListParagraph"/>
        <w:widowControl w:val="0"/>
        <w:numPr>
          <w:ilvl w:val="0"/>
          <w:numId w:val="17"/>
        </w:numPr>
        <w:spacing w:after="0" w:line="240" w:lineRule="auto"/>
        <w:ind w:left="900"/>
        <w:contextualSpacing w:val="0"/>
        <w:jc w:val="both"/>
      </w:pPr>
      <w:r w:rsidRPr="00A77FC3">
        <w:rPr>
          <w:rFonts w:eastAsia="Times New Roman" w:cs="Arial"/>
        </w:rPr>
        <w:t>D</w:t>
      </w:r>
      <w:r w:rsidR="00FB2FEF" w:rsidRPr="00A77FC3">
        <w:rPr>
          <w:rFonts w:eastAsia="Times New Roman" w:cs="Arial"/>
        </w:rPr>
        <w:t>evelop</w:t>
      </w:r>
      <w:r w:rsidR="00FB2FEF">
        <w:rPr>
          <w:rFonts w:eastAsia="Times New Roman" w:cs="Arial"/>
        </w:rPr>
        <w:t xml:space="preserve"> and implement national legislation, as appropriate, prohibiting the live capture of cetaceans from the wild for commercial purposes, and consider taking stricter measures in line with CITES Article XIV with regard to the import and international transit of live cetaceans for commercial purposes that have been captured in the wild</w:t>
      </w:r>
      <w:r w:rsidR="003E61C7" w:rsidRPr="00A77FC3">
        <w:rPr>
          <w:rFonts w:eastAsia="Times New Roman" w:cs="Arial"/>
        </w:rPr>
        <w:t xml:space="preserve">, in line with the provisions of Resolution 11.22 (Rev.COP12) </w:t>
      </w:r>
      <w:r w:rsidR="003E61C7" w:rsidRPr="00A77FC3">
        <w:rPr>
          <w:rFonts w:eastAsia="Times New Roman" w:cs="Arial"/>
          <w:i/>
          <w:iCs/>
        </w:rPr>
        <w:t>Live Capture of Cetaceans from the Wild for Commercial Purposes</w:t>
      </w:r>
      <w:r w:rsidR="00FB2FEF">
        <w:rPr>
          <w:rFonts w:eastAsia="Times New Roman" w:cs="Arial"/>
        </w:rPr>
        <w:t>;</w:t>
      </w:r>
    </w:p>
    <w:p w14:paraId="18DD1CBA" w14:textId="77777777" w:rsidR="006E5484" w:rsidRDefault="006E5484" w:rsidP="001F1BAB">
      <w:pPr>
        <w:pStyle w:val="ListParagraph"/>
        <w:widowControl w:val="0"/>
        <w:spacing w:after="0" w:line="240" w:lineRule="auto"/>
        <w:ind w:left="900" w:hanging="360"/>
        <w:contextualSpacing w:val="0"/>
        <w:jc w:val="both"/>
        <w:rPr>
          <w:rFonts w:eastAsia="Times New Roman" w:cs="Arial"/>
        </w:rPr>
      </w:pPr>
    </w:p>
    <w:p w14:paraId="75A3DC1E" w14:textId="763691E0" w:rsidR="006E5484" w:rsidRPr="001A5B0E" w:rsidRDefault="00FB2FEF" w:rsidP="001F1BAB">
      <w:pPr>
        <w:pStyle w:val="ListParagraph"/>
        <w:widowControl w:val="0"/>
        <w:numPr>
          <w:ilvl w:val="0"/>
          <w:numId w:val="17"/>
        </w:numPr>
        <w:spacing w:after="0" w:line="240" w:lineRule="auto"/>
        <w:ind w:left="900"/>
        <w:contextualSpacing w:val="0"/>
        <w:jc w:val="both"/>
      </w:pPr>
      <w:r>
        <w:rPr>
          <w:rFonts w:eastAsia="Times New Roman" w:cs="Arial"/>
        </w:rPr>
        <w:t xml:space="preserve">Reduce disturbance and harassment from tourist or recreational activities, in line with the provisions of Resolution 11.29 (Rev.COP12) </w:t>
      </w:r>
      <w:r>
        <w:rPr>
          <w:rFonts w:eastAsia="Times New Roman" w:cs="Arial"/>
          <w:i/>
          <w:iCs/>
        </w:rPr>
        <w:t>Sustainable Boat-based Marine Wildlife Watching</w:t>
      </w:r>
      <w:r>
        <w:rPr>
          <w:rFonts w:eastAsia="Times New Roman" w:cs="Arial"/>
        </w:rPr>
        <w:t xml:space="preserve">, Resolution 12.16 [Rev.COP14] </w:t>
      </w:r>
      <w:r>
        <w:rPr>
          <w:rFonts w:eastAsia="Times New Roman" w:cs="Arial"/>
          <w:i/>
          <w:iCs/>
        </w:rPr>
        <w:t xml:space="preserve">Recreational In-Water Interaction with Aquatic </w:t>
      </w:r>
      <w:r w:rsidR="003B5FBB">
        <w:rPr>
          <w:rFonts w:eastAsia="Times New Roman" w:cs="Arial"/>
          <w:i/>
          <w:iCs/>
        </w:rPr>
        <w:t>[Wildlife]</w:t>
      </w:r>
      <w:r>
        <w:rPr>
          <w:rFonts w:eastAsia="Times New Roman" w:cs="Arial"/>
        </w:rPr>
        <w:t xml:space="preserve"> and Resolution 12.23 </w:t>
      </w:r>
      <w:r>
        <w:rPr>
          <w:rFonts w:eastAsia="Times New Roman" w:cs="Arial"/>
          <w:i/>
          <w:iCs/>
        </w:rPr>
        <w:t>Sustainable Tourism and Migratory Species</w:t>
      </w:r>
      <w:r>
        <w:rPr>
          <w:rFonts w:eastAsia="Times New Roman" w:cs="Arial"/>
        </w:rPr>
        <w:t xml:space="preserve">, </w:t>
      </w:r>
      <w:r w:rsidR="00351075" w:rsidRPr="00A77FC3">
        <w:rPr>
          <w:rFonts w:eastAsia="Times New Roman" w:cs="Arial"/>
        </w:rPr>
        <w:t xml:space="preserve">as well as the </w:t>
      </w:r>
      <w:r w:rsidR="00D9235A" w:rsidRPr="00A77FC3">
        <w:rPr>
          <w:rFonts w:eastAsia="Times New Roman" w:cs="Arial"/>
        </w:rPr>
        <w:t>joint IWC-CMS Online Whale Watching Handbook</w:t>
      </w:r>
      <w:r w:rsidR="00BE2890" w:rsidRPr="00A77FC3">
        <w:rPr>
          <w:rFonts w:eastAsia="Times New Roman" w:cs="Arial"/>
        </w:rPr>
        <w:t>,</w:t>
      </w:r>
      <w:r w:rsidR="004408F5" w:rsidRPr="00A77FC3">
        <w:rPr>
          <w:rFonts w:eastAsia="Times New Roman" w:cs="Arial"/>
        </w:rPr>
        <w:t xml:space="preserve"> with specific attention to controlling the size of the boat-based wildlife watching fleet and regulat</w:t>
      </w:r>
      <w:r w:rsidR="00590963" w:rsidRPr="00A77FC3">
        <w:rPr>
          <w:rFonts w:eastAsia="Times New Roman" w:cs="Arial"/>
        </w:rPr>
        <w:t>ing</w:t>
      </w:r>
      <w:r w:rsidR="004408F5" w:rsidRPr="00A77FC3">
        <w:rPr>
          <w:rFonts w:eastAsia="Times New Roman" w:cs="Arial"/>
        </w:rPr>
        <w:t xml:space="preserve"> all boat-based and in-water activities that interact with cetaceans</w:t>
      </w:r>
      <w:r w:rsidR="00590963" w:rsidRPr="00A77FC3">
        <w:rPr>
          <w:rFonts w:eastAsia="Times New Roman" w:cs="Arial"/>
        </w:rPr>
        <w:t>,</w:t>
      </w:r>
      <w:r w:rsidR="004408F5" w:rsidRPr="00A77FC3">
        <w:rPr>
          <w:rFonts w:eastAsia="Times New Roman" w:cs="Arial"/>
        </w:rPr>
        <w:t xml:space="preserve"> </w:t>
      </w:r>
      <w:r w:rsidR="00817FAF" w:rsidRPr="00A77FC3">
        <w:rPr>
          <w:rFonts w:eastAsia="Times New Roman" w:cs="Arial"/>
        </w:rPr>
        <w:t>to ensur</w:t>
      </w:r>
      <w:r w:rsidR="00782D6F">
        <w:rPr>
          <w:rFonts w:eastAsia="Times New Roman" w:cs="Arial"/>
        </w:rPr>
        <w:t>e</w:t>
      </w:r>
      <w:r w:rsidR="00817FAF" w:rsidRPr="00A77FC3">
        <w:rPr>
          <w:rFonts w:eastAsia="Times New Roman" w:cs="Arial"/>
        </w:rPr>
        <w:t xml:space="preserve"> that these activities do not have negative effects on the long-term </w:t>
      </w:r>
      <w:r w:rsidR="00990C61" w:rsidRPr="00A77FC3">
        <w:rPr>
          <w:rFonts w:eastAsia="Times New Roman" w:cs="Arial"/>
        </w:rPr>
        <w:t xml:space="preserve">health and </w:t>
      </w:r>
      <w:r w:rsidR="00817FAF" w:rsidRPr="00A77FC3">
        <w:rPr>
          <w:rFonts w:eastAsia="Times New Roman" w:cs="Arial"/>
        </w:rPr>
        <w:t>survival of populations and habitats and have minimal impact on the behaviour of the exposed animals</w:t>
      </w:r>
      <w:r w:rsidR="0016505F" w:rsidRPr="00A77FC3">
        <w:rPr>
          <w:rFonts w:eastAsia="Times New Roman" w:cs="Arial"/>
        </w:rPr>
        <w:t>;</w:t>
      </w:r>
    </w:p>
    <w:p w14:paraId="1634A541" w14:textId="1ACF065C" w:rsidR="00A33092" w:rsidRDefault="00A33092">
      <w:pPr>
        <w:widowControl w:val="0"/>
        <w:spacing w:after="0" w:line="240" w:lineRule="auto"/>
        <w:ind w:left="567"/>
        <w:jc w:val="both"/>
        <w:rPr>
          <w:rFonts w:eastAsia="Times New Roman" w:cs="Arial"/>
        </w:rPr>
      </w:pPr>
      <w:r>
        <w:rPr>
          <w:rFonts w:eastAsia="Times New Roman" w:cs="Arial"/>
        </w:rPr>
        <w:br w:type="page"/>
      </w:r>
    </w:p>
    <w:p w14:paraId="7CB45A72" w14:textId="20F77662" w:rsidR="006E5484" w:rsidRPr="00070E42" w:rsidRDefault="00CA4ACE" w:rsidP="001F1BAB">
      <w:pPr>
        <w:pStyle w:val="ListParagraph"/>
        <w:widowControl w:val="0"/>
        <w:numPr>
          <w:ilvl w:val="0"/>
          <w:numId w:val="17"/>
        </w:numPr>
        <w:spacing w:after="0" w:line="240" w:lineRule="auto"/>
        <w:ind w:left="900"/>
        <w:contextualSpacing w:val="0"/>
        <w:jc w:val="both"/>
      </w:pPr>
      <w:r w:rsidRPr="00A77FC3">
        <w:rPr>
          <w:rFonts w:eastAsia="Times New Roman" w:cs="Arial"/>
        </w:rPr>
        <w:lastRenderedPageBreak/>
        <w:t>Increase understanding of</w:t>
      </w:r>
      <w:r w:rsidR="00FB2FEF" w:rsidRPr="00A77FC3">
        <w:rPr>
          <w:rFonts w:eastAsia="Times New Roman" w:cs="Arial"/>
        </w:rPr>
        <w:t xml:space="preserve"> the impact of disease by</w:t>
      </w:r>
      <w:r w:rsidRPr="00A77FC3">
        <w:rPr>
          <w:rFonts w:eastAsia="Times New Roman" w:cs="Arial"/>
        </w:rPr>
        <w:t xml:space="preserve"> </w:t>
      </w:r>
      <w:r w:rsidR="000C236C" w:rsidRPr="00A77FC3">
        <w:rPr>
          <w:rFonts w:eastAsia="Times New Roman" w:cs="Arial"/>
        </w:rPr>
        <w:t xml:space="preserve">preparing for and investigating mortality events in </w:t>
      </w:r>
      <w:r w:rsidR="00116964" w:rsidRPr="00A77FC3">
        <w:rPr>
          <w:rFonts w:eastAsia="Times New Roman" w:cs="Arial"/>
        </w:rPr>
        <w:t>cetacean</w:t>
      </w:r>
      <w:r w:rsidR="000C236C" w:rsidRPr="00A77FC3">
        <w:rPr>
          <w:rFonts w:eastAsia="Times New Roman" w:cs="Arial"/>
        </w:rPr>
        <w:t xml:space="preserve"> populations, and supporting functional and fully funded stranding networks to respond to stranding events and obtain standardized and harmonized data which can be used for conservation purposes;</w:t>
      </w:r>
    </w:p>
    <w:p w14:paraId="682391BD" w14:textId="77777777" w:rsidR="006E5484" w:rsidRDefault="006E5484" w:rsidP="0031773E">
      <w:pPr>
        <w:widowControl w:val="0"/>
        <w:spacing w:after="0" w:line="240" w:lineRule="auto"/>
        <w:ind w:left="1260" w:hanging="360"/>
        <w:jc w:val="both"/>
        <w:rPr>
          <w:rFonts w:eastAsia="Times New Roman" w:cs="Arial"/>
        </w:rPr>
      </w:pPr>
    </w:p>
    <w:p w14:paraId="379AEC15" w14:textId="28EC5164" w:rsidR="006E5484" w:rsidRDefault="00FB2FEF" w:rsidP="001F1BAB">
      <w:pPr>
        <w:pStyle w:val="ListParagraph"/>
        <w:widowControl w:val="0"/>
        <w:numPr>
          <w:ilvl w:val="0"/>
          <w:numId w:val="17"/>
        </w:numPr>
        <w:spacing w:after="0" w:line="240" w:lineRule="auto"/>
        <w:ind w:left="900"/>
        <w:contextualSpacing w:val="0"/>
        <w:jc w:val="both"/>
      </w:pPr>
      <w:r>
        <w:rPr>
          <w:rFonts w:eastAsia="Times New Roman" w:cs="Arial"/>
        </w:rPr>
        <w:t>Apply the precautionary principle with respect to deep-sea mining by prioritizing research to investigate impacts of deep-sea mining and pausing the transition to exploitation</w:t>
      </w:r>
      <w:r w:rsidR="007E44ED" w:rsidRPr="00A77FC3">
        <w:rPr>
          <w:rFonts w:eastAsia="Times New Roman" w:cs="Arial"/>
        </w:rPr>
        <w:t xml:space="preserve"> [</w:t>
      </w:r>
      <w:r w:rsidR="007E44ED">
        <w:rPr>
          <w:rFonts w:eastAsia="Times New Roman" w:cs="Arial"/>
        </w:rPr>
        <w:t xml:space="preserve">, </w:t>
      </w:r>
      <w:r w:rsidR="007E44ED" w:rsidRPr="00A77FC3">
        <w:rPr>
          <w:rFonts w:eastAsia="Times New Roman" w:cs="Arial"/>
        </w:rPr>
        <w:t xml:space="preserve">in line with the provisions of Resolution 14.[  ] </w:t>
      </w:r>
      <w:r w:rsidR="007E44ED" w:rsidRPr="00A77FC3">
        <w:rPr>
          <w:rFonts w:eastAsia="Times New Roman" w:cs="Arial"/>
          <w:i/>
          <w:iCs/>
        </w:rPr>
        <w:t>Deep-Sea Mining</w:t>
      </w:r>
      <w:r w:rsidR="007E44ED" w:rsidRPr="00A77FC3">
        <w:rPr>
          <w:rFonts w:eastAsia="Times New Roman" w:cs="Arial"/>
        </w:rPr>
        <w:t>]</w:t>
      </w:r>
      <w:r w:rsidRPr="00A77FC3">
        <w:rPr>
          <w:rFonts w:eastAsia="Times New Roman" w:cs="Arial"/>
        </w:rPr>
        <w:t>;</w:t>
      </w:r>
    </w:p>
    <w:p w14:paraId="4D5FB519" w14:textId="77777777" w:rsidR="006E5484" w:rsidRDefault="006E5484" w:rsidP="001F1BAB">
      <w:pPr>
        <w:pStyle w:val="ListParagraph"/>
        <w:widowControl w:val="0"/>
        <w:spacing w:after="0" w:line="240" w:lineRule="auto"/>
        <w:ind w:left="567"/>
        <w:contextualSpacing w:val="0"/>
        <w:jc w:val="both"/>
        <w:rPr>
          <w:rFonts w:eastAsia="Times New Roman" w:cs="Arial"/>
        </w:rPr>
      </w:pPr>
    </w:p>
    <w:p w14:paraId="6BB36742" w14:textId="77777777" w:rsidR="006E5484" w:rsidRDefault="00FB2FEF">
      <w:pPr>
        <w:widowControl w:val="0"/>
        <w:numPr>
          <w:ilvl w:val="0"/>
          <w:numId w:val="7"/>
        </w:numPr>
        <w:spacing w:after="0" w:line="240" w:lineRule="auto"/>
        <w:ind w:left="567" w:hanging="567"/>
        <w:jc w:val="both"/>
      </w:pPr>
      <w:r>
        <w:rPr>
          <w:rFonts w:eastAsia="Times New Roman" w:cs="Arial"/>
          <w:i/>
          <w:iCs/>
        </w:rPr>
        <w:t>Further urges</w:t>
      </w:r>
      <w:r>
        <w:rPr>
          <w:rFonts w:eastAsia="Times New Roman" w:cs="Arial"/>
        </w:rPr>
        <w:t xml:space="preserve"> Parties to:</w:t>
      </w:r>
    </w:p>
    <w:p w14:paraId="5C8D2D63" w14:textId="77777777" w:rsidR="006E5484" w:rsidRDefault="006E5484">
      <w:pPr>
        <w:widowControl w:val="0"/>
        <w:spacing w:after="0" w:line="240" w:lineRule="auto"/>
        <w:jc w:val="both"/>
        <w:rPr>
          <w:rFonts w:eastAsia="Times New Roman" w:cs="Arial"/>
        </w:rPr>
      </w:pPr>
    </w:p>
    <w:p w14:paraId="2F1303B6" w14:textId="1C91EE36" w:rsidR="006E5484" w:rsidRDefault="00FB2FEF" w:rsidP="001F1BAB">
      <w:pPr>
        <w:pStyle w:val="ListParagraph"/>
        <w:widowControl w:val="0"/>
        <w:numPr>
          <w:ilvl w:val="0"/>
          <w:numId w:val="18"/>
        </w:numPr>
        <w:spacing w:after="0" w:line="240" w:lineRule="auto"/>
        <w:ind w:left="900"/>
        <w:contextualSpacing w:val="0"/>
        <w:jc w:val="both"/>
      </w:pPr>
      <w:bookmarkStart w:id="4" w:name="_Hlk135665669"/>
      <w:r>
        <w:rPr>
          <w:rFonts w:eastAsia="Times New Roman" w:cs="Arial"/>
        </w:rPr>
        <w:t xml:space="preserve">Establish processes for </w:t>
      </w:r>
      <w:r w:rsidRPr="00A77FC3">
        <w:rPr>
          <w:rFonts w:eastAsia="Times New Roman" w:cs="Arial"/>
        </w:rPr>
        <w:t xml:space="preserve">involvement </w:t>
      </w:r>
      <w:r w:rsidR="00F8104B" w:rsidRPr="00A77FC3">
        <w:rPr>
          <w:rFonts w:eastAsia="Times New Roman" w:cs="Arial"/>
        </w:rPr>
        <w:t xml:space="preserve">of </w:t>
      </w:r>
      <w:r w:rsidRPr="001F1BAB">
        <w:rPr>
          <w:lang w:val="en-AU"/>
        </w:rPr>
        <w:t xml:space="preserve">indigenous </w:t>
      </w:r>
      <w:r w:rsidR="00F8104B" w:rsidRPr="00A77FC3">
        <w:rPr>
          <w:rFonts w:eastAsia="Times New Roman" w:cs="Arial"/>
          <w:lang w:val="en-AU"/>
        </w:rPr>
        <w:t>peoples and local communities (IPLCs)</w:t>
      </w:r>
      <w:r w:rsidRPr="001F1BAB">
        <w:rPr>
          <w:lang w:val="en-AU"/>
        </w:rPr>
        <w:t xml:space="preserve"> </w:t>
      </w:r>
      <w:r>
        <w:rPr>
          <w:rFonts w:eastAsia="Times New Roman" w:cs="Arial"/>
        </w:rPr>
        <w:t xml:space="preserve">with cetacean-related activities and decisions, as well as within national jurisdictions, as and where appropriate, in line with the provisions of Resolution 11.10 (Rev.COP13) </w:t>
      </w:r>
      <w:r>
        <w:rPr>
          <w:rFonts w:eastAsia="Times New Roman" w:cs="Arial"/>
          <w:i/>
          <w:iCs/>
        </w:rPr>
        <w:t>Synergies and Partnerships</w:t>
      </w:r>
      <w:r>
        <w:rPr>
          <w:rFonts w:eastAsia="Times New Roman" w:cs="Arial"/>
        </w:rPr>
        <w:t>;</w:t>
      </w:r>
      <w:bookmarkEnd w:id="4"/>
    </w:p>
    <w:p w14:paraId="0782214E" w14:textId="77777777" w:rsidR="006E5484" w:rsidRDefault="006E5484" w:rsidP="001F1BAB">
      <w:pPr>
        <w:pStyle w:val="ListParagraph"/>
        <w:widowControl w:val="0"/>
        <w:spacing w:after="0" w:line="240" w:lineRule="auto"/>
        <w:ind w:left="900" w:hanging="360"/>
        <w:contextualSpacing w:val="0"/>
        <w:jc w:val="both"/>
        <w:rPr>
          <w:rFonts w:eastAsia="Times New Roman" w:cs="Arial"/>
        </w:rPr>
      </w:pPr>
    </w:p>
    <w:p w14:paraId="26446C0E" w14:textId="77777777" w:rsidR="006E5484" w:rsidRDefault="00FB2FEF" w:rsidP="001F1BAB">
      <w:pPr>
        <w:pStyle w:val="ListParagraph"/>
        <w:widowControl w:val="0"/>
        <w:numPr>
          <w:ilvl w:val="0"/>
          <w:numId w:val="18"/>
        </w:numPr>
        <w:spacing w:after="0" w:line="240" w:lineRule="auto"/>
        <w:ind w:left="900"/>
        <w:contextualSpacing w:val="0"/>
        <w:jc w:val="both"/>
      </w:pPr>
      <w:r>
        <w:rPr>
          <w:rFonts w:eastAsia="Times New Roman" w:cs="Arial"/>
        </w:rPr>
        <w:t>Protect and restore habitats required by CMS-listed cetaceans throughout their life cycles and migratory ranges;</w:t>
      </w:r>
    </w:p>
    <w:p w14:paraId="29F209D6" w14:textId="77777777" w:rsidR="006E5484" w:rsidRDefault="006E5484" w:rsidP="001F1BAB">
      <w:pPr>
        <w:pStyle w:val="ListParagraph"/>
        <w:spacing w:after="0" w:line="240" w:lineRule="auto"/>
        <w:ind w:left="900" w:hanging="360"/>
        <w:contextualSpacing w:val="0"/>
        <w:rPr>
          <w:rFonts w:eastAsia="Times New Roman" w:cs="Arial"/>
        </w:rPr>
      </w:pPr>
    </w:p>
    <w:p w14:paraId="45702BC9" w14:textId="6CEA290C" w:rsidR="006E5484" w:rsidRDefault="002440B3" w:rsidP="001F1BAB">
      <w:pPr>
        <w:pStyle w:val="ListParagraph"/>
        <w:widowControl w:val="0"/>
        <w:numPr>
          <w:ilvl w:val="0"/>
          <w:numId w:val="18"/>
        </w:numPr>
        <w:spacing w:after="0" w:line="240" w:lineRule="auto"/>
        <w:ind w:left="900"/>
        <w:contextualSpacing w:val="0"/>
        <w:jc w:val="both"/>
      </w:pPr>
      <w:r>
        <w:rPr>
          <w:rFonts w:eastAsia="Times New Roman" w:cs="Arial"/>
        </w:rPr>
        <w:t>U</w:t>
      </w:r>
      <w:r w:rsidRPr="00A77FC3">
        <w:rPr>
          <w:rFonts w:eastAsia="Times New Roman" w:cs="Arial"/>
        </w:rPr>
        <w:t>tilise</w:t>
      </w:r>
      <w:r w:rsidR="00FB2FEF">
        <w:rPr>
          <w:rFonts w:eastAsia="Times New Roman" w:cs="Arial"/>
        </w:rPr>
        <w:t xml:space="preserve"> the IMMAs database as a key resource for considering </w:t>
      </w:r>
      <w:r w:rsidRPr="00A77FC3">
        <w:rPr>
          <w:rFonts w:eastAsia="Times New Roman" w:cs="Arial"/>
        </w:rPr>
        <w:t xml:space="preserve">the protection of </w:t>
      </w:r>
      <w:r w:rsidR="00FB2FEF">
        <w:rPr>
          <w:rFonts w:eastAsia="Times New Roman" w:cs="Arial"/>
        </w:rPr>
        <w:t>habitats of critical importance for CMS-listed cetaceans</w:t>
      </w:r>
      <w:r w:rsidR="00A92915">
        <w:rPr>
          <w:rFonts w:eastAsia="Times New Roman" w:cs="Arial"/>
        </w:rPr>
        <w:t>, i</w:t>
      </w:r>
      <w:r w:rsidR="00FB2FEF" w:rsidRPr="00A77FC3">
        <w:rPr>
          <w:rFonts w:eastAsia="Times New Roman" w:cs="Arial"/>
        </w:rPr>
        <w:t xml:space="preserve">n line with and building on the provisions of Resolution 12.13 </w:t>
      </w:r>
      <w:r w:rsidR="00FB2FEF" w:rsidRPr="00A77FC3">
        <w:rPr>
          <w:rFonts w:eastAsia="Times New Roman" w:cs="Arial"/>
          <w:i/>
          <w:iCs/>
        </w:rPr>
        <w:t>Important Marine Mammal Areas</w:t>
      </w:r>
      <w:r w:rsidR="00FB2FEF" w:rsidRPr="00A77FC3">
        <w:rPr>
          <w:rFonts w:eastAsia="Times New Roman" w:cs="Arial"/>
        </w:rPr>
        <w:t xml:space="preserve"> (IMMAs);</w:t>
      </w:r>
    </w:p>
    <w:p w14:paraId="7B4C9E13" w14:textId="77777777" w:rsidR="006E5484" w:rsidRDefault="006E5484" w:rsidP="001F1BAB">
      <w:pPr>
        <w:pStyle w:val="ListParagraph"/>
        <w:spacing w:after="0" w:line="240" w:lineRule="auto"/>
        <w:ind w:left="900" w:hanging="360"/>
        <w:contextualSpacing w:val="0"/>
        <w:rPr>
          <w:rFonts w:eastAsia="Times New Roman" w:cs="Arial"/>
        </w:rPr>
      </w:pPr>
    </w:p>
    <w:p w14:paraId="455939DC" w14:textId="0D002BFB" w:rsidR="006E5484" w:rsidRDefault="00FB2FEF" w:rsidP="001F1BAB">
      <w:pPr>
        <w:pStyle w:val="ListParagraph"/>
        <w:widowControl w:val="0"/>
        <w:numPr>
          <w:ilvl w:val="0"/>
          <w:numId w:val="18"/>
        </w:numPr>
        <w:spacing w:after="0" w:line="240" w:lineRule="auto"/>
        <w:ind w:left="900"/>
        <w:contextualSpacing w:val="0"/>
        <w:jc w:val="both"/>
      </w:pPr>
      <w:r>
        <w:rPr>
          <w:rFonts w:eastAsia="Times New Roman" w:cs="Arial"/>
        </w:rPr>
        <w:t xml:space="preserve">When identifying areas of importance to cetaceans, </w:t>
      </w:r>
      <w:proofErr w:type="gramStart"/>
      <w:r>
        <w:rPr>
          <w:rFonts w:eastAsia="Times New Roman" w:cs="Arial"/>
        </w:rPr>
        <w:t>take into account</w:t>
      </w:r>
      <w:proofErr w:type="gramEnd"/>
      <w:r>
        <w:rPr>
          <w:rFonts w:eastAsia="Times New Roman" w:cs="Arial"/>
        </w:rPr>
        <w:t xml:space="preserve"> the relationship between those areas and other areas which may be ecologically linked to them, for example as connecting corridors, or as breeding areas related to non-breeding areas, stopover sites, feeding and resting places</w:t>
      </w:r>
      <w:r w:rsidR="00B7276C" w:rsidRPr="00A77FC3">
        <w:rPr>
          <w:rFonts w:eastAsia="Times New Roman" w:cs="Arial"/>
        </w:rPr>
        <w:t xml:space="preserve">, in line with the provisions of Resolution 12.07 (Rev.COP13) </w:t>
      </w:r>
      <w:r w:rsidR="00B7276C" w:rsidRPr="00A77FC3">
        <w:rPr>
          <w:rFonts w:eastAsia="Times New Roman" w:cs="Arial"/>
          <w:i/>
          <w:iCs/>
        </w:rPr>
        <w:t>The Role of Ecological Networks in the Conservation of Migratory Species</w:t>
      </w:r>
      <w:r>
        <w:rPr>
          <w:rFonts w:eastAsia="Times New Roman" w:cs="Arial"/>
        </w:rPr>
        <w:t>;</w:t>
      </w:r>
    </w:p>
    <w:p w14:paraId="0B0D899D" w14:textId="77777777" w:rsidR="006E5484" w:rsidRDefault="006E5484" w:rsidP="001F1BAB">
      <w:pPr>
        <w:pStyle w:val="ListParagraph"/>
        <w:spacing w:after="0" w:line="240" w:lineRule="auto"/>
        <w:ind w:left="900" w:hanging="360"/>
        <w:contextualSpacing w:val="0"/>
        <w:rPr>
          <w:rFonts w:eastAsia="Times New Roman" w:cs="Arial"/>
        </w:rPr>
      </w:pPr>
    </w:p>
    <w:p w14:paraId="2164F399" w14:textId="5AA3EBD6" w:rsidR="006E5484" w:rsidRDefault="00FB2FEF" w:rsidP="001F1BAB">
      <w:pPr>
        <w:pStyle w:val="ListParagraph"/>
        <w:widowControl w:val="0"/>
        <w:numPr>
          <w:ilvl w:val="0"/>
          <w:numId w:val="18"/>
        </w:numPr>
        <w:spacing w:after="0" w:line="240" w:lineRule="auto"/>
        <w:ind w:left="900"/>
        <w:contextualSpacing w:val="0"/>
        <w:jc w:val="both"/>
      </w:pPr>
      <w:r>
        <w:rPr>
          <w:rFonts w:eastAsia="Times New Roman" w:cs="Arial"/>
        </w:rPr>
        <w:t>Use information on the growing understanding of the conservation implications of animal culture and social complexity</w:t>
      </w:r>
      <w:r w:rsidR="00A92915" w:rsidRPr="00A92915">
        <w:rPr>
          <w:rFonts w:eastAsia="Times New Roman" w:cs="Arial"/>
        </w:rPr>
        <w:t xml:space="preserve"> </w:t>
      </w:r>
      <w:r w:rsidR="00A92915" w:rsidRPr="00A77FC3">
        <w:rPr>
          <w:rFonts w:eastAsia="Times New Roman" w:cs="Arial"/>
        </w:rPr>
        <w:t>in an effort to augment existing conservation efforts using insights on aspects of sociality</w:t>
      </w:r>
      <w:r>
        <w:rPr>
          <w:rFonts w:eastAsia="Times New Roman" w:cs="Arial"/>
        </w:rPr>
        <w:t xml:space="preserve">, in line with the provisions of Resolution 11.23 (Rev.COP12) </w:t>
      </w:r>
      <w:r>
        <w:rPr>
          <w:rFonts w:eastAsia="Times New Roman" w:cs="Arial"/>
          <w:i/>
          <w:iCs/>
        </w:rPr>
        <w:t>Conservation Implications of Animal Culture and Social Complexity</w:t>
      </w:r>
      <w:r w:rsidR="00A92915">
        <w:rPr>
          <w:rFonts w:eastAsia="Times New Roman" w:cs="Arial"/>
        </w:rPr>
        <w:t>;</w:t>
      </w:r>
    </w:p>
    <w:p w14:paraId="38E20AD3" w14:textId="77777777" w:rsidR="006E5484" w:rsidRDefault="006E5484">
      <w:pPr>
        <w:widowControl w:val="0"/>
        <w:spacing w:after="0" w:line="240" w:lineRule="auto"/>
        <w:jc w:val="both"/>
        <w:rPr>
          <w:rFonts w:eastAsia="Times New Roman" w:cs="Arial"/>
        </w:rPr>
      </w:pPr>
    </w:p>
    <w:p w14:paraId="2F76137B" w14:textId="0740B1B2" w:rsidR="006E5484" w:rsidRDefault="00FB2FEF">
      <w:pPr>
        <w:widowControl w:val="0"/>
        <w:numPr>
          <w:ilvl w:val="0"/>
          <w:numId w:val="7"/>
        </w:numPr>
        <w:spacing w:after="0" w:line="240" w:lineRule="auto"/>
        <w:ind w:left="567" w:hanging="567"/>
        <w:jc w:val="both"/>
      </w:pPr>
      <w:r>
        <w:rPr>
          <w:rFonts w:eastAsia="Times New Roman" w:cs="Arial"/>
          <w:i/>
          <w:iCs/>
        </w:rPr>
        <w:t>Requests</w:t>
      </w:r>
      <w:r>
        <w:rPr>
          <w:rFonts w:eastAsia="Times New Roman" w:cs="Arial"/>
          <w:i/>
        </w:rPr>
        <w:t xml:space="preserve"> </w:t>
      </w:r>
      <w:r>
        <w:rPr>
          <w:rFonts w:eastAsia="Times New Roman" w:cs="Arial"/>
          <w:iCs/>
        </w:rPr>
        <w:t xml:space="preserve">the Scientific Council and the Secretariat to continue and increase </w:t>
      </w:r>
      <w:r w:rsidR="00FA3CDA">
        <w:rPr>
          <w:rFonts w:eastAsia="Times New Roman" w:cs="Arial"/>
          <w:iCs/>
        </w:rPr>
        <w:t xml:space="preserve">collaborative </w:t>
      </w:r>
      <w:r>
        <w:rPr>
          <w:rFonts w:eastAsia="Times New Roman" w:cs="Arial"/>
          <w:iCs/>
        </w:rPr>
        <w:t>efforts with other relevant international fora</w:t>
      </w:r>
      <w:r w:rsidRPr="00A77FC3">
        <w:rPr>
          <w:rFonts w:eastAsia="Times New Roman" w:cs="Arial"/>
          <w:iCs/>
        </w:rPr>
        <w:t xml:space="preserve">, </w:t>
      </w:r>
      <w:r w:rsidR="00094E2B" w:rsidRPr="00A77FC3">
        <w:rPr>
          <w:rFonts w:eastAsia="Times New Roman" w:cs="Arial"/>
          <w:iCs/>
        </w:rPr>
        <w:t xml:space="preserve">including </w:t>
      </w:r>
      <w:r w:rsidR="00D60E4F" w:rsidRPr="00A77FC3">
        <w:rPr>
          <w:rFonts w:eastAsia="Times New Roman" w:cs="Arial"/>
          <w:iCs/>
        </w:rPr>
        <w:t xml:space="preserve">the International Whaling Commission and its Scientific and Conservation Committees and </w:t>
      </w:r>
      <w:r w:rsidR="00094E2B" w:rsidRPr="00A77FC3">
        <w:rPr>
          <w:rFonts w:eastAsia="Times New Roman" w:cs="Arial"/>
          <w:iCs/>
        </w:rPr>
        <w:t xml:space="preserve">the </w:t>
      </w:r>
      <w:r w:rsidR="00D60E4F" w:rsidRPr="00A77FC3">
        <w:t>IUCN Species Survival Commission Cetacean Specialist Group</w:t>
      </w:r>
      <w:r>
        <w:rPr>
          <w:rFonts w:eastAsia="Times New Roman" w:cs="Arial"/>
          <w:iCs/>
        </w:rPr>
        <w:t xml:space="preserve">, with a view to avoiding duplication, increasing </w:t>
      </w:r>
      <w:proofErr w:type="gramStart"/>
      <w:r>
        <w:rPr>
          <w:rFonts w:eastAsia="Times New Roman" w:cs="Arial"/>
          <w:iCs/>
        </w:rPr>
        <w:t>synergies</w:t>
      </w:r>
      <w:proofErr w:type="gramEnd"/>
      <w:r>
        <w:rPr>
          <w:rFonts w:eastAsia="Times New Roman" w:cs="Arial"/>
          <w:iCs/>
        </w:rPr>
        <w:t xml:space="preserve"> and raising the profile of CMS and its cetacean-related agreements in these fora</w:t>
      </w:r>
      <w:r>
        <w:rPr>
          <w:rFonts w:eastAsia="Times New Roman" w:cs="Arial"/>
        </w:rPr>
        <w:t xml:space="preserve">; </w:t>
      </w:r>
    </w:p>
    <w:p w14:paraId="5FD62960" w14:textId="77777777" w:rsidR="006E5484" w:rsidRDefault="006E5484">
      <w:pPr>
        <w:widowControl w:val="0"/>
        <w:spacing w:after="0" w:line="240" w:lineRule="auto"/>
        <w:ind w:left="567" w:hanging="567"/>
        <w:rPr>
          <w:rFonts w:eastAsia="Times New Roman" w:cs="Arial"/>
        </w:rPr>
      </w:pPr>
    </w:p>
    <w:p w14:paraId="6F7D2897" w14:textId="5C984EDB" w:rsidR="006E5484" w:rsidRDefault="00FB2FEF" w:rsidP="001F1BAB">
      <w:pPr>
        <w:pStyle w:val="ListParagraph"/>
        <w:widowControl w:val="0"/>
        <w:numPr>
          <w:ilvl w:val="0"/>
          <w:numId w:val="7"/>
        </w:numPr>
        <w:spacing w:after="0" w:line="240" w:lineRule="auto"/>
        <w:ind w:left="567" w:hanging="567"/>
        <w:contextualSpacing w:val="0"/>
        <w:jc w:val="both"/>
      </w:pPr>
      <w:r>
        <w:rPr>
          <w:rFonts w:eastAsia="MS Mincho" w:cs="Arial"/>
          <w:i/>
          <w:iCs/>
          <w:color w:val="000000"/>
          <w:szCs w:val="24"/>
        </w:rPr>
        <w:t>Requests</w:t>
      </w:r>
      <w:r>
        <w:rPr>
          <w:rFonts w:eastAsia="MS Mincho" w:cs="Arial"/>
          <w:color w:val="000000"/>
          <w:szCs w:val="24"/>
        </w:rPr>
        <w:t xml:space="preserve"> the Scientific Council to continue supporting </w:t>
      </w:r>
      <w:r w:rsidR="005E30C1">
        <w:rPr>
          <w:rFonts w:eastAsia="MS Mincho" w:cs="Arial"/>
          <w:color w:val="000000"/>
          <w:szCs w:val="24"/>
        </w:rPr>
        <w:t>its</w:t>
      </w:r>
      <w:r>
        <w:rPr>
          <w:rFonts w:eastAsia="MS Mincho" w:cs="Arial"/>
          <w:color w:val="000000"/>
          <w:szCs w:val="24"/>
        </w:rPr>
        <w:t xml:space="preserve"> Aquatic Mammals Working Group chaired by the COP-</w:t>
      </w:r>
      <w:r w:rsidR="00866251">
        <w:rPr>
          <w:rFonts w:eastAsia="MS Mincho" w:cs="Arial"/>
          <w:color w:val="000000"/>
          <w:szCs w:val="24"/>
        </w:rPr>
        <w:t>a</w:t>
      </w:r>
      <w:r>
        <w:rPr>
          <w:rFonts w:eastAsia="MS Mincho" w:cs="Arial"/>
          <w:color w:val="000000"/>
          <w:szCs w:val="24"/>
        </w:rPr>
        <w:t>ppointed Councillor for Aquatic Mammals, and e</w:t>
      </w:r>
      <w:r>
        <w:rPr>
          <w:rFonts w:eastAsia="MS Mincho" w:cs="Arial"/>
          <w:i/>
          <w:iCs/>
          <w:color w:val="000000"/>
          <w:szCs w:val="24"/>
        </w:rPr>
        <w:t>ncourages</w:t>
      </w:r>
      <w:r>
        <w:rPr>
          <w:rFonts w:eastAsia="MS Mincho" w:cs="Arial"/>
          <w:color w:val="000000"/>
          <w:szCs w:val="24"/>
        </w:rPr>
        <w:t xml:space="preserve"> participation of other Scientific Councillors, representatives of the scientific or advisory bodies of other CMS aquatic mammal agreements</w:t>
      </w:r>
      <w:r w:rsidR="00866251">
        <w:rPr>
          <w:rFonts w:eastAsia="MS Mincho" w:cs="Arial"/>
          <w:color w:val="000000"/>
          <w:szCs w:val="24"/>
        </w:rPr>
        <w:t>,</w:t>
      </w:r>
      <w:r>
        <w:rPr>
          <w:rFonts w:eastAsia="MS Mincho" w:cs="Arial"/>
          <w:color w:val="000000"/>
          <w:szCs w:val="24"/>
        </w:rPr>
        <w:t xml:space="preserve"> and other relevant experts;</w:t>
      </w:r>
    </w:p>
    <w:p w14:paraId="2F8B08FD" w14:textId="77777777" w:rsidR="006E5484" w:rsidRDefault="006E5484" w:rsidP="001F1BAB">
      <w:pPr>
        <w:pStyle w:val="ListParagraph"/>
        <w:spacing w:after="0" w:line="240" w:lineRule="auto"/>
        <w:contextualSpacing w:val="0"/>
        <w:rPr>
          <w:rFonts w:eastAsia="MS Mincho" w:cs="Arial"/>
          <w:color w:val="000000"/>
          <w:szCs w:val="24"/>
        </w:rPr>
      </w:pPr>
    </w:p>
    <w:p w14:paraId="03E4AD8D" w14:textId="77777777" w:rsidR="006E5484" w:rsidRDefault="00FB2FEF" w:rsidP="001F1BAB">
      <w:pPr>
        <w:pStyle w:val="ListParagraph"/>
        <w:widowControl w:val="0"/>
        <w:numPr>
          <w:ilvl w:val="0"/>
          <w:numId w:val="7"/>
        </w:numPr>
        <w:spacing w:after="0" w:line="240" w:lineRule="auto"/>
        <w:ind w:left="567" w:hanging="567"/>
        <w:contextualSpacing w:val="0"/>
        <w:jc w:val="both"/>
      </w:pPr>
      <w:r>
        <w:rPr>
          <w:rFonts w:eastAsia="MS Mincho" w:cs="Arial"/>
          <w:i/>
          <w:iCs/>
          <w:color w:val="000000"/>
          <w:szCs w:val="24"/>
        </w:rPr>
        <w:t>Repeals</w:t>
      </w:r>
      <w:r>
        <w:rPr>
          <w:rFonts w:eastAsia="MS Mincho" w:cs="Arial"/>
          <w:color w:val="000000"/>
          <w:szCs w:val="24"/>
        </w:rPr>
        <w:t xml:space="preserve"> Resolution 10.15 (Rev.COP12) </w:t>
      </w:r>
      <w:r>
        <w:rPr>
          <w:rFonts w:eastAsia="MS Mincho" w:cs="Arial"/>
          <w:i/>
          <w:iCs/>
          <w:color w:val="000000"/>
          <w:szCs w:val="24"/>
        </w:rPr>
        <w:t>Global Programme of Work for Cetaceans</w:t>
      </w:r>
      <w:r>
        <w:rPr>
          <w:rFonts w:eastAsia="MS Mincho" w:cs="Arial"/>
          <w:color w:val="000000"/>
          <w:szCs w:val="24"/>
        </w:rPr>
        <w:t>.</w:t>
      </w:r>
    </w:p>
    <w:p w14:paraId="76E2B351" w14:textId="77777777" w:rsidR="006E5484" w:rsidRDefault="006E5484" w:rsidP="001F1BAB">
      <w:pPr>
        <w:pStyle w:val="ListParagraph"/>
        <w:spacing w:after="0" w:line="240" w:lineRule="auto"/>
        <w:contextualSpacing w:val="0"/>
        <w:rPr>
          <w:rFonts w:eastAsia="MS Mincho" w:cs="Arial"/>
          <w:color w:val="000000"/>
          <w:szCs w:val="24"/>
        </w:rPr>
      </w:pPr>
    </w:p>
    <w:p w14:paraId="720613FF" w14:textId="77777777" w:rsidR="006E5484" w:rsidRDefault="006E5484">
      <w:pPr>
        <w:pStyle w:val="Secondnumbering"/>
        <w:numPr>
          <w:ilvl w:val="0"/>
          <w:numId w:val="0"/>
        </w:numPr>
        <w:ind w:left="360" w:hanging="360"/>
        <w:sectPr w:rsidR="006E5484" w:rsidSect="0031773E">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20" w:footer="720" w:gutter="0"/>
          <w:cols w:space="720"/>
          <w:formProt w:val="0"/>
          <w:titlePg/>
          <w:docGrid w:linePitch="360" w:charSpace="4096"/>
        </w:sectPr>
      </w:pPr>
    </w:p>
    <w:p w14:paraId="6E3A1B4A" w14:textId="77777777" w:rsidR="006E5484" w:rsidRDefault="00FB2FEF">
      <w:pPr>
        <w:spacing w:after="0" w:line="240" w:lineRule="auto"/>
        <w:jc w:val="right"/>
      </w:pPr>
      <w:r>
        <w:rPr>
          <w:rFonts w:cs="Arial"/>
          <w:b/>
          <w:caps/>
        </w:rPr>
        <w:lastRenderedPageBreak/>
        <w:t>Annex 3</w:t>
      </w:r>
    </w:p>
    <w:p w14:paraId="4635D740" w14:textId="77777777" w:rsidR="006E5484" w:rsidRDefault="006E5484">
      <w:pPr>
        <w:spacing w:after="0" w:line="240" w:lineRule="auto"/>
        <w:rPr>
          <w:rFonts w:cs="Arial"/>
        </w:rPr>
      </w:pPr>
    </w:p>
    <w:p w14:paraId="1A8F8559" w14:textId="1DE68230" w:rsidR="006E5484" w:rsidRDefault="00FB2FEF">
      <w:pPr>
        <w:spacing w:after="0" w:line="240" w:lineRule="auto"/>
        <w:jc w:val="center"/>
      </w:pPr>
      <w:r>
        <w:rPr>
          <w:rFonts w:cs="Arial"/>
        </w:rPr>
        <w:t xml:space="preserve">DRAFT DECISIONS </w:t>
      </w:r>
    </w:p>
    <w:p w14:paraId="0EFB6BAC" w14:textId="77777777" w:rsidR="006E5484" w:rsidRDefault="006E5484">
      <w:pPr>
        <w:spacing w:after="0" w:line="240" w:lineRule="auto"/>
        <w:jc w:val="center"/>
        <w:rPr>
          <w:rFonts w:cs="Arial"/>
        </w:rPr>
      </w:pPr>
    </w:p>
    <w:p w14:paraId="5E5E4BC5" w14:textId="77777777" w:rsidR="006E5484" w:rsidRDefault="00FB2FEF">
      <w:pPr>
        <w:pBdr>
          <w:top w:val="single" w:sz="6" w:space="0" w:color="FFFFFF"/>
          <w:left w:val="single" w:sz="6" w:space="0" w:color="FFFFFF"/>
          <w:bottom w:val="single" w:sz="6" w:space="0" w:color="FFFFFF"/>
          <w:right w:val="single" w:sz="6" w:space="0" w:color="FFFFFF"/>
        </w:pBdr>
        <w:spacing w:after="0" w:line="240" w:lineRule="auto"/>
        <w:jc w:val="center"/>
        <w:outlineLvl w:val="1"/>
      </w:pPr>
      <w:r>
        <w:rPr>
          <w:rFonts w:cs="Arial"/>
          <w:b/>
          <w:caps/>
        </w:rPr>
        <w:t>Conservation priorities for cetaceans</w:t>
      </w:r>
    </w:p>
    <w:p w14:paraId="628DBDCC" w14:textId="77777777" w:rsidR="006E5484" w:rsidRDefault="006E5484">
      <w:pPr>
        <w:spacing w:after="0" w:line="240" w:lineRule="auto"/>
        <w:jc w:val="both"/>
        <w:rPr>
          <w:rFonts w:cs="Arial"/>
          <w:i/>
        </w:rPr>
      </w:pPr>
    </w:p>
    <w:p w14:paraId="72B73743" w14:textId="77777777" w:rsidR="006E5484" w:rsidRDefault="006E5484">
      <w:pPr>
        <w:spacing w:after="0" w:line="240" w:lineRule="auto"/>
        <w:jc w:val="both"/>
        <w:rPr>
          <w:rFonts w:cs="Arial"/>
        </w:rPr>
      </w:pPr>
    </w:p>
    <w:p w14:paraId="79D004B7" w14:textId="77777777" w:rsidR="006E5484" w:rsidRDefault="00FB2FEF">
      <w:pPr>
        <w:spacing w:after="0" w:line="240" w:lineRule="auto"/>
        <w:jc w:val="both"/>
      </w:pPr>
      <w:r>
        <w:rPr>
          <w:rFonts w:cs="Arial"/>
          <w:b/>
          <w:i/>
        </w:rPr>
        <w:t xml:space="preserve">Directed to Parties </w:t>
      </w:r>
    </w:p>
    <w:p w14:paraId="3C51D897" w14:textId="77777777" w:rsidR="006E5484" w:rsidRDefault="006E5484">
      <w:pPr>
        <w:spacing w:after="0" w:line="240" w:lineRule="auto"/>
        <w:jc w:val="both"/>
        <w:rPr>
          <w:rFonts w:cs="Arial"/>
        </w:rPr>
      </w:pPr>
    </w:p>
    <w:p w14:paraId="2AEEF94A" w14:textId="77777777" w:rsidR="006E5484" w:rsidRDefault="00FB2FEF" w:rsidP="001D3B79">
      <w:pPr>
        <w:spacing w:after="0" w:line="240" w:lineRule="auto"/>
        <w:ind w:left="720" w:hanging="720"/>
        <w:jc w:val="both"/>
      </w:pPr>
      <w:r>
        <w:rPr>
          <w:rFonts w:cs="Arial"/>
        </w:rPr>
        <w:t>14.AA</w:t>
      </w:r>
      <w:r>
        <w:rPr>
          <w:rFonts w:cs="Arial"/>
        </w:rPr>
        <w:tab/>
      </w:r>
      <w:r>
        <w:rPr>
          <w:rFonts w:cs="Arial"/>
          <w:iCs/>
        </w:rPr>
        <w:t>Parties are requested to:</w:t>
      </w:r>
    </w:p>
    <w:p w14:paraId="2CDE5CF5" w14:textId="77777777" w:rsidR="006E5484" w:rsidRDefault="006E5484">
      <w:pPr>
        <w:spacing w:after="0" w:line="240" w:lineRule="auto"/>
        <w:ind w:left="720" w:hanging="720"/>
        <w:jc w:val="both"/>
        <w:rPr>
          <w:rFonts w:cs="Arial"/>
          <w:iCs/>
        </w:rPr>
      </w:pPr>
    </w:p>
    <w:p w14:paraId="69A0EB02" w14:textId="5F949B4C" w:rsidR="006E5484" w:rsidRDefault="00FB2FEF" w:rsidP="001D3B79">
      <w:pPr>
        <w:widowControl w:val="0"/>
        <w:numPr>
          <w:ilvl w:val="0"/>
          <w:numId w:val="28"/>
        </w:numPr>
        <w:spacing w:after="0" w:line="240" w:lineRule="auto"/>
        <w:ind w:left="1080"/>
        <w:jc w:val="both"/>
      </w:pPr>
      <w:r>
        <w:rPr>
          <w:rFonts w:cs="Arial"/>
          <w:iCs/>
        </w:rPr>
        <w:t>Review the regional priorities for cetacean conservation identified in Annex 2 of UNEP/CMS/COP14/Inf.</w:t>
      </w:r>
      <w:r w:rsidR="004F0B8C" w:rsidRPr="009E7D9F">
        <w:rPr>
          <w:rFonts w:cs="Arial"/>
        </w:rPr>
        <w:t>27.5.1a</w:t>
      </w:r>
      <w:r w:rsidR="004F0B8C">
        <w:rPr>
          <w:rFonts w:cs="Arial"/>
        </w:rPr>
        <w:t xml:space="preserve"> </w:t>
      </w:r>
      <w:r>
        <w:rPr>
          <w:rFonts w:cs="Arial"/>
          <w:iCs/>
        </w:rPr>
        <w:t xml:space="preserve">for their region as well as the detailed recommendations outlined for each of the priority threats </w:t>
      </w:r>
      <w:r w:rsidR="003851CA">
        <w:rPr>
          <w:rFonts w:cs="Arial"/>
          <w:iCs/>
        </w:rPr>
        <w:t xml:space="preserve">in Resolution 14.[  ] </w:t>
      </w:r>
      <w:r w:rsidR="001D036E" w:rsidRPr="001D036E">
        <w:rPr>
          <w:rFonts w:cs="Arial"/>
          <w:i/>
        </w:rPr>
        <w:t>Conservation Priorities for Cetaceans</w:t>
      </w:r>
      <w:r w:rsidR="001D036E">
        <w:rPr>
          <w:rFonts w:cs="Arial"/>
          <w:iCs/>
        </w:rPr>
        <w:t xml:space="preserve"> </w:t>
      </w:r>
      <w:r>
        <w:rPr>
          <w:rFonts w:cs="Arial"/>
          <w:iCs/>
        </w:rPr>
        <w:t>and address those of highest urgency, where appropriate coordinating with other countries of the region;</w:t>
      </w:r>
    </w:p>
    <w:p w14:paraId="5D649AEB" w14:textId="77777777" w:rsidR="006E5484" w:rsidRDefault="006E5484" w:rsidP="001D3B79">
      <w:pPr>
        <w:widowControl w:val="0"/>
        <w:spacing w:after="0" w:line="240" w:lineRule="auto"/>
        <w:ind w:left="1080" w:hanging="360"/>
        <w:jc w:val="both"/>
        <w:rPr>
          <w:rFonts w:cs="Arial"/>
          <w:iCs/>
        </w:rPr>
      </w:pPr>
    </w:p>
    <w:p w14:paraId="7798187D" w14:textId="2F1D32B2" w:rsidR="006E5484" w:rsidRDefault="00FB2FEF" w:rsidP="001D3B79">
      <w:pPr>
        <w:widowControl w:val="0"/>
        <w:numPr>
          <w:ilvl w:val="0"/>
          <w:numId w:val="8"/>
        </w:numPr>
        <w:spacing w:after="0" w:line="240" w:lineRule="auto"/>
        <w:ind w:left="1080"/>
        <w:jc w:val="both"/>
      </w:pPr>
      <w:r>
        <w:rPr>
          <w:rFonts w:cs="Arial"/>
          <w:iCs/>
        </w:rPr>
        <w:t xml:space="preserve">Report on progress through </w:t>
      </w:r>
      <w:r w:rsidRPr="00A77FC3">
        <w:rPr>
          <w:rFonts w:cs="Arial"/>
          <w:iCs/>
        </w:rPr>
        <w:t>the</w:t>
      </w:r>
      <w:r w:rsidR="00BC7A49" w:rsidRPr="00A77FC3">
        <w:rPr>
          <w:rFonts w:cs="Arial"/>
          <w:iCs/>
        </w:rPr>
        <w:t>ir</w:t>
      </w:r>
      <w:r>
        <w:rPr>
          <w:rFonts w:cs="Arial"/>
          <w:iCs/>
        </w:rPr>
        <w:t xml:space="preserve"> National Reports;</w:t>
      </w:r>
    </w:p>
    <w:p w14:paraId="20F05B90" w14:textId="77777777" w:rsidR="006E5484" w:rsidRDefault="006E5484" w:rsidP="001D3B79">
      <w:pPr>
        <w:spacing w:after="0" w:line="240" w:lineRule="auto"/>
        <w:ind w:left="1080" w:hanging="360"/>
        <w:jc w:val="both"/>
        <w:rPr>
          <w:rFonts w:cs="Arial"/>
          <w:iCs/>
        </w:rPr>
      </w:pPr>
    </w:p>
    <w:p w14:paraId="3FF5695F" w14:textId="2EB7C7BD" w:rsidR="006E5484" w:rsidRDefault="3E608B91" w:rsidP="001D3B79">
      <w:pPr>
        <w:widowControl w:val="0"/>
        <w:numPr>
          <w:ilvl w:val="0"/>
          <w:numId w:val="8"/>
        </w:numPr>
        <w:spacing w:after="0" w:line="240" w:lineRule="auto"/>
        <w:ind w:left="1080"/>
        <w:jc w:val="both"/>
      </w:pPr>
      <w:r w:rsidRPr="00A77FC3">
        <w:rPr>
          <w:rFonts w:cs="Arial"/>
        </w:rPr>
        <w:t>Where possible, p</w:t>
      </w:r>
      <w:r w:rsidR="304530FA" w:rsidRPr="00A77FC3">
        <w:rPr>
          <w:rFonts w:cs="Arial"/>
        </w:rPr>
        <w:t>rovide</w:t>
      </w:r>
      <w:r w:rsidR="00FB2FEF">
        <w:rPr>
          <w:rFonts w:cs="Arial"/>
          <w:iCs/>
        </w:rPr>
        <w:t xml:space="preserve"> technical and capacity-building support to other Parties as required to facilitate knowledge sharing and effective collaboration</w:t>
      </w:r>
      <w:r w:rsidR="00082151" w:rsidRPr="00A77FC3">
        <w:rPr>
          <w:rFonts w:cs="Arial"/>
          <w:iCs/>
        </w:rPr>
        <w:t>.</w:t>
      </w:r>
    </w:p>
    <w:p w14:paraId="2C0B32A9" w14:textId="77777777" w:rsidR="00034901" w:rsidRPr="00A77FC3" w:rsidRDefault="00034901" w:rsidP="00A77FC3">
      <w:pPr>
        <w:pStyle w:val="ListParagraph"/>
        <w:spacing w:after="0" w:line="240" w:lineRule="auto"/>
        <w:contextualSpacing w:val="0"/>
      </w:pPr>
    </w:p>
    <w:p w14:paraId="11A2C278" w14:textId="31E1E556" w:rsidR="00034901" w:rsidRPr="00A77FC3" w:rsidRDefault="00034901" w:rsidP="00A77FC3">
      <w:pPr>
        <w:widowControl w:val="0"/>
        <w:spacing w:after="0" w:line="240" w:lineRule="auto"/>
        <w:jc w:val="both"/>
      </w:pPr>
      <w:r w:rsidRPr="00A77FC3">
        <w:t>14.</w:t>
      </w:r>
      <w:r w:rsidR="00207490" w:rsidRPr="00A77FC3">
        <w:t>BB</w:t>
      </w:r>
      <w:r w:rsidR="003734C5">
        <w:tab/>
      </w:r>
      <w:r w:rsidRPr="00A77FC3">
        <w:t>Parties are encouraged to:</w:t>
      </w:r>
    </w:p>
    <w:p w14:paraId="44D834FB" w14:textId="77777777" w:rsidR="006E5484" w:rsidRDefault="006E5484" w:rsidP="001D3B79">
      <w:pPr>
        <w:widowControl w:val="0"/>
        <w:spacing w:after="0" w:line="240" w:lineRule="auto"/>
        <w:ind w:left="1080" w:hanging="360"/>
        <w:jc w:val="both"/>
        <w:rPr>
          <w:rFonts w:cs="Arial"/>
          <w:iCs/>
        </w:rPr>
      </w:pPr>
    </w:p>
    <w:p w14:paraId="4994791A" w14:textId="5B765BB3" w:rsidR="00935DC8" w:rsidRPr="00935DC8" w:rsidRDefault="00B4531B" w:rsidP="00935DC8">
      <w:pPr>
        <w:widowControl w:val="0"/>
        <w:numPr>
          <w:ilvl w:val="0"/>
          <w:numId w:val="33"/>
        </w:numPr>
        <w:spacing w:after="0" w:line="240" w:lineRule="auto"/>
        <w:ind w:left="1080"/>
        <w:jc w:val="both"/>
      </w:pPr>
      <w:r>
        <w:t>E</w:t>
      </w:r>
      <w:r w:rsidRPr="00A77FC3">
        <w:rPr>
          <w:rFonts w:cs="Arial"/>
        </w:rPr>
        <w:t>ngage in</w:t>
      </w:r>
      <w:r w:rsidRPr="00A77FC3">
        <w:rPr>
          <w:rFonts w:cs="Arial"/>
          <w:iCs/>
        </w:rPr>
        <w:t xml:space="preserve"> the</w:t>
      </w:r>
      <w:r w:rsidR="00862FAC">
        <w:rPr>
          <w:rFonts w:cs="Arial"/>
          <w:iCs/>
        </w:rPr>
        <w:t xml:space="preserve"> negotiation process to</w:t>
      </w:r>
      <w:r w:rsidR="00CC0A05">
        <w:rPr>
          <w:rFonts w:cs="Arial"/>
          <w:iCs/>
        </w:rPr>
        <w:t xml:space="preserve"> develop</w:t>
      </w:r>
      <w:r w:rsidR="00FB2FEF">
        <w:rPr>
          <w:rFonts w:cs="Arial"/>
          <w:iCs/>
        </w:rPr>
        <w:t xml:space="preserve"> an international </w:t>
      </w:r>
      <w:proofErr w:type="gramStart"/>
      <w:r w:rsidR="00FB2FEF">
        <w:rPr>
          <w:rFonts w:cs="Arial"/>
          <w:iCs/>
        </w:rPr>
        <w:t>legally-binding</w:t>
      </w:r>
      <w:proofErr w:type="gramEnd"/>
      <w:r w:rsidR="00FB2FEF">
        <w:rPr>
          <w:rFonts w:cs="Arial"/>
          <w:iCs/>
        </w:rPr>
        <w:t xml:space="preserve"> instrument to end plastic pollution</w:t>
      </w:r>
    </w:p>
    <w:p w14:paraId="50A95B6C" w14:textId="77777777" w:rsidR="00935DC8" w:rsidRPr="00935DC8" w:rsidRDefault="00935DC8" w:rsidP="00935DC8">
      <w:pPr>
        <w:widowControl w:val="0"/>
        <w:spacing w:after="0" w:line="240" w:lineRule="auto"/>
        <w:ind w:left="1080"/>
        <w:jc w:val="both"/>
      </w:pPr>
    </w:p>
    <w:p w14:paraId="3575685C" w14:textId="66A8CB26" w:rsidR="006E5484" w:rsidRDefault="00704385" w:rsidP="00AC73F6">
      <w:pPr>
        <w:widowControl w:val="0"/>
        <w:numPr>
          <w:ilvl w:val="0"/>
          <w:numId w:val="33"/>
        </w:numPr>
        <w:spacing w:after="0" w:line="240" w:lineRule="auto"/>
        <w:ind w:left="1080"/>
        <w:jc w:val="both"/>
      </w:pPr>
      <w:r w:rsidRPr="00A77FC3">
        <w:rPr>
          <w:rFonts w:eastAsia="Times New Roman" w:cs="Arial"/>
        </w:rPr>
        <w:t>Support</w:t>
      </w:r>
      <w:r w:rsidR="00496821" w:rsidRPr="00A77FC3">
        <w:rPr>
          <w:rFonts w:eastAsia="Times New Roman" w:cs="Arial"/>
        </w:rPr>
        <w:t xml:space="preserve"> the </w:t>
      </w:r>
      <w:r w:rsidR="00F837DB" w:rsidRPr="00A77FC3">
        <w:rPr>
          <w:rFonts w:eastAsia="Times New Roman" w:cs="Arial"/>
        </w:rPr>
        <w:t>implementation of the</w:t>
      </w:r>
      <w:r w:rsidR="00496821" w:rsidRPr="00A77FC3">
        <w:rPr>
          <w:rFonts w:eastAsia="Times New Roman" w:cs="Arial"/>
        </w:rPr>
        <w:t xml:space="preserve"> international </w:t>
      </w:r>
      <w:proofErr w:type="gramStart"/>
      <w:r w:rsidR="00496821" w:rsidRPr="00A77FC3">
        <w:rPr>
          <w:rFonts w:eastAsia="Times New Roman" w:cs="Arial"/>
        </w:rPr>
        <w:t>legally-binding</w:t>
      </w:r>
      <w:proofErr w:type="gramEnd"/>
      <w:r w:rsidR="00496821" w:rsidRPr="00A77FC3">
        <w:rPr>
          <w:rFonts w:eastAsia="Times New Roman" w:cs="Arial"/>
        </w:rPr>
        <w:t xml:space="preserve"> instrument on the conservation and sustainable use of marine biological diversity of areas beyond national jurisdiction, </w:t>
      </w:r>
      <w:r w:rsidR="00BB5A11" w:rsidRPr="00A77FC3">
        <w:rPr>
          <w:rFonts w:eastAsia="Times New Roman" w:cs="Arial"/>
        </w:rPr>
        <w:t xml:space="preserve">in particular </w:t>
      </w:r>
      <w:r w:rsidR="00496821" w:rsidRPr="00A77FC3">
        <w:rPr>
          <w:rFonts w:eastAsia="Times New Roman" w:cs="Arial"/>
        </w:rPr>
        <w:t xml:space="preserve">the development of robust, modern and uniform Environmental Impact Assessment </w:t>
      </w:r>
      <w:r w:rsidR="00036AB6" w:rsidRPr="00A77FC3">
        <w:rPr>
          <w:rFonts w:eastAsia="Times New Roman" w:cs="Arial"/>
        </w:rPr>
        <w:t xml:space="preserve">for all </w:t>
      </w:r>
      <w:r w:rsidR="00496821" w:rsidRPr="00A77FC3">
        <w:rPr>
          <w:rFonts w:eastAsia="Times New Roman" w:cs="Arial"/>
        </w:rPr>
        <w:t>activities with potential impacts</w:t>
      </w:r>
      <w:r w:rsidR="00036AB6" w:rsidRPr="00A77FC3">
        <w:rPr>
          <w:rFonts w:eastAsia="Times New Roman" w:cs="Arial"/>
        </w:rPr>
        <w:t xml:space="preserve"> on cetaceans</w:t>
      </w:r>
      <w:r w:rsidR="00496821" w:rsidRPr="00A77FC3">
        <w:rPr>
          <w:rFonts w:eastAsia="Times New Roman" w:cs="Arial"/>
        </w:rPr>
        <w:t xml:space="preserve"> in areas within and beyond national jurisdictions</w:t>
      </w:r>
      <w:r w:rsidR="009C75C9" w:rsidRPr="00A77FC3">
        <w:rPr>
          <w:rFonts w:cs="Arial"/>
          <w:iCs/>
        </w:rPr>
        <w:t>;</w:t>
      </w:r>
    </w:p>
    <w:p w14:paraId="14A6ECFD" w14:textId="77777777" w:rsidR="008B1758" w:rsidRPr="00A77FC3" w:rsidRDefault="008B1758" w:rsidP="00A77FC3">
      <w:pPr>
        <w:widowControl w:val="0"/>
        <w:spacing w:after="0" w:line="240" w:lineRule="auto"/>
        <w:ind w:left="1080"/>
        <w:jc w:val="both"/>
      </w:pPr>
    </w:p>
    <w:p w14:paraId="70700619" w14:textId="1B4C0D07" w:rsidR="008B1758" w:rsidRPr="00A77FC3" w:rsidRDefault="008B1758" w:rsidP="00935DC8">
      <w:pPr>
        <w:widowControl w:val="0"/>
        <w:numPr>
          <w:ilvl w:val="0"/>
          <w:numId w:val="33"/>
        </w:numPr>
        <w:spacing w:after="0" w:line="240" w:lineRule="auto"/>
        <w:ind w:left="1080"/>
        <w:jc w:val="both"/>
      </w:pPr>
      <w:r w:rsidRPr="00A77FC3">
        <w:t>Include cetaceans within their respective National Biodiversity Strategies and Action Plans and ensure that the goals and targets of the Kunming-Montreal Global Biodiversity Framework are applied in such a way that positively aligns with the conservation priorities for cetaceans.</w:t>
      </w:r>
    </w:p>
    <w:p w14:paraId="279C1320" w14:textId="77777777" w:rsidR="006E5484" w:rsidRDefault="006E5484">
      <w:pPr>
        <w:spacing w:after="0" w:line="240" w:lineRule="auto"/>
        <w:jc w:val="both"/>
        <w:rPr>
          <w:rFonts w:cs="Arial"/>
        </w:rPr>
      </w:pPr>
    </w:p>
    <w:p w14:paraId="075C9D06" w14:textId="77777777" w:rsidR="00A33092" w:rsidRDefault="00A33092">
      <w:pPr>
        <w:spacing w:after="0" w:line="240" w:lineRule="auto"/>
        <w:jc w:val="both"/>
        <w:rPr>
          <w:rFonts w:cs="Arial"/>
        </w:rPr>
      </w:pPr>
    </w:p>
    <w:p w14:paraId="299676E3" w14:textId="77777777" w:rsidR="006E5484" w:rsidRDefault="00FB2FEF">
      <w:pPr>
        <w:spacing w:after="0" w:line="240" w:lineRule="auto"/>
        <w:jc w:val="both"/>
      </w:pPr>
      <w:r>
        <w:rPr>
          <w:rFonts w:cs="Arial"/>
          <w:b/>
          <w:i/>
        </w:rPr>
        <w:t xml:space="preserve">Directed to intergovernmental and non-governmental </w:t>
      </w:r>
      <w:proofErr w:type="gramStart"/>
      <w:r>
        <w:rPr>
          <w:rFonts w:cs="Arial"/>
          <w:b/>
          <w:i/>
        </w:rPr>
        <w:t>organizations</w:t>
      </w:r>
      <w:proofErr w:type="gramEnd"/>
    </w:p>
    <w:p w14:paraId="0C5BA827" w14:textId="77777777" w:rsidR="006E5484" w:rsidRDefault="006E5484">
      <w:pPr>
        <w:spacing w:after="0" w:line="240" w:lineRule="auto"/>
        <w:jc w:val="both"/>
        <w:rPr>
          <w:rFonts w:cs="Arial"/>
        </w:rPr>
      </w:pPr>
    </w:p>
    <w:p w14:paraId="334E90CC" w14:textId="74866AEF" w:rsidR="006E5484" w:rsidRDefault="00FB2FEF" w:rsidP="001D3B79">
      <w:pPr>
        <w:spacing w:after="0" w:line="240" w:lineRule="auto"/>
        <w:ind w:left="720" w:hanging="720"/>
        <w:jc w:val="both"/>
      </w:pPr>
      <w:r>
        <w:rPr>
          <w:rFonts w:cs="Arial"/>
        </w:rPr>
        <w:t>14.</w:t>
      </w:r>
      <w:r w:rsidR="00292091">
        <w:rPr>
          <w:rFonts w:cs="Arial"/>
        </w:rPr>
        <w:t>CC</w:t>
      </w:r>
      <w:r>
        <w:rPr>
          <w:rFonts w:cs="Arial"/>
        </w:rPr>
        <w:tab/>
        <w:t xml:space="preserve">Intergovernmental and non-governmental organizations are encouraged to support Parties with mitigation of priority threats identified for their region in </w:t>
      </w:r>
      <w:r>
        <w:rPr>
          <w:rFonts w:cs="Arial"/>
          <w:iCs/>
        </w:rPr>
        <w:t>Annex 2 of UNEP/CMS/COP14/Inf.</w:t>
      </w:r>
      <w:r w:rsidR="004F0B8C" w:rsidRPr="009E7D9F">
        <w:rPr>
          <w:rFonts w:cs="Arial"/>
        </w:rPr>
        <w:t>27.5.1a</w:t>
      </w:r>
      <w:r>
        <w:rPr>
          <w:rFonts w:cs="Arial"/>
        </w:rPr>
        <w:t>, including through provision of technical support and expertise.</w:t>
      </w:r>
      <w:r>
        <w:rPr>
          <w:rFonts w:cs="Arial"/>
          <w:iCs/>
        </w:rPr>
        <w:t xml:space="preserve"> </w:t>
      </w:r>
    </w:p>
    <w:p w14:paraId="242E9295" w14:textId="77777777" w:rsidR="006E5484" w:rsidRDefault="006E5484">
      <w:pPr>
        <w:spacing w:after="0" w:line="240" w:lineRule="auto"/>
        <w:jc w:val="both"/>
        <w:rPr>
          <w:rFonts w:cs="Arial"/>
          <w:bCs/>
          <w:iCs/>
        </w:rPr>
      </w:pPr>
    </w:p>
    <w:p w14:paraId="33CC518F" w14:textId="77777777" w:rsidR="00A33092" w:rsidRDefault="00A33092">
      <w:pPr>
        <w:spacing w:after="0" w:line="240" w:lineRule="auto"/>
        <w:jc w:val="both"/>
        <w:rPr>
          <w:rFonts w:cs="Arial"/>
          <w:bCs/>
          <w:iCs/>
        </w:rPr>
      </w:pPr>
    </w:p>
    <w:p w14:paraId="29BA1E1F" w14:textId="77777777" w:rsidR="006E5484" w:rsidRDefault="00FB2FEF">
      <w:pPr>
        <w:spacing w:after="0" w:line="240" w:lineRule="auto"/>
        <w:jc w:val="both"/>
      </w:pPr>
      <w:r>
        <w:rPr>
          <w:rFonts w:cs="Arial"/>
          <w:b/>
          <w:i/>
        </w:rPr>
        <w:t xml:space="preserve">Directed to the Scientific Council </w:t>
      </w:r>
    </w:p>
    <w:p w14:paraId="64224362" w14:textId="77777777" w:rsidR="006E5484" w:rsidRDefault="006E5484">
      <w:pPr>
        <w:spacing w:after="0" w:line="240" w:lineRule="auto"/>
        <w:jc w:val="both"/>
        <w:rPr>
          <w:rFonts w:cs="Arial"/>
        </w:rPr>
      </w:pPr>
    </w:p>
    <w:p w14:paraId="117FE251" w14:textId="0B084061" w:rsidR="006E5484" w:rsidRDefault="00FB2FEF" w:rsidP="001D3B79">
      <w:pPr>
        <w:spacing w:after="0" w:line="240" w:lineRule="auto"/>
        <w:ind w:left="720" w:hanging="720"/>
        <w:jc w:val="both"/>
      </w:pPr>
      <w:r>
        <w:rPr>
          <w:rFonts w:cs="Arial"/>
        </w:rPr>
        <w:t>14.</w:t>
      </w:r>
      <w:r w:rsidR="00292091">
        <w:rPr>
          <w:rFonts w:cs="Arial"/>
        </w:rPr>
        <w:t>DD</w:t>
      </w:r>
      <w:r>
        <w:tab/>
      </w:r>
      <w:r>
        <w:rPr>
          <w:rFonts w:cs="Arial"/>
        </w:rPr>
        <w:t>The Scientific Council, subject to the availability of external resources</w:t>
      </w:r>
      <w:r w:rsidR="003827FD">
        <w:rPr>
          <w:rFonts w:cs="Arial"/>
        </w:rPr>
        <w:t xml:space="preserve"> and where applicable </w:t>
      </w:r>
      <w:r>
        <w:rPr>
          <w:rFonts w:cs="Arial"/>
        </w:rPr>
        <w:t>with support from the Aquatic Mammals Working Group</w:t>
      </w:r>
      <w:r w:rsidRPr="00A77FC3">
        <w:rPr>
          <w:rFonts w:cs="Arial"/>
        </w:rPr>
        <w:t xml:space="preserve">, </w:t>
      </w:r>
      <w:r w:rsidR="000555BD" w:rsidRPr="00A77FC3">
        <w:rPr>
          <w:rFonts w:cs="Arial"/>
        </w:rPr>
        <w:t>is requested to</w:t>
      </w:r>
      <w:r>
        <w:rPr>
          <w:rFonts w:cs="Arial"/>
        </w:rPr>
        <w:t>:</w:t>
      </w:r>
    </w:p>
    <w:p w14:paraId="7219FD7D" w14:textId="77777777" w:rsidR="006E5484" w:rsidRDefault="006E5484">
      <w:pPr>
        <w:spacing w:after="0" w:line="240" w:lineRule="auto"/>
        <w:ind w:left="720" w:hanging="720"/>
        <w:jc w:val="both"/>
        <w:rPr>
          <w:rFonts w:cs="Arial"/>
        </w:rPr>
      </w:pPr>
    </w:p>
    <w:p w14:paraId="6A1E89DC" w14:textId="651D30A3" w:rsidR="006E5484" w:rsidRDefault="003F38E4" w:rsidP="001D3B79">
      <w:pPr>
        <w:widowControl w:val="0"/>
        <w:numPr>
          <w:ilvl w:val="0"/>
          <w:numId w:val="29"/>
        </w:numPr>
        <w:spacing w:after="0" w:line="240" w:lineRule="auto"/>
        <w:ind w:left="1080"/>
        <w:jc w:val="both"/>
      </w:pPr>
      <w:r>
        <w:rPr>
          <w:rFonts w:cs="Arial"/>
        </w:rPr>
        <w:t>I</w:t>
      </w:r>
      <w:r w:rsidR="000555BD" w:rsidRPr="00A77FC3">
        <w:rPr>
          <w:rFonts w:cs="Arial"/>
        </w:rPr>
        <w:t>n cooperation with</w:t>
      </w:r>
      <w:r w:rsidR="00FB2FEF">
        <w:rPr>
          <w:rFonts w:cs="Arial"/>
        </w:rPr>
        <w:t xml:space="preserve"> the </w:t>
      </w:r>
      <w:r w:rsidR="000555BD" w:rsidRPr="00A77FC3">
        <w:rPr>
          <w:rFonts w:cs="Arial"/>
        </w:rPr>
        <w:t>IWC</w:t>
      </w:r>
      <w:r w:rsidR="00FB2FEF">
        <w:rPr>
          <w:rFonts w:cs="Arial"/>
        </w:rPr>
        <w:t>, quantify the contemporary whaling and aquatic wild meat takes of all CMS Appendix I-listed cetaceans in all regions, and make recommendations to Parties;</w:t>
      </w:r>
    </w:p>
    <w:p w14:paraId="6162C9EB" w14:textId="77777777" w:rsidR="006E5484" w:rsidRDefault="00FB2FEF" w:rsidP="001D3B79">
      <w:pPr>
        <w:widowControl w:val="0"/>
        <w:numPr>
          <w:ilvl w:val="0"/>
          <w:numId w:val="9"/>
        </w:numPr>
        <w:spacing w:after="0" w:line="240" w:lineRule="auto"/>
        <w:ind w:left="1080"/>
        <w:jc w:val="both"/>
      </w:pPr>
      <w:r>
        <w:rPr>
          <w:rFonts w:cs="Arial"/>
        </w:rPr>
        <w:lastRenderedPageBreak/>
        <w:t>In the context of threats from climate change,</w:t>
      </w:r>
      <w:r>
        <w:rPr>
          <w:rFonts w:cs="Arial"/>
          <w:bCs/>
          <w:iCs/>
        </w:rPr>
        <w:t xml:space="preserve"> develop a report on the potential impacts that climate-induced migration will have on both the welfare and the conservation outcomes of affected cetacean species, and make recommendations to Parties;</w:t>
      </w:r>
    </w:p>
    <w:p w14:paraId="25E91610" w14:textId="77777777" w:rsidR="006E5484" w:rsidRDefault="006E5484" w:rsidP="001D3B79">
      <w:pPr>
        <w:widowControl w:val="0"/>
        <w:spacing w:after="0" w:line="240" w:lineRule="auto"/>
        <w:ind w:left="1080" w:hanging="360"/>
        <w:jc w:val="both"/>
        <w:rPr>
          <w:rFonts w:cs="Arial"/>
        </w:rPr>
      </w:pPr>
    </w:p>
    <w:p w14:paraId="7CFE3A52" w14:textId="4147AB17" w:rsidR="006E5484" w:rsidRDefault="00493904" w:rsidP="001D3B79">
      <w:pPr>
        <w:widowControl w:val="0"/>
        <w:numPr>
          <w:ilvl w:val="0"/>
          <w:numId w:val="9"/>
        </w:numPr>
        <w:spacing w:after="0" w:line="240" w:lineRule="auto"/>
        <w:ind w:left="1080"/>
        <w:jc w:val="both"/>
      </w:pPr>
      <w:r w:rsidRPr="00A77FC3">
        <w:rPr>
          <w:rFonts w:cs="Arial"/>
        </w:rPr>
        <w:t>R</w:t>
      </w:r>
      <w:r w:rsidR="00FB2FEF" w:rsidRPr="00A77FC3">
        <w:rPr>
          <w:rFonts w:cs="Arial"/>
          <w:bCs/>
          <w:iCs/>
        </w:rPr>
        <w:t>ecommend</w:t>
      </w:r>
      <w:r w:rsidR="00FB2FEF">
        <w:rPr>
          <w:rFonts w:cs="Arial"/>
          <w:bCs/>
          <w:iCs/>
        </w:rPr>
        <w:t xml:space="preserve"> the use of standard stranding and necropsy protocols, </w:t>
      </w:r>
      <w:proofErr w:type="gramStart"/>
      <w:r w:rsidR="00FB2FEF">
        <w:rPr>
          <w:rFonts w:cs="Arial"/>
        </w:rPr>
        <w:t>taking into account</w:t>
      </w:r>
      <w:proofErr w:type="gramEnd"/>
      <w:r w:rsidR="00FB2FEF">
        <w:rPr>
          <w:rFonts w:cs="Arial"/>
        </w:rPr>
        <w:t xml:space="preserve"> work done by ACCOBAMS, ASCOBANS and the IWC,</w:t>
      </w:r>
      <w:r w:rsidR="00FB2FEF">
        <w:rPr>
          <w:rFonts w:cs="Arial"/>
          <w:bCs/>
          <w:iCs/>
        </w:rPr>
        <w:t xml:space="preserve"> i</w:t>
      </w:r>
      <w:r w:rsidR="00FB2FEF">
        <w:rPr>
          <w:rFonts w:cs="Arial"/>
        </w:rPr>
        <w:t>n order to help investigate the causes of mortality events</w:t>
      </w:r>
      <w:r w:rsidR="00FB2FEF">
        <w:rPr>
          <w:rFonts w:cs="Arial"/>
          <w:bCs/>
          <w:iCs/>
        </w:rPr>
        <w:t>;</w:t>
      </w:r>
    </w:p>
    <w:p w14:paraId="40105BFE" w14:textId="77777777" w:rsidR="006E5484" w:rsidRDefault="006E5484" w:rsidP="001D3B79">
      <w:pPr>
        <w:widowControl w:val="0"/>
        <w:spacing w:after="0" w:line="240" w:lineRule="auto"/>
        <w:ind w:left="1080" w:hanging="360"/>
        <w:jc w:val="both"/>
        <w:rPr>
          <w:rFonts w:cs="Arial"/>
        </w:rPr>
      </w:pPr>
    </w:p>
    <w:p w14:paraId="4EA5F105" w14:textId="3DD674EA" w:rsidR="006E5484" w:rsidRDefault="00FB2FEF" w:rsidP="001D3B79">
      <w:pPr>
        <w:widowControl w:val="0"/>
        <w:numPr>
          <w:ilvl w:val="0"/>
          <w:numId w:val="9"/>
        </w:numPr>
        <w:spacing w:after="0" w:line="240" w:lineRule="auto"/>
        <w:ind w:left="1080"/>
        <w:jc w:val="both"/>
      </w:pPr>
      <w:r>
        <w:rPr>
          <w:rFonts w:cs="Arial"/>
          <w:bCs/>
          <w:iCs/>
        </w:rPr>
        <w:t xml:space="preserve">Develop a report about the monitoring, </w:t>
      </w:r>
      <w:proofErr w:type="gramStart"/>
      <w:r>
        <w:rPr>
          <w:rFonts w:cs="Arial"/>
          <w:bCs/>
          <w:iCs/>
        </w:rPr>
        <w:t>welfare</w:t>
      </w:r>
      <w:proofErr w:type="gramEnd"/>
      <w:r>
        <w:rPr>
          <w:rFonts w:cs="Arial"/>
          <w:bCs/>
          <w:iCs/>
        </w:rPr>
        <w:t xml:space="preserve"> and conservation of ‘Out of Habitat’ </w:t>
      </w:r>
      <w:r w:rsidR="000555BD" w:rsidRPr="00A77FC3">
        <w:rPr>
          <w:rFonts w:cs="Arial"/>
          <w:bCs/>
          <w:iCs/>
        </w:rPr>
        <w:t xml:space="preserve">CMS-listed </w:t>
      </w:r>
      <w:r>
        <w:rPr>
          <w:rFonts w:cs="Arial"/>
          <w:bCs/>
          <w:iCs/>
        </w:rPr>
        <w:t>cetaceans, provide advice on appropriate responses to them, and make recommendations to Parties;</w:t>
      </w:r>
    </w:p>
    <w:p w14:paraId="4F1C2D2C" w14:textId="77777777" w:rsidR="006E5484" w:rsidRDefault="006E5484" w:rsidP="001D3B79">
      <w:pPr>
        <w:widowControl w:val="0"/>
        <w:spacing w:after="0" w:line="240" w:lineRule="auto"/>
        <w:ind w:left="1080" w:hanging="360"/>
        <w:jc w:val="both"/>
        <w:rPr>
          <w:rFonts w:cs="Arial"/>
        </w:rPr>
      </w:pPr>
    </w:p>
    <w:p w14:paraId="06FDE175" w14:textId="77777777" w:rsidR="006E5484" w:rsidRDefault="00FB2FEF" w:rsidP="001D3B79">
      <w:pPr>
        <w:widowControl w:val="0"/>
        <w:numPr>
          <w:ilvl w:val="0"/>
          <w:numId w:val="9"/>
        </w:numPr>
        <w:spacing w:after="0" w:line="240" w:lineRule="auto"/>
        <w:ind w:left="1080"/>
        <w:jc w:val="both"/>
      </w:pPr>
      <w:r>
        <w:rPr>
          <w:rFonts w:cs="Arial"/>
        </w:rPr>
        <w:t>Synthesize research on the emerging understanding of how cetacean welfare can impact conservation outcomes, and make recommendations to Parties;</w:t>
      </w:r>
    </w:p>
    <w:p w14:paraId="54BEEB44" w14:textId="77777777" w:rsidR="006E5484" w:rsidRDefault="006E5484">
      <w:pPr>
        <w:widowControl w:val="0"/>
        <w:spacing w:after="0" w:line="240" w:lineRule="auto"/>
        <w:ind w:left="1418" w:hanging="567"/>
        <w:jc w:val="both"/>
        <w:rPr>
          <w:rFonts w:cs="Arial"/>
        </w:rPr>
      </w:pPr>
    </w:p>
    <w:p w14:paraId="3B547E86" w14:textId="76966E09" w:rsidR="006E5484" w:rsidRDefault="00FB2FEF" w:rsidP="001D3B79">
      <w:pPr>
        <w:widowControl w:val="0"/>
        <w:numPr>
          <w:ilvl w:val="0"/>
          <w:numId w:val="9"/>
        </w:numPr>
        <w:spacing w:after="0" w:line="240" w:lineRule="auto"/>
        <w:ind w:left="1080"/>
        <w:jc w:val="both"/>
      </w:pPr>
      <w:r>
        <w:rPr>
          <w:rFonts w:cs="Arial"/>
        </w:rPr>
        <w:t xml:space="preserve">Review the recommendations for potential future action by the Scientific Council as contained in </w:t>
      </w:r>
      <w:r>
        <w:rPr>
          <w:rFonts w:cs="Arial"/>
          <w:iCs/>
        </w:rPr>
        <w:t>UNEP/CMS/COP14/Inf.</w:t>
      </w:r>
      <w:r w:rsidR="004F0B8C" w:rsidRPr="009E7D9F">
        <w:rPr>
          <w:rFonts w:cs="Arial"/>
        </w:rPr>
        <w:t>27.5.1b</w:t>
      </w:r>
      <w:r>
        <w:rPr>
          <w:rFonts w:cs="Arial"/>
        </w:rPr>
        <w:t xml:space="preserve"> and make recommendations to the 15</w:t>
      </w:r>
      <w:r>
        <w:rPr>
          <w:rFonts w:cs="Arial"/>
          <w:vertAlign w:val="superscript"/>
        </w:rPr>
        <w:t>th</w:t>
      </w:r>
      <w:r>
        <w:rPr>
          <w:rFonts w:cs="Arial"/>
        </w:rPr>
        <w:t xml:space="preserve"> meeting of the Conference of the Parties </w:t>
      </w:r>
      <w:r w:rsidR="00866251">
        <w:rPr>
          <w:rFonts w:cs="Arial"/>
        </w:rPr>
        <w:t xml:space="preserve">on </w:t>
      </w:r>
      <w:r w:rsidR="000555BD" w:rsidRPr="00A77FC3">
        <w:rPr>
          <w:rFonts w:cs="Arial"/>
        </w:rPr>
        <w:t>priority actions</w:t>
      </w:r>
      <w:r>
        <w:rPr>
          <w:rFonts w:cs="Arial"/>
        </w:rPr>
        <w:t xml:space="preserve"> to </w:t>
      </w:r>
      <w:r w:rsidR="000555BD" w:rsidRPr="00A77FC3">
        <w:rPr>
          <w:rFonts w:cs="Arial"/>
        </w:rPr>
        <w:t>progress</w:t>
      </w:r>
      <w:r>
        <w:rPr>
          <w:rFonts w:cs="Arial"/>
        </w:rPr>
        <w:t xml:space="preserve"> in the following intersessional period.</w:t>
      </w:r>
    </w:p>
    <w:p w14:paraId="4FBFDB65" w14:textId="77777777" w:rsidR="006E5484" w:rsidRDefault="006E5484">
      <w:pPr>
        <w:spacing w:after="0" w:line="240" w:lineRule="auto"/>
        <w:jc w:val="both"/>
        <w:rPr>
          <w:rFonts w:cs="Arial"/>
          <w:bCs/>
          <w:iCs/>
        </w:rPr>
      </w:pPr>
    </w:p>
    <w:p w14:paraId="38B0CB85" w14:textId="77777777" w:rsidR="00A33092" w:rsidRDefault="00A33092">
      <w:pPr>
        <w:spacing w:after="0" w:line="240" w:lineRule="auto"/>
        <w:jc w:val="both"/>
        <w:rPr>
          <w:rFonts w:cs="Arial"/>
          <w:bCs/>
          <w:iCs/>
        </w:rPr>
      </w:pPr>
    </w:p>
    <w:p w14:paraId="0E509C18" w14:textId="77777777" w:rsidR="006E5484" w:rsidRDefault="00FB2FEF">
      <w:pPr>
        <w:spacing w:after="0" w:line="240" w:lineRule="auto"/>
        <w:jc w:val="both"/>
      </w:pPr>
      <w:r>
        <w:rPr>
          <w:rFonts w:cs="Arial"/>
          <w:b/>
          <w:i/>
        </w:rPr>
        <w:t>Directed to the Secretariat</w:t>
      </w:r>
    </w:p>
    <w:p w14:paraId="4580F57F" w14:textId="77777777" w:rsidR="006E5484" w:rsidRDefault="006E5484">
      <w:pPr>
        <w:spacing w:after="0" w:line="240" w:lineRule="auto"/>
        <w:jc w:val="both"/>
        <w:rPr>
          <w:rFonts w:cs="Arial"/>
        </w:rPr>
      </w:pPr>
    </w:p>
    <w:p w14:paraId="7F56EC7D" w14:textId="04084702" w:rsidR="006E5484" w:rsidRDefault="00FB2FEF" w:rsidP="001D3B79">
      <w:pPr>
        <w:spacing w:after="0" w:line="240" w:lineRule="auto"/>
        <w:ind w:left="720" w:hanging="720"/>
        <w:jc w:val="both"/>
      </w:pPr>
      <w:r>
        <w:rPr>
          <w:rFonts w:cs="Arial"/>
        </w:rPr>
        <w:t>14.</w:t>
      </w:r>
      <w:r w:rsidR="00292091">
        <w:rPr>
          <w:rFonts w:cs="Arial"/>
        </w:rPr>
        <w:t>EE</w:t>
      </w:r>
      <w:r>
        <w:rPr>
          <w:rFonts w:cs="Arial"/>
        </w:rPr>
        <w:tab/>
        <w:t>The Secretariat, subject to the availability of external resources, shall support the Scientific Council in the development of the reports and recommendations requested in Decision 14.CC.</w:t>
      </w:r>
    </w:p>
    <w:p w14:paraId="44BB7211" w14:textId="77777777" w:rsidR="006E5484" w:rsidRDefault="006E5484" w:rsidP="00A33092">
      <w:pPr>
        <w:spacing w:after="0" w:line="240" w:lineRule="auto"/>
        <w:rPr>
          <w:rFonts w:cs="Arial"/>
        </w:rPr>
      </w:pPr>
    </w:p>
    <w:p w14:paraId="231FA41B" w14:textId="77777777" w:rsidR="006E5484" w:rsidRDefault="006E5484" w:rsidP="00A33092">
      <w:pPr>
        <w:spacing w:after="0" w:line="240" w:lineRule="auto"/>
        <w:rPr>
          <w:rFonts w:cs="Arial"/>
          <w:b/>
          <w:bCs/>
        </w:rPr>
      </w:pPr>
    </w:p>
    <w:p w14:paraId="0FE7748E" w14:textId="11D94332" w:rsidR="006E5484" w:rsidRDefault="00FB2FEF">
      <w:pPr>
        <w:spacing w:after="0" w:line="240" w:lineRule="auto"/>
        <w:jc w:val="center"/>
      </w:pPr>
      <w:r>
        <w:rPr>
          <w:rFonts w:cs="Arial"/>
          <w:b/>
          <w:bCs/>
        </w:rPr>
        <w:t>ROLE OF CETACEANS IN ECOSYSTEM FUNCTIONING</w:t>
      </w:r>
    </w:p>
    <w:p w14:paraId="3D6F2FC5" w14:textId="77777777" w:rsidR="006E5484" w:rsidRDefault="006E5484">
      <w:pPr>
        <w:spacing w:after="0" w:line="240" w:lineRule="auto"/>
        <w:jc w:val="both"/>
        <w:rPr>
          <w:rFonts w:cs="Arial"/>
        </w:rPr>
      </w:pPr>
    </w:p>
    <w:p w14:paraId="6D887DA4" w14:textId="77777777" w:rsidR="006E5484" w:rsidRDefault="006E5484">
      <w:pPr>
        <w:spacing w:after="0" w:line="240" w:lineRule="auto"/>
        <w:jc w:val="both"/>
        <w:rPr>
          <w:rFonts w:cs="Arial"/>
          <w:b/>
          <w:i/>
        </w:rPr>
      </w:pPr>
    </w:p>
    <w:p w14:paraId="2848FE0E" w14:textId="77777777" w:rsidR="006E5484" w:rsidRDefault="00FB2FEF">
      <w:pPr>
        <w:spacing w:after="0" w:line="240" w:lineRule="auto"/>
        <w:jc w:val="both"/>
      </w:pPr>
      <w:r>
        <w:rPr>
          <w:rFonts w:cs="Arial"/>
          <w:b/>
          <w:i/>
        </w:rPr>
        <w:t>Directed to the Scientific Council</w:t>
      </w:r>
    </w:p>
    <w:p w14:paraId="13473422" w14:textId="77777777" w:rsidR="006E5484" w:rsidRDefault="006E5484">
      <w:pPr>
        <w:spacing w:after="0" w:line="240" w:lineRule="auto"/>
        <w:jc w:val="both"/>
        <w:rPr>
          <w:rFonts w:cs="Arial"/>
        </w:rPr>
      </w:pPr>
    </w:p>
    <w:p w14:paraId="2DA7B60C" w14:textId="1E3F49FA" w:rsidR="006E5484" w:rsidRDefault="00FB2FEF" w:rsidP="001D3B79">
      <w:pPr>
        <w:spacing w:after="0" w:line="240" w:lineRule="auto"/>
        <w:ind w:left="720" w:hanging="720"/>
        <w:jc w:val="both"/>
      </w:pPr>
      <w:r>
        <w:rPr>
          <w:rFonts w:cs="Arial"/>
        </w:rPr>
        <w:t>14.</w:t>
      </w:r>
      <w:r w:rsidR="00292091">
        <w:rPr>
          <w:rFonts w:cs="Arial"/>
        </w:rPr>
        <w:t>FF</w:t>
      </w:r>
      <w:r>
        <w:rPr>
          <w:rFonts w:cs="Arial"/>
        </w:rPr>
        <w:tab/>
        <w:t xml:space="preserve">The Scientific Council </w:t>
      </w:r>
      <w:r w:rsidR="000555BD" w:rsidRPr="00A77FC3">
        <w:rPr>
          <w:rFonts w:cs="Arial"/>
        </w:rPr>
        <w:t>is requested to</w:t>
      </w:r>
      <w:r w:rsidRPr="00A77FC3">
        <w:rPr>
          <w:rFonts w:cs="Arial"/>
        </w:rPr>
        <w:t xml:space="preserve">, </w:t>
      </w:r>
      <w:r w:rsidR="00FC70E3">
        <w:rPr>
          <w:rFonts w:cs="Arial"/>
        </w:rPr>
        <w:t>through</w:t>
      </w:r>
      <w:r>
        <w:rPr>
          <w:rFonts w:cs="Arial"/>
        </w:rPr>
        <w:t xml:space="preserve"> the Aquatic Mammals Working Group, provide advice and input with regards to expanding the work on the role of cetaceans in ecosystem functioning in close collaboration with the IWC.</w:t>
      </w:r>
    </w:p>
    <w:p w14:paraId="0F4D7341" w14:textId="77777777" w:rsidR="006E5484" w:rsidRDefault="006E5484">
      <w:pPr>
        <w:spacing w:after="0" w:line="240" w:lineRule="auto"/>
        <w:jc w:val="both"/>
        <w:rPr>
          <w:rFonts w:cs="Arial"/>
          <w:b/>
          <w:i/>
        </w:rPr>
      </w:pPr>
    </w:p>
    <w:p w14:paraId="1D30F24D" w14:textId="77777777" w:rsidR="00A33092" w:rsidRDefault="00A33092">
      <w:pPr>
        <w:spacing w:after="0" w:line="240" w:lineRule="auto"/>
        <w:jc w:val="both"/>
        <w:rPr>
          <w:rFonts w:cs="Arial"/>
          <w:b/>
          <w:i/>
        </w:rPr>
      </w:pPr>
    </w:p>
    <w:p w14:paraId="294B4B92" w14:textId="77777777" w:rsidR="006E5484" w:rsidRDefault="00FB2FEF">
      <w:pPr>
        <w:spacing w:after="0" w:line="240" w:lineRule="auto"/>
        <w:jc w:val="both"/>
      </w:pPr>
      <w:r>
        <w:rPr>
          <w:rFonts w:cs="Arial"/>
          <w:b/>
          <w:i/>
        </w:rPr>
        <w:t>Directed to the Secretariat</w:t>
      </w:r>
    </w:p>
    <w:p w14:paraId="489EFA67" w14:textId="77777777" w:rsidR="006E5484" w:rsidRDefault="006E5484">
      <w:pPr>
        <w:spacing w:after="0" w:line="240" w:lineRule="auto"/>
        <w:jc w:val="both"/>
        <w:rPr>
          <w:rFonts w:cs="Arial"/>
        </w:rPr>
      </w:pPr>
    </w:p>
    <w:p w14:paraId="15F91D82" w14:textId="7D05BDD4" w:rsidR="006E5484" w:rsidRDefault="00FB2FEF" w:rsidP="001D3B79">
      <w:pPr>
        <w:spacing w:after="0" w:line="240" w:lineRule="auto"/>
        <w:ind w:left="720" w:hanging="720"/>
        <w:jc w:val="both"/>
      </w:pPr>
      <w:r>
        <w:rPr>
          <w:rFonts w:cs="Arial"/>
        </w:rPr>
        <w:t>14.</w:t>
      </w:r>
      <w:r w:rsidR="008B1E00">
        <w:rPr>
          <w:rFonts w:cs="Arial"/>
        </w:rPr>
        <w:t>GG</w:t>
      </w:r>
      <w:r>
        <w:rPr>
          <w:rFonts w:cs="Arial"/>
        </w:rPr>
        <w:tab/>
        <w:t xml:space="preserve">The Secretariat shall: </w:t>
      </w:r>
    </w:p>
    <w:p w14:paraId="10EDC0C6" w14:textId="77777777" w:rsidR="006E5484" w:rsidRDefault="006E5484">
      <w:pPr>
        <w:spacing w:after="0" w:line="240" w:lineRule="auto"/>
        <w:jc w:val="both"/>
        <w:rPr>
          <w:rFonts w:cs="Arial"/>
        </w:rPr>
      </w:pPr>
    </w:p>
    <w:p w14:paraId="0C09166B" w14:textId="77777777" w:rsidR="006E5484" w:rsidRDefault="00FB2FEF" w:rsidP="001D3B79">
      <w:pPr>
        <w:pStyle w:val="ListParagraph"/>
        <w:numPr>
          <w:ilvl w:val="1"/>
          <w:numId w:val="19"/>
        </w:numPr>
        <w:spacing w:after="0" w:line="240" w:lineRule="auto"/>
        <w:ind w:left="1080" w:hanging="360"/>
        <w:contextualSpacing w:val="0"/>
        <w:jc w:val="both"/>
      </w:pPr>
      <w:r>
        <w:rPr>
          <w:rFonts w:cs="Arial"/>
        </w:rPr>
        <w:t>Continue to liaise with the IWC Secretariat regarding work on the role of cetaceans in ecosystem functioning;</w:t>
      </w:r>
    </w:p>
    <w:p w14:paraId="53ADB9F9" w14:textId="77777777" w:rsidR="006E5484" w:rsidRDefault="006E5484" w:rsidP="00AC73F6">
      <w:pPr>
        <w:pStyle w:val="ListParagraph"/>
        <w:spacing w:after="0" w:line="240" w:lineRule="auto"/>
        <w:ind w:left="1080" w:hanging="360"/>
        <w:contextualSpacing w:val="0"/>
        <w:jc w:val="both"/>
        <w:rPr>
          <w:rFonts w:cs="Arial"/>
        </w:rPr>
      </w:pPr>
    </w:p>
    <w:p w14:paraId="4AC45AA6" w14:textId="77777777" w:rsidR="006E5484" w:rsidRDefault="00FB2FEF" w:rsidP="001D3B79">
      <w:pPr>
        <w:spacing w:after="0" w:line="240" w:lineRule="auto"/>
        <w:ind w:left="1080" w:hanging="360"/>
        <w:jc w:val="both"/>
      </w:pPr>
      <w:r>
        <w:rPr>
          <w:rFonts w:cs="Arial"/>
        </w:rPr>
        <w:t>b)</w:t>
      </w:r>
      <w:r>
        <w:rPr>
          <w:rFonts w:cs="Arial"/>
        </w:rPr>
        <w:tab/>
        <w:t>Report on the outcomes of the second joint IWC-CMS workshop on cetacean ecosystem functioning to the next meeting of the Sessional Committee of the Scientific Council.</w:t>
      </w:r>
    </w:p>
    <w:p w14:paraId="059F0B84" w14:textId="77777777" w:rsidR="006E5484" w:rsidRDefault="006E5484">
      <w:pPr>
        <w:spacing w:after="0" w:line="240" w:lineRule="auto"/>
        <w:jc w:val="both"/>
        <w:rPr>
          <w:rFonts w:cs="Arial"/>
        </w:rPr>
      </w:pPr>
    </w:p>
    <w:p w14:paraId="2408E2EA" w14:textId="77777777" w:rsidR="001D3B79" w:rsidRDefault="001D3B79">
      <w:pPr>
        <w:spacing w:after="0" w:line="240" w:lineRule="auto"/>
        <w:jc w:val="both"/>
        <w:rPr>
          <w:rFonts w:cs="Arial"/>
        </w:rPr>
      </w:pPr>
    </w:p>
    <w:p w14:paraId="6F40FF29" w14:textId="77777777" w:rsidR="006C2405" w:rsidRDefault="006C2405">
      <w:pPr>
        <w:spacing w:after="0" w:line="240" w:lineRule="auto"/>
        <w:rPr>
          <w:rFonts w:cs="Arial"/>
          <w:b/>
          <w:bCs/>
        </w:rPr>
      </w:pPr>
      <w:r>
        <w:rPr>
          <w:rFonts w:cs="Arial"/>
          <w:b/>
          <w:bCs/>
        </w:rPr>
        <w:br w:type="page"/>
      </w:r>
    </w:p>
    <w:p w14:paraId="418986DE" w14:textId="56F387AA" w:rsidR="006E5484" w:rsidRDefault="00FB2FEF">
      <w:pPr>
        <w:spacing w:after="0" w:line="240" w:lineRule="auto"/>
        <w:jc w:val="center"/>
      </w:pPr>
      <w:r>
        <w:rPr>
          <w:rFonts w:cs="Arial"/>
          <w:b/>
          <w:bCs/>
        </w:rPr>
        <w:lastRenderedPageBreak/>
        <w:t>ACTION PLAN FOR CETACEANS IN THE RED SEA REGION</w:t>
      </w:r>
    </w:p>
    <w:p w14:paraId="5407CA2A" w14:textId="77777777" w:rsidR="006E5484" w:rsidRDefault="006E5484">
      <w:pPr>
        <w:spacing w:after="0" w:line="240" w:lineRule="auto"/>
        <w:jc w:val="both"/>
        <w:rPr>
          <w:rFonts w:cs="Arial"/>
        </w:rPr>
      </w:pPr>
    </w:p>
    <w:p w14:paraId="49E38D17" w14:textId="77777777" w:rsidR="006E5484" w:rsidRDefault="006E5484">
      <w:pPr>
        <w:spacing w:after="0" w:line="240" w:lineRule="auto"/>
        <w:jc w:val="both"/>
        <w:rPr>
          <w:rFonts w:cs="Arial"/>
        </w:rPr>
      </w:pPr>
    </w:p>
    <w:p w14:paraId="39A89169" w14:textId="77777777" w:rsidR="006E5484" w:rsidRDefault="00FB2FEF">
      <w:pPr>
        <w:spacing w:after="0" w:line="240" w:lineRule="auto"/>
        <w:jc w:val="both"/>
      </w:pPr>
      <w:r>
        <w:rPr>
          <w:rFonts w:cs="Arial"/>
          <w:b/>
          <w:i/>
        </w:rPr>
        <w:t xml:space="preserve">Directed to Parties </w:t>
      </w:r>
    </w:p>
    <w:p w14:paraId="12DF2BC2" w14:textId="77777777" w:rsidR="006E5484" w:rsidRDefault="006E5484">
      <w:pPr>
        <w:spacing w:after="0" w:line="240" w:lineRule="auto"/>
        <w:jc w:val="both"/>
        <w:rPr>
          <w:rFonts w:cs="Arial"/>
        </w:rPr>
      </w:pPr>
    </w:p>
    <w:p w14:paraId="169E7750" w14:textId="60506F31" w:rsidR="006E5484" w:rsidRDefault="00FB2FEF" w:rsidP="001D3B79">
      <w:pPr>
        <w:spacing w:after="0" w:line="240" w:lineRule="auto"/>
        <w:ind w:left="720" w:hanging="720"/>
        <w:jc w:val="both"/>
      </w:pPr>
      <w:r>
        <w:rPr>
          <w:rFonts w:cs="Arial"/>
        </w:rPr>
        <w:t>14.</w:t>
      </w:r>
      <w:r w:rsidR="008B1E00">
        <w:rPr>
          <w:rFonts w:cs="Arial"/>
        </w:rPr>
        <w:t>HH</w:t>
      </w:r>
      <w:r>
        <w:rPr>
          <w:rFonts w:cs="Arial"/>
        </w:rPr>
        <w:tab/>
      </w:r>
      <w:r>
        <w:rPr>
          <w:rFonts w:cs="Arial"/>
          <w:iCs/>
        </w:rPr>
        <w:t>Parties are requested to</w:t>
      </w:r>
      <w:r>
        <w:rPr>
          <w:rFonts w:cs="Arial"/>
        </w:rPr>
        <w:t xml:space="preserve"> work with the Secretariat on the development of an Action Plan for </w:t>
      </w:r>
      <w:r w:rsidR="00866251">
        <w:rPr>
          <w:rFonts w:cs="Arial"/>
        </w:rPr>
        <w:t>c</w:t>
      </w:r>
      <w:r>
        <w:rPr>
          <w:rFonts w:cs="Arial"/>
        </w:rPr>
        <w:t>etaceans in the Red Sea region, and support the organization of a regional workshop.</w:t>
      </w:r>
    </w:p>
    <w:p w14:paraId="5348960B" w14:textId="77777777" w:rsidR="006E5484" w:rsidRDefault="006E5484">
      <w:pPr>
        <w:spacing w:after="0" w:line="240" w:lineRule="auto"/>
        <w:jc w:val="both"/>
        <w:rPr>
          <w:rFonts w:cs="Arial"/>
        </w:rPr>
      </w:pPr>
    </w:p>
    <w:p w14:paraId="29B025D4" w14:textId="77777777" w:rsidR="00A33092" w:rsidRDefault="00A33092">
      <w:pPr>
        <w:spacing w:after="0" w:line="240" w:lineRule="auto"/>
        <w:jc w:val="both"/>
        <w:rPr>
          <w:rFonts w:cs="Arial"/>
        </w:rPr>
      </w:pPr>
    </w:p>
    <w:p w14:paraId="22B1034F" w14:textId="08C68A57" w:rsidR="006E5484" w:rsidRDefault="00FB2FEF">
      <w:pPr>
        <w:spacing w:after="0" w:line="240" w:lineRule="auto"/>
        <w:jc w:val="both"/>
      </w:pPr>
      <w:r>
        <w:rPr>
          <w:rFonts w:cs="Arial"/>
          <w:b/>
          <w:i/>
        </w:rPr>
        <w:t xml:space="preserve">Directed to the Scientific Council </w:t>
      </w:r>
    </w:p>
    <w:p w14:paraId="7BD8A2F8" w14:textId="77777777" w:rsidR="006E5484" w:rsidRDefault="006E5484">
      <w:pPr>
        <w:spacing w:after="0" w:line="240" w:lineRule="auto"/>
        <w:jc w:val="both"/>
        <w:rPr>
          <w:rFonts w:cs="Arial"/>
        </w:rPr>
      </w:pPr>
    </w:p>
    <w:p w14:paraId="40F109EA" w14:textId="30E33555" w:rsidR="006E5484" w:rsidRDefault="00FB2FEF" w:rsidP="001D3B79">
      <w:pPr>
        <w:widowControl w:val="0"/>
        <w:spacing w:after="0" w:line="240" w:lineRule="auto"/>
        <w:ind w:left="720" w:hanging="720"/>
        <w:jc w:val="both"/>
      </w:pPr>
      <w:r>
        <w:rPr>
          <w:rFonts w:cs="Arial"/>
        </w:rPr>
        <w:t>14.</w:t>
      </w:r>
      <w:r w:rsidR="008B1E00">
        <w:rPr>
          <w:rFonts w:cs="Arial"/>
        </w:rPr>
        <w:t>II</w:t>
      </w:r>
      <w:r>
        <w:tab/>
      </w:r>
      <w:r>
        <w:rPr>
          <w:rFonts w:cs="Arial"/>
        </w:rPr>
        <w:t xml:space="preserve">The Scientific Council, with support from the Aquatic Mammal Working Group, </w:t>
      </w:r>
      <w:r w:rsidR="000555BD" w:rsidRPr="00A77FC3">
        <w:rPr>
          <w:rFonts w:cs="Arial"/>
        </w:rPr>
        <w:t>is requested to</w:t>
      </w:r>
      <w:r w:rsidR="000462F1" w:rsidRPr="00A77FC3">
        <w:rPr>
          <w:rFonts w:cs="Arial"/>
        </w:rPr>
        <w:t>:</w:t>
      </w:r>
      <w:r w:rsidRPr="00A77FC3">
        <w:rPr>
          <w:rFonts w:cs="Arial"/>
        </w:rPr>
        <w:t xml:space="preserve"> </w:t>
      </w:r>
    </w:p>
    <w:p w14:paraId="7A163FBA" w14:textId="77777777" w:rsidR="006E5484" w:rsidRDefault="006E5484">
      <w:pPr>
        <w:widowControl w:val="0"/>
        <w:spacing w:after="0" w:line="240" w:lineRule="auto"/>
        <w:ind w:left="851" w:hanging="851"/>
        <w:jc w:val="both"/>
        <w:rPr>
          <w:rFonts w:cs="Arial"/>
        </w:rPr>
      </w:pPr>
    </w:p>
    <w:p w14:paraId="4297CE16" w14:textId="77777777" w:rsidR="006E5484" w:rsidRDefault="00FB2FEF" w:rsidP="00AC73F6">
      <w:pPr>
        <w:pStyle w:val="ListParagraph"/>
        <w:widowControl w:val="0"/>
        <w:numPr>
          <w:ilvl w:val="0"/>
          <w:numId w:val="25"/>
        </w:numPr>
        <w:spacing w:after="0" w:line="240" w:lineRule="auto"/>
        <w:ind w:left="1080"/>
        <w:contextualSpacing w:val="0"/>
        <w:jc w:val="both"/>
      </w:pPr>
      <w:r>
        <w:rPr>
          <w:rFonts w:cs="Arial"/>
        </w:rPr>
        <w:t>Provide advice on and input to the development of an Action Plan for cetaceans in the Red Sea region;</w:t>
      </w:r>
    </w:p>
    <w:p w14:paraId="54CA0439" w14:textId="77777777" w:rsidR="006E5484" w:rsidRDefault="006E5484" w:rsidP="00AC73F6">
      <w:pPr>
        <w:pStyle w:val="ListParagraph"/>
        <w:widowControl w:val="0"/>
        <w:spacing w:after="0" w:line="240" w:lineRule="auto"/>
        <w:ind w:left="1080" w:hanging="360"/>
        <w:contextualSpacing w:val="0"/>
        <w:jc w:val="both"/>
        <w:rPr>
          <w:rFonts w:cs="Arial"/>
        </w:rPr>
      </w:pPr>
    </w:p>
    <w:p w14:paraId="6510DD90" w14:textId="77777777" w:rsidR="006E5484" w:rsidRDefault="00FB2FEF" w:rsidP="00AC73F6">
      <w:pPr>
        <w:pStyle w:val="ListParagraph"/>
        <w:widowControl w:val="0"/>
        <w:numPr>
          <w:ilvl w:val="0"/>
          <w:numId w:val="25"/>
        </w:numPr>
        <w:spacing w:after="0" w:line="240" w:lineRule="auto"/>
        <w:ind w:left="1080"/>
        <w:contextualSpacing w:val="0"/>
        <w:jc w:val="both"/>
      </w:pPr>
      <w:r>
        <w:rPr>
          <w:rFonts w:cs="Arial"/>
        </w:rPr>
        <w:t>Review the final draft Action Plan at the last meeting of the Sessional Committee before COP15 and make recommendations to Parties.</w:t>
      </w:r>
    </w:p>
    <w:p w14:paraId="5310DBDE" w14:textId="77777777" w:rsidR="006E5484" w:rsidRDefault="006E5484">
      <w:pPr>
        <w:spacing w:after="0" w:line="240" w:lineRule="auto"/>
        <w:jc w:val="both"/>
        <w:rPr>
          <w:rFonts w:cs="Arial"/>
          <w:b/>
          <w:i/>
        </w:rPr>
      </w:pPr>
    </w:p>
    <w:p w14:paraId="48CFA578" w14:textId="77777777" w:rsidR="006E5484" w:rsidRDefault="006E5484">
      <w:pPr>
        <w:spacing w:after="0" w:line="240" w:lineRule="auto"/>
        <w:jc w:val="both"/>
        <w:rPr>
          <w:rFonts w:cs="Arial"/>
          <w:b/>
          <w:i/>
        </w:rPr>
      </w:pPr>
    </w:p>
    <w:p w14:paraId="610BD3EB" w14:textId="77777777" w:rsidR="006E5484" w:rsidRDefault="00FB2FEF">
      <w:pPr>
        <w:spacing w:after="0" w:line="240" w:lineRule="auto"/>
        <w:jc w:val="both"/>
      </w:pPr>
      <w:r>
        <w:rPr>
          <w:rFonts w:cs="Arial"/>
          <w:b/>
          <w:i/>
        </w:rPr>
        <w:t>Directed to the Secretariat</w:t>
      </w:r>
    </w:p>
    <w:p w14:paraId="1DCDCAB8" w14:textId="77777777" w:rsidR="006E5484" w:rsidRDefault="006E5484">
      <w:pPr>
        <w:spacing w:after="0" w:line="240" w:lineRule="auto"/>
        <w:jc w:val="both"/>
        <w:rPr>
          <w:rFonts w:cs="Arial"/>
        </w:rPr>
      </w:pPr>
    </w:p>
    <w:p w14:paraId="7AE6C158" w14:textId="1781C237" w:rsidR="006E5484" w:rsidRDefault="00FB2FEF" w:rsidP="001D3B79">
      <w:pPr>
        <w:spacing w:after="0" w:line="240" w:lineRule="auto"/>
        <w:ind w:left="720" w:hanging="720"/>
        <w:jc w:val="both"/>
      </w:pPr>
      <w:r>
        <w:rPr>
          <w:rFonts w:cs="Arial"/>
        </w:rPr>
        <w:t>14.</w:t>
      </w:r>
      <w:r w:rsidR="008B1E00">
        <w:rPr>
          <w:rFonts w:cs="Arial"/>
        </w:rPr>
        <w:t>JJ</w:t>
      </w:r>
      <w:r>
        <w:rPr>
          <w:rFonts w:cs="Arial"/>
        </w:rPr>
        <w:tab/>
        <w:t>The Secretariat shall, subject to the availability of external resources:</w:t>
      </w:r>
    </w:p>
    <w:p w14:paraId="01943845" w14:textId="77777777" w:rsidR="006E5484" w:rsidRDefault="006E5484">
      <w:pPr>
        <w:widowControl w:val="0"/>
        <w:spacing w:after="0" w:line="240" w:lineRule="auto"/>
        <w:ind w:left="1418" w:hanging="567"/>
        <w:jc w:val="both"/>
        <w:rPr>
          <w:rFonts w:cs="Arial"/>
        </w:rPr>
      </w:pPr>
    </w:p>
    <w:p w14:paraId="2E3F66BD" w14:textId="680484A1" w:rsidR="006E5484" w:rsidRDefault="00FB2FEF" w:rsidP="001D3B79">
      <w:pPr>
        <w:widowControl w:val="0"/>
        <w:numPr>
          <w:ilvl w:val="0"/>
          <w:numId w:val="30"/>
        </w:numPr>
        <w:spacing w:after="0" w:line="240" w:lineRule="auto"/>
        <w:ind w:left="1080"/>
        <w:jc w:val="both"/>
      </w:pPr>
      <w:r>
        <w:rPr>
          <w:rFonts w:cs="Arial"/>
        </w:rPr>
        <w:t>Organize a workshop of interested Parties, scientists and conservation organizations working in the Red Sea region to identify how best to take forward cetacean conservation there and assist in the development of an Action Plan;</w:t>
      </w:r>
    </w:p>
    <w:p w14:paraId="515538ED" w14:textId="77777777" w:rsidR="006E5484" w:rsidRDefault="006E5484" w:rsidP="001D3B79">
      <w:pPr>
        <w:widowControl w:val="0"/>
        <w:spacing w:after="0" w:line="240" w:lineRule="auto"/>
        <w:ind w:left="1080" w:hanging="360"/>
        <w:jc w:val="both"/>
        <w:rPr>
          <w:rFonts w:cs="Arial"/>
        </w:rPr>
      </w:pPr>
    </w:p>
    <w:p w14:paraId="4D75C064" w14:textId="33CF0104" w:rsidR="006E5484" w:rsidRDefault="00FB2FEF" w:rsidP="001D3B79">
      <w:pPr>
        <w:widowControl w:val="0"/>
        <w:numPr>
          <w:ilvl w:val="0"/>
          <w:numId w:val="10"/>
        </w:numPr>
        <w:spacing w:after="0" w:line="240" w:lineRule="auto"/>
        <w:ind w:left="1080"/>
        <w:jc w:val="both"/>
      </w:pPr>
      <w:r>
        <w:rPr>
          <w:rFonts w:cs="Arial"/>
        </w:rPr>
        <w:t xml:space="preserve">Consult with </w:t>
      </w:r>
      <w:r w:rsidR="00AE2CF0" w:rsidRPr="00A77FC3">
        <w:rPr>
          <w:rFonts w:cs="Arial"/>
        </w:rPr>
        <w:t>relevant</w:t>
      </w:r>
      <w:r>
        <w:rPr>
          <w:rFonts w:cs="Arial"/>
        </w:rPr>
        <w:t xml:space="preserve"> regional </w:t>
      </w:r>
      <w:r w:rsidR="00AE2CF0" w:rsidRPr="00A77FC3">
        <w:rPr>
          <w:rFonts w:cs="Arial"/>
        </w:rPr>
        <w:t xml:space="preserve">and technical </w:t>
      </w:r>
      <w:r>
        <w:rPr>
          <w:rFonts w:cs="Arial"/>
        </w:rPr>
        <w:t xml:space="preserve">bodies </w:t>
      </w:r>
      <w:r w:rsidR="00AE2CF0" w:rsidRPr="00A77FC3">
        <w:rPr>
          <w:rFonts w:cs="Arial"/>
        </w:rPr>
        <w:t>such as</w:t>
      </w:r>
      <w:r>
        <w:rPr>
          <w:rFonts w:cs="Arial"/>
        </w:rPr>
        <w:t xml:space="preserve"> the Secretariat of the Regional Organization for the Conservation of the Environment in the Red Sea and the Gulf of Aden (PERSGA) </w:t>
      </w:r>
      <w:r w:rsidR="00264B9D" w:rsidRPr="00A77FC3">
        <w:rPr>
          <w:rFonts w:cs="Arial"/>
        </w:rPr>
        <w:t xml:space="preserve">and the IUCN Species Survival Commission Cetacean Specialist Group </w:t>
      </w:r>
      <w:r w:rsidRPr="00A77FC3">
        <w:rPr>
          <w:rFonts w:cs="Arial"/>
        </w:rPr>
        <w:t xml:space="preserve">to seek </w:t>
      </w:r>
      <w:r w:rsidR="00264B9D" w:rsidRPr="00A77FC3">
        <w:rPr>
          <w:rFonts w:cs="Arial"/>
        </w:rPr>
        <w:t>their</w:t>
      </w:r>
      <w:r>
        <w:rPr>
          <w:rFonts w:cs="Arial"/>
        </w:rPr>
        <w:t xml:space="preserve"> support to take forward cetacean conservation in the Red Sea, as recommended by the above-mentioned workshop;</w:t>
      </w:r>
    </w:p>
    <w:p w14:paraId="396287DB" w14:textId="77777777" w:rsidR="006E5484" w:rsidRDefault="006E5484" w:rsidP="001D3B79">
      <w:pPr>
        <w:widowControl w:val="0"/>
        <w:spacing w:after="0" w:line="240" w:lineRule="auto"/>
        <w:ind w:left="1080" w:hanging="360"/>
        <w:jc w:val="both"/>
        <w:rPr>
          <w:rFonts w:cs="Arial"/>
        </w:rPr>
      </w:pPr>
    </w:p>
    <w:p w14:paraId="1402B9FF" w14:textId="77777777" w:rsidR="006E5484" w:rsidRDefault="00FB2FEF" w:rsidP="001D3B79">
      <w:pPr>
        <w:widowControl w:val="0"/>
        <w:numPr>
          <w:ilvl w:val="0"/>
          <w:numId w:val="10"/>
        </w:numPr>
        <w:spacing w:after="0" w:line="240" w:lineRule="auto"/>
        <w:ind w:left="1080"/>
        <w:jc w:val="both"/>
      </w:pPr>
      <w:r>
        <w:rPr>
          <w:rFonts w:cs="Arial"/>
        </w:rPr>
        <w:t xml:space="preserve">Present the draft Action Plan to the last meeting of the Sessional Committee of the Scientific Council </w:t>
      </w:r>
      <w:r w:rsidR="00D9145D" w:rsidRPr="00A77FC3">
        <w:rPr>
          <w:rFonts w:cs="Arial"/>
        </w:rPr>
        <w:t xml:space="preserve">for review </w:t>
      </w:r>
      <w:r>
        <w:rPr>
          <w:rFonts w:cs="Arial"/>
        </w:rPr>
        <w:t>before COP15.</w:t>
      </w:r>
    </w:p>
    <w:p w14:paraId="4DECEBB6" w14:textId="77777777" w:rsidR="006E5484" w:rsidRDefault="006E5484">
      <w:pPr>
        <w:widowControl w:val="0"/>
        <w:spacing w:after="0" w:line="240" w:lineRule="auto"/>
        <w:jc w:val="both"/>
        <w:rPr>
          <w:rFonts w:cs="Arial"/>
          <w:b/>
          <w:bCs/>
          <w:i/>
          <w:iCs/>
          <w:sz w:val="20"/>
          <w:szCs w:val="20"/>
        </w:rPr>
      </w:pPr>
    </w:p>
    <w:p w14:paraId="151B8554" w14:textId="77777777" w:rsidR="006E5484" w:rsidRDefault="006E5484">
      <w:pPr>
        <w:spacing w:after="0" w:line="240" w:lineRule="auto"/>
        <w:jc w:val="both"/>
        <w:rPr>
          <w:rFonts w:cs="Arial"/>
        </w:rPr>
      </w:pPr>
    </w:p>
    <w:p w14:paraId="5BD6A3AF" w14:textId="77777777" w:rsidR="006E5484" w:rsidRDefault="00FB2FEF">
      <w:pPr>
        <w:spacing w:after="0" w:line="240" w:lineRule="auto"/>
        <w:jc w:val="center"/>
      </w:pPr>
      <w:r>
        <w:rPr>
          <w:rFonts w:cs="Arial"/>
          <w:b/>
          <w:bCs/>
        </w:rPr>
        <w:t xml:space="preserve">ACTION PLAN FOR THE PROTECTION AND CONSERVATION </w:t>
      </w:r>
    </w:p>
    <w:p w14:paraId="545244F1" w14:textId="57A86EEE" w:rsidR="006E5484" w:rsidRDefault="00FB2FEF">
      <w:pPr>
        <w:spacing w:after="0" w:line="240" w:lineRule="auto"/>
        <w:jc w:val="center"/>
      </w:pPr>
      <w:r>
        <w:rPr>
          <w:rFonts w:cs="Arial"/>
          <w:b/>
          <w:bCs/>
        </w:rPr>
        <w:t>OF SOUTH ATLANTIC WHALES</w:t>
      </w:r>
    </w:p>
    <w:p w14:paraId="732BBF9E" w14:textId="77777777" w:rsidR="006E5484" w:rsidRDefault="006E5484">
      <w:pPr>
        <w:spacing w:after="0" w:line="240" w:lineRule="auto"/>
        <w:jc w:val="both"/>
        <w:rPr>
          <w:rFonts w:cs="Arial"/>
        </w:rPr>
      </w:pPr>
    </w:p>
    <w:p w14:paraId="70630A14" w14:textId="77777777" w:rsidR="006E5484" w:rsidRDefault="006E5484">
      <w:pPr>
        <w:spacing w:after="0" w:line="240" w:lineRule="auto"/>
        <w:jc w:val="both"/>
        <w:rPr>
          <w:rFonts w:cs="Arial"/>
          <w:b/>
          <w:i/>
        </w:rPr>
      </w:pPr>
    </w:p>
    <w:p w14:paraId="2286A0DF" w14:textId="77777777" w:rsidR="006E5484" w:rsidRDefault="00FB2FEF">
      <w:pPr>
        <w:spacing w:after="0" w:line="240" w:lineRule="auto"/>
        <w:jc w:val="both"/>
      </w:pPr>
      <w:r>
        <w:rPr>
          <w:rFonts w:cs="Arial"/>
          <w:b/>
          <w:i/>
        </w:rPr>
        <w:t xml:space="preserve">Directed to Parties </w:t>
      </w:r>
    </w:p>
    <w:p w14:paraId="21D64B61" w14:textId="77777777" w:rsidR="006E5484" w:rsidRDefault="006E5484">
      <w:pPr>
        <w:spacing w:after="0" w:line="240" w:lineRule="auto"/>
        <w:jc w:val="both"/>
        <w:rPr>
          <w:rFonts w:cs="Arial"/>
        </w:rPr>
      </w:pPr>
    </w:p>
    <w:p w14:paraId="35167CD7" w14:textId="7AC58415" w:rsidR="006E5484" w:rsidRDefault="00FB2FEF" w:rsidP="001D3B79">
      <w:pPr>
        <w:spacing w:after="0" w:line="240" w:lineRule="auto"/>
        <w:ind w:left="720" w:hanging="720"/>
        <w:jc w:val="both"/>
      </w:pPr>
      <w:r>
        <w:rPr>
          <w:rFonts w:cs="Arial"/>
        </w:rPr>
        <w:t>14.</w:t>
      </w:r>
      <w:r w:rsidR="006F32E5">
        <w:rPr>
          <w:rFonts w:cs="Arial"/>
        </w:rPr>
        <w:t>KK</w:t>
      </w:r>
      <w:r>
        <w:rPr>
          <w:rFonts w:cs="Arial"/>
        </w:rPr>
        <w:tab/>
      </w:r>
      <w:r>
        <w:rPr>
          <w:rFonts w:cs="Arial"/>
          <w:iCs/>
        </w:rPr>
        <w:t xml:space="preserve">Parties are requested to report </w:t>
      </w:r>
      <w:r w:rsidRPr="00A33092">
        <w:rPr>
          <w:rFonts w:cs="Arial"/>
        </w:rPr>
        <w:t xml:space="preserve">through </w:t>
      </w:r>
      <w:r w:rsidR="00532653" w:rsidRPr="00A33092">
        <w:rPr>
          <w:rFonts w:cs="Arial"/>
        </w:rPr>
        <w:t>their</w:t>
      </w:r>
      <w:r w:rsidRPr="00A33092">
        <w:rPr>
          <w:rFonts w:cs="Arial"/>
        </w:rPr>
        <w:t xml:space="preserve"> National Reports</w:t>
      </w:r>
      <w:r>
        <w:rPr>
          <w:rFonts w:cs="Arial"/>
          <w:iCs/>
        </w:rPr>
        <w:t xml:space="preserve"> on progress in implementing the Action Plan for the Protection and Conservation of South Atlantic Whales (Annex 1 to Resolution 12.17 </w:t>
      </w:r>
      <w:r>
        <w:rPr>
          <w:rFonts w:cs="Arial"/>
          <w:i/>
        </w:rPr>
        <w:t>Conservation and Management of Whales and their Habitats in the South Atlantic Region</w:t>
      </w:r>
      <w:r>
        <w:rPr>
          <w:rFonts w:cs="Arial"/>
          <w:iCs/>
        </w:rPr>
        <w:t xml:space="preserve">), including monitoring and efficacy of measures taken, to the Conference of the Parties at its </w:t>
      </w:r>
      <w:r w:rsidRPr="00A33092">
        <w:rPr>
          <w:rFonts w:cs="Arial"/>
        </w:rPr>
        <w:t>15</w:t>
      </w:r>
      <w:r w:rsidRPr="00A33092">
        <w:rPr>
          <w:rFonts w:cs="Arial"/>
          <w:vertAlign w:val="superscript"/>
        </w:rPr>
        <w:t>th</w:t>
      </w:r>
      <w:r w:rsidRPr="00A33092">
        <w:rPr>
          <w:rFonts w:cs="Arial"/>
          <w:iCs/>
        </w:rPr>
        <w:t xml:space="preserve"> m</w:t>
      </w:r>
      <w:r>
        <w:rPr>
          <w:rFonts w:cs="Arial"/>
          <w:iCs/>
        </w:rPr>
        <w:t>eeting</w:t>
      </w:r>
      <w:r>
        <w:rPr>
          <w:rFonts w:cs="Arial"/>
          <w:iCs/>
          <w:strike/>
        </w:rPr>
        <w:t>s</w:t>
      </w:r>
      <w:r>
        <w:rPr>
          <w:rFonts w:cs="Arial"/>
          <w:iCs/>
        </w:rPr>
        <w:t>.</w:t>
      </w:r>
    </w:p>
    <w:p w14:paraId="747AFEEA" w14:textId="77777777" w:rsidR="006E5484" w:rsidRDefault="006E5484">
      <w:pPr>
        <w:spacing w:after="0" w:line="240" w:lineRule="auto"/>
        <w:jc w:val="both"/>
        <w:rPr>
          <w:rFonts w:cs="Arial"/>
        </w:rPr>
      </w:pPr>
    </w:p>
    <w:p w14:paraId="5C5BC075" w14:textId="77777777" w:rsidR="006C2405" w:rsidRDefault="006C2405">
      <w:pPr>
        <w:spacing w:after="0" w:line="240" w:lineRule="auto"/>
        <w:rPr>
          <w:rFonts w:cs="Arial"/>
          <w:b/>
          <w:i/>
        </w:rPr>
      </w:pPr>
      <w:r>
        <w:rPr>
          <w:rFonts w:cs="Arial"/>
          <w:b/>
          <w:i/>
        </w:rPr>
        <w:br w:type="page"/>
      </w:r>
    </w:p>
    <w:p w14:paraId="2D925138" w14:textId="77777777" w:rsidR="006E5484" w:rsidRDefault="00FB2FEF">
      <w:pPr>
        <w:spacing w:after="0" w:line="240" w:lineRule="auto"/>
        <w:jc w:val="both"/>
      </w:pPr>
      <w:r>
        <w:rPr>
          <w:rFonts w:cs="Arial"/>
          <w:b/>
          <w:i/>
        </w:rPr>
        <w:lastRenderedPageBreak/>
        <w:t>Directed to the Secretariat</w:t>
      </w:r>
    </w:p>
    <w:p w14:paraId="61428EB5" w14:textId="77777777" w:rsidR="006E5484" w:rsidRDefault="006E5484">
      <w:pPr>
        <w:spacing w:after="0" w:line="240" w:lineRule="auto"/>
        <w:jc w:val="both"/>
        <w:rPr>
          <w:rFonts w:cs="Arial"/>
        </w:rPr>
      </w:pPr>
    </w:p>
    <w:p w14:paraId="5169ACE4" w14:textId="2D1B2CE3" w:rsidR="006E5484" w:rsidRDefault="00FB2FEF" w:rsidP="001D3B79">
      <w:pPr>
        <w:spacing w:after="0" w:line="240" w:lineRule="auto"/>
        <w:ind w:left="720" w:hanging="720"/>
        <w:jc w:val="both"/>
      </w:pPr>
      <w:r>
        <w:rPr>
          <w:rFonts w:cs="Arial"/>
        </w:rPr>
        <w:t>14.</w:t>
      </w:r>
      <w:r w:rsidR="00146DA8">
        <w:rPr>
          <w:rFonts w:cs="Arial"/>
        </w:rPr>
        <w:t>LL</w:t>
      </w:r>
      <w:r>
        <w:rPr>
          <w:rFonts w:cs="Arial"/>
        </w:rPr>
        <w:tab/>
        <w:t xml:space="preserve">The Secretariat shall, subject to the availability of external resources: </w:t>
      </w:r>
    </w:p>
    <w:p w14:paraId="5E1A7953" w14:textId="77777777" w:rsidR="006E5484" w:rsidRDefault="006E5484">
      <w:pPr>
        <w:spacing w:after="0" w:line="240" w:lineRule="auto"/>
        <w:ind w:left="851" w:hanging="851"/>
        <w:jc w:val="both"/>
        <w:rPr>
          <w:rFonts w:cs="Arial"/>
        </w:rPr>
      </w:pPr>
    </w:p>
    <w:p w14:paraId="38AD3E78" w14:textId="2B9B9D37" w:rsidR="006E5484" w:rsidRDefault="00FB2FEF" w:rsidP="00AC73F6">
      <w:pPr>
        <w:pStyle w:val="ListParagraph"/>
        <w:numPr>
          <w:ilvl w:val="0"/>
          <w:numId w:val="24"/>
        </w:numPr>
        <w:spacing w:after="0" w:line="240" w:lineRule="auto"/>
        <w:ind w:left="1080"/>
        <w:contextualSpacing w:val="0"/>
        <w:jc w:val="both"/>
      </w:pPr>
      <w:r>
        <w:rPr>
          <w:rFonts w:cs="Arial"/>
        </w:rPr>
        <w:t xml:space="preserve">Organize a regional workshop to improve capacity for the implementation of the Action Plan for the Protection and Conservation of South Atlantic Whales (Annex 1 to Resolution 12.17 </w:t>
      </w:r>
      <w:r>
        <w:rPr>
          <w:rFonts w:cs="Arial"/>
          <w:i/>
        </w:rPr>
        <w:t>Conservation and Management of Whales and their Habitats in the South Atlantic Region</w:t>
      </w:r>
      <w:r>
        <w:rPr>
          <w:rFonts w:cs="Arial"/>
        </w:rPr>
        <w:t>);</w:t>
      </w:r>
    </w:p>
    <w:p w14:paraId="694248D9" w14:textId="77777777" w:rsidR="006E5484" w:rsidRDefault="006E5484" w:rsidP="00AC73F6">
      <w:pPr>
        <w:pStyle w:val="ListParagraph"/>
        <w:spacing w:after="0" w:line="240" w:lineRule="auto"/>
        <w:ind w:left="1080" w:hanging="360"/>
        <w:contextualSpacing w:val="0"/>
        <w:jc w:val="both"/>
        <w:rPr>
          <w:rFonts w:cs="Arial"/>
          <w:iCs/>
        </w:rPr>
      </w:pPr>
    </w:p>
    <w:p w14:paraId="2EF1A312" w14:textId="77777777" w:rsidR="006E5484" w:rsidRDefault="00FB2FEF" w:rsidP="00AC73F6">
      <w:pPr>
        <w:pStyle w:val="ListParagraph"/>
        <w:numPr>
          <w:ilvl w:val="0"/>
          <w:numId w:val="24"/>
        </w:numPr>
        <w:spacing w:after="0" w:line="240" w:lineRule="auto"/>
        <w:ind w:left="1080"/>
        <w:contextualSpacing w:val="0"/>
        <w:jc w:val="both"/>
      </w:pPr>
      <w:r>
        <w:rPr>
          <w:rFonts w:cs="Arial"/>
        </w:rPr>
        <w:t xml:space="preserve">Continue to collaborate with the IWC on the implementation of the </w:t>
      </w:r>
      <w:r>
        <w:rPr>
          <w:rFonts w:cs="Arial"/>
          <w:iCs/>
        </w:rPr>
        <w:t>Action Plan for the Protection and Conservation of South Atlantic Whales.</w:t>
      </w:r>
    </w:p>
    <w:p w14:paraId="0709B525" w14:textId="77777777" w:rsidR="006E5484" w:rsidRDefault="006E5484">
      <w:pPr>
        <w:spacing w:after="0" w:line="240" w:lineRule="auto"/>
        <w:jc w:val="both"/>
      </w:pPr>
    </w:p>
    <w:sectPr w:rsidR="006E5484" w:rsidSect="001D3B79">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20"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4EE6" w14:textId="77777777" w:rsidR="0020390A" w:rsidRDefault="0020390A">
      <w:pPr>
        <w:spacing w:after="0" w:line="240" w:lineRule="auto"/>
      </w:pPr>
      <w:r>
        <w:separator/>
      </w:r>
    </w:p>
  </w:endnote>
  <w:endnote w:type="continuationSeparator" w:id="0">
    <w:p w14:paraId="4D48634D" w14:textId="77777777" w:rsidR="0020390A" w:rsidRDefault="0020390A">
      <w:pPr>
        <w:spacing w:after="0" w:line="240" w:lineRule="auto"/>
      </w:pPr>
      <w:r>
        <w:continuationSeparator/>
      </w:r>
    </w:p>
  </w:endnote>
  <w:endnote w:type="continuationNotice" w:id="1">
    <w:p w14:paraId="0BCC6494" w14:textId="77777777" w:rsidR="0020390A" w:rsidRDefault="00203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Noto Sans CJK SC">
    <w:panose1 w:val="00000000000000000000"/>
    <w:charset w:val="80"/>
    <w:family w:val="swiss"/>
    <w:notTrueType/>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4A62"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4780"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16</w:t>
    </w:r>
    <w:r>
      <w:rPr>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57334"/>
      <w:docPartObj>
        <w:docPartGallery w:val="Page Numbers (Bottom of Page)"/>
        <w:docPartUnique/>
      </w:docPartObj>
    </w:sdtPr>
    <w:sdtEndPr/>
    <w:sdtContent>
      <w:p w14:paraId="0F11315B"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15</w:t>
        </w:r>
        <w:r>
          <w:rPr>
            <w:sz w:val="18"/>
            <w:szCs w:val="18"/>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B220"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729200"/>
      <w:docPartObj>
        <w:docPartGallery w:val="Page Numbers (Bottom of Page)"/>
        <w:docPartUnique/>
      </w:docPartObj>
    </w:sdtPr>
    <w:sdtEndPr/>
    <w:sdtContent>
      <w:p w14:paraId="1CE7256A"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4F7C"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2768"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10</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320"/>
      <w:docPartObj>
        <w:docPartGallery w:val="Page Numbers (Bottom of Page)"/>
        <w:docPartUnique/>
      </w:docPartObj>
    </w:sdtPr>
    <w:sdtEndPr/>
    <w:sdtContent>
      <w:p w14:paraId="1668A2D1"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442F"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7BF5"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013123"/>
      <w:docPartObj>
        <w:docPartGallery w:val="Page Numbers (Bottom of Page)"/>
        <w:docPartUnique/>
      </w:docPartObj>
    </w:sdtPr>
    <w:sdtEndPr/>
    <w:sdtContent>
      <w:p w14:paraId="3FDBB1C6"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13</w:t>
        </w:r>
        <w:r>
          <w:rPr>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6C30" w14:textId="77777777" w:rsidR="006E5484" w:rsidRDefault="00FB2FEF">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0FF2" w14:textId="77777777" w:rsidR="0020390A" w:rsidRDefault="0020390A">
      <w:pPr>
        <w:rPr>
          <w:sz w:val="12"/>
        </w:rPr>
      </w:pPr>
      <w:r>
        <w:separator/>
      </w:r>
    </w:p>
  </w:footnote>
  <w:footnote w:type="continuationSeparator" w:id="0">
    <w:p w14:paraId="70B7E5A4" w14:textId="77777777" w:rsidR="0020390A" w:rsidRDefault="0020390A">
      <w:pPr>
        <w:rPr>
          <w:sz w:val="12"/>
        </w:rPr>
      </w:pPr>
      <w:r>
        <w:continuationSeparator/>
      </w:r>
    </w:p>
  </w:footnote>
  <w:footnote w:type="continuationNotice" w:id="1">
    <w:p w14:paraId="2714CCA6" w14:textId="77777777" w:rsidR="0020390A" w:rsidRDefault="0020390A">
      <w:pPr>
        <w:spacing w:after="0" w:line="240" w:lineRule="auto"/>
      </w:pPr>
    </w:p>
  </w:footnote>
  <w:footnote w:id="2">
    <w:p w14:paraId="39A6856E" w14:textId="73B48F18" w:rsidR="006E5484" w:rsidRDefault="00FB2FEF" w:rsidP="0031773E">
      <w:pPr>
        <w:pStyle w:val="FootnoteText"/>
        <w:jc w:val="both"/>
      </w:pPr>
      <w:r>
        <w:rPr>
          <w:rStyle w:val="FootnoteCharacters"/>
        </w:rPr>
        <w:footnoteRef/>
      </w:r>
      <w:r>
        <w:rPr>
          <w:sz w:val="16"/>
          <w:szCs w:val="16"/>
        </w:rPr>
        <w:t xml:space="preserve"> Ecosystem function </w:t>
      </w:r>
      <w:r w:rsidR="00C03B12">
        <w:rPr>
          <w:sz w:val="16"/>
          <w:szCs w:val="16"/>
        </w:rPr>
        <w:t>refers to the</w:t>
      </w:r>
      <w:r>
        <w:rPr>
          <w:sz w:val="16"/>
          <w:szCs w:val="16"/>
        </w:rPr>
        <w:t xml:space="preserve"> physical, chemical, and biological processes that transform and translocate energy or materials in an ecosystem. (</w:t>
      </w:r>
      <w:hyperlink r:id="rId1">
        <w:r>
          <w:rPr>
            <w:rStyle w:val="Hyperlink"/>
            <w:sz w:val="16"/>
            <w:szCs w:val="16"/>
          </w:rPr>
          <w:t>Report of the IWC-CMS Workshop on Cetacean Ecosystem Functioning (2021)</w:t>
        </w:r>
      </w:hyperlink>
      <w:r>
        <w:rPr>
          <w:sz w:val="16"/>
          <w:szCs w:val="16"/>
        </w:rPr>
        <w:t>, Annex D.)</w:t>
      </w:r>
    </w:p>
  </w:footnote>
  <w:footnote w:id="3">
    <w:p w14:paraId="445990B2" w14:textId="77777777" w:rsidR="006E5484" w:rsidRDefault="00FB2FEF" w:rsidP="0031773E">
      <w:pPr>
        <w:pStyle w:val="FootnoteText"/>
        <w:jc w:val="both"/>
      </w:pPr>
      <w:r>
        <w:rPr>
          <w:rStyle w:val="FootnoteCharacters"/>
        </w:rPr>
        <w:footnoteRef/>
      </w:r>
      <w:r>
        <w:rPr>
          <w:sz w:val="16"/>
          <w:szCs w:val="16"/>
        </w:rPr>
        <w:t xml:space="preserve"> The carbon naturally captured, stored, and sequestered in coastal and marine ecosystems. (</w:t>
      </w:r>
      <w:hyperlink r:id="rId2">
        <w:r>
          <w:rPr>
            <w:rStyle w:val="Hyperlink"/>
            <w:sz w:val="16"/>
            <w:szCs w:val="16"/>
          </w:rPr>
          <w:t>Report of the IWC-CMS Workshop on Cetacean Ecosystem Functioning (2021)</w:t>
        </w:r>
      </w:hyperlink>
      <w:r>
        <w:rPr>
          <w:sz w:val="16"/>
          <w:szCs w:val="16"/>
        </w:rPr>
        <w:t>, Annex D.)</w:t>
      </w:r>
    </w:p>
  </w:footnote>
  <w:footnote w:id="4">
    <w:p w14:paraId="66D28AFF" w14:textId="394D1A8C" w:rsidR="00636CF2" w:rsidRPr="00A33092" w:rsidRDefault="00636CF2" w:rsidP="00DE2D6A">
      <w:pPr>
        <w:pStyle w:val="FootnoteText"/>
        <w:jc w:val="both"/>
        <w:rPr>
          <w:sz w:val="16"/>
          <w:szCs w:val="16"/>
          <w:lang w:val="en-US"/>
        </w:rPr>
      </w:pPr>
      <w:r w:rsidRPr="00A33092">
        <w:rPr>
          <w:rStyle w:val="FootnoteReference"/>
          <w:sz w:val="16"/>
          <w:szCs w:val="16"/>
        </w:rPr>
        <w:footnoteRef/>
      </w:r>
      <w:r w:rsidRPr="00A33092">
        <w:rPr>
          <w:sz w:val="16"/>
          <w:szCs w:val="16"/>
        </w:rPr>
        <w:t xml:space="preserve"> Agreement on the Conservation of Cetaceans of the Black Sea, Mediterranean </w:t>
      </w:r>
      <w:proofErr w:type="gramStart"/>
      <w:r w:rsidRPr="00A33092">
        <w:rPr>
          <w:sz w:val="16"/>
          <w:szCs w:val="16"/>
        </w:rPr>
        <w:t>Sea</w:t>
      </w:r>
      <w:proofErr w:type="gramEnd"/>
      <w:r w:rsidRPr="00A33092">
        <w:rPr>
          <w:sz w:val="16"/>
          <w:szCs w:val="16"/>
        </w:rPr>
        <w:t xml:space="preserve"> and contiguous Atlantic area</w:t>
      </w:r>
    </w:p>
  </w:footnote>
  <w:footnote w:id="5">
    <w:p w14:paraId="30434EE4" w14:textId="13E76D09" w:rsidR="00A807AA" w:rsidRPr="00A33092" w:rsidRDefault="00A807AA" w:rsidP="00DE2D6A">
      <w:pPr>
        <w:pStyle w:val="FootnoteText"/>
        <w:jc w:val="both"/>
        <w:rPr>
          <w:sz w:val="16"/>
          <w:szCs w:val="16"/>
          <w:lang w:val="en-US"/>
        </w:rPr>
      </w:pPr>
      <w:r w:rsidRPr="00A33092">
        <w:rPr>
          <w:rStyle w:val="FootnoteReference"/>
          <w:sz w:val="16"/>
          <w:szCs w:val="16"/>
        </w:rPr>
        <w:footnoteRef/>
      </w:r>
      <w:r w:rsidRPr="00A33092">
        <w:rPr>
          <w:sz w:val="16"/>
          <w:szCs w:val="16"/>
        </w:rPr>
        <w:t xml:space="preserve"> Agreement on the Conservation of Small Cetaceans of the Baltic, </w:t>
      </w:r>
      <w:proofErr w:type="gramStart"/>
      <w:r w:rsidRPr="00A33092">
        <w:rPr>
          <w:sz w:val="16"/>
          <w:szCs w:val="16"/>
        </w:rPr>
        <w:t>North East</w:t>
      </w:r>
      <w:proofErr w:type="gramEnd"/>
      <w:r w:rsidRPr="00A33092">
        <w:rPr>
          <w:sz w:val="16"/>
          <w:szCs w:val="16"/>
        </w:rPr>
        <w:t xml:space="preserve"> Atlantic, Irish and North Seas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C99B" w14:textId="77777777" w:rsidR="006E5484" w:rsidRDefault="00FB2FEF">
    <w:pPr>
      <w:tabs>
        <w:tab w:val="center" w:pos="4680"/>
        <w:tab w:val="right" w:pos="9360"/>
      </w:tabs>
      <w:spacing w:after="0" w:line="240" w:lineRule="auto"/>
      <w:ind w:right="-547"/>
      <w:jc w:val="right"/>
      <w:textAlignment w:val="baseline"/>
      <w:rPr>
        <w:rFonts w:ascii="Calibri" w:eastAsia="Calibri" w:hAnsi="Calibri" w:cs="Times New Roman"/>
      </w:rPr>
    </w:pPr>
    <w:r>
      <w:rPr>
        <w:rFonts w:ascii="Calibri" w:eastAsia="Calibri" w:hAnsi="Calibri" w:cs="Times New Roman"/>
        <w:noProof/>
      </w:rPr>
      <w:drawing>
        <wp:anchor distT="0" distB="0" distL="114300" distR="114300" simplePos="0" relativeHeight="251658240" behindDoc="0" locked="0" layoutInCell="0" allowOverlap="1" wp14:anchorId="0706A253" wp14:editId="248E0EDD">
          <wp:simplePos x="0" y="0"/>
          <wp:positionH relativeFrom="column">
            <wp:posOffset>5608320</wp:posOffset>
          </wp:positionH>
          <wp:positionV relativeFrom="paragraph">
            <wp:posOffset>-88900</wp:posOffset>
          </wp:positionV>
          <wp:extent cx="541020" cy="259715"/>
          <wp:effectExtent l="0" t="0" r="0" b="0"/>
          <wp:wrapTight wrapText="bothSides">
            <wp:wrapPolygon edited="0">
              <wp:start x="-327" y="0"/>
              <wp:lineTo x="-327" y="19900"/>
              <wp:lineTo x="20270" y="19900"/>
              <wp:lineTo x="20270" y="0"/>
              <wp:lineTo x="-32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stretch>
                    <a:fillRect/>
                  </a:stretch>
                </pic:blipFill>
                <pic:spPr bwMode="auto">
                  <a:xfrm>
                    <a:off x="0" y="0"/>
                    <a:ext cx="541020" cy="259715"/>
                  </a:xfrm>
                  <a:prstGeom prst="rect">
                    <a:avLst/>
                  </a:prstGeom>
                </pic:spPr>
              </pic:pic>
            </a:graphicData>
          </a:graphic>
        </wp:anchor>
      </w:drawing>
    </w:r>
    <w:r>
      <w:rPr>
        <w:rFonts w:ascii="Calibri" w:eastAsia="Calibri" w:hAnsi="Calibri" w:cs="Times New Roman"/>
        <w:noProof/>
      </w:rPr>
      <w:drawing>
        <wp:anchor distT="0" distB="0" distL="114300" distR="114300" simplePos="0" relativeHeight="251658241" behindDoc="0" locked="0" layoutInCell="0" allowOverlap="1" wp14:anchorId="78DCFD69" wp14:editId="50F2B023">
          <wp:simplePos x="0" y="0"/>
          <wp:positionH relativeFrom="column">
            <wp:posOffset>715645</wp:posOffset>
          </wp:positionH>
          <wp:positionV relativeFrom="paragraph">
            <wp:posOffset>-208915</wp:posOffset>
          </wp:positionV>
          <wp:extent cx="431165" cy="441325"/>
          <wp:effectExtent l="0" t="0" r="0" b="0"/>
          <wp:wrapTight wrapText="bothSides">
            <wp:wrapPolygon edited="0">
              <wp:start x="-10" y="0"/>
              <wp:lineTo x="-10" y="20495"/>
              <wp:lineTo x="20986" y="20495"/>
              <wp:lineTo x="20986" y="0"/>
              <wp:lineTo x="-1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icture containing text&#10;&#10;Description automatically generated"/>
                  <pic:cNvPicPr>
                    <a:picLocks noChangeAspect="1" noChangeArrowheads="1"/>
                  </pic:cNvPicPr>
                </pic:nvPicPr>
                <pic:blipFill>
                  <a:blip r:embed="rId2"/>
                  <a:srcRect l="2773" t="-1241" r="60244" b="48832"/>
                  <a:stretch>
                    <a:fillRect/>
                  </a:stretch>
                </pic:blipFill>
                <pic:spPr bwMode="auto">
                  <a:xfrm>
                    <a:off x="0" y="0"/>
                    <a:ext cx="431165" cy="441325"/>
                  </a:xfrm>
                  <a:prstGeom prst="rect">
                    <a:avLst/>
                  </a:prstGeom>
                </pic:spPr>
              </pic:pic>
            </a:graphicData>
          </a:graphic>
        </wp:anchor>
      </w:drawing>
    </w:r>
    <w:r>
      <w:rPr>
        <w:rFonts w:ascii="Calibri" w:eastAsia="Calibri" w:hAnsi="Calibri" w:cs="Times New Roman"/>
        <w:noProof/>
      </w:rPr>
      <w:drawing>
        <wp:anchor distT="0" distB="0" distL="0" distR="0" simplePos="0" relativeHeight="251658242" behindDoc="1" locked="0" layoutInCell="0" allowOverlap="1" wp14:anchorId="095C0676" wp14:editId="2A7084E1">
          <wp:simplePos x="0" y="0"/>
          <wp:positionH relativeFrom="column">
            <wp:posOffset>-63500</wp:posOffset>
          </wp:positionH>
          <wp:positionV relativeFrom="paragraph">
            <wp:posOffset>-241300</wp:posOffset>
          </wp:positionV>
          <wp:extent cx="641350" cy="6413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Logo&#10;&#10;Description automatically generated"/>
                  <pic:cNvPicPr>
                    <a:picLocks noChangeAspect="1" noChangeArrowheads="1"/>
                  </pic:cNvPicPr>
                </pic:nvPicPr>
                <pic:blipFill>
                  <a:blip r:embed="rId3"/>
                  <a:stretch>
                    <a:fillRect/>
                  </a:stretch>
                </pic:blipFill>
                <pic:spPr bwMode="auto">
                  <a:xfrm>
                    <a:off x="0" y="0"/>
                    <a:ext cx="641350" cy="641350"/>
                  </a:xfrm>
                  <a:prstGeom prst="rect">
                    <a:avLst/>
                  </a:prstGeom>
                </pic:spPr>
              </pic:pic>
            </a:graphicData>
          </a:graphic>
        </wp:anchor>
      </w:drawing>
    </w:r>
  </w:p>
  <w:p w14:paraId="09482A76" w14:textId="77777777" w:rsidR="006E5484" w:rsidRDefault="006E54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F22" w14:textId="3A1F33D8" w:rsidR="006E5484" w:rsidRDefault="00FB2FEF">
    <w:pPr>
      <w:pStyle w:val="Header"/>
      <w:pBdr>
        <w:bottom w:val="single" w:sz="4" w:space="1" w:color="000000"/>
      </w:pBdr>
    </w:pPr>
    <w:r>
      <w:rPr>
        <w:rFonts w:cs="Arial"/>
        <w:i/>
        <w:sz w:val="18"/>
        <w:szCs w:val="18"/>
      </w:rPr>
      <w:t>UNEP/CMS/COP14/Doc</w:t>
    </w:r>
    <w:r w:rsidR="00E8572A">
      <w:rPr>
        <w:rFonts w:cs="Arial"/>
        <w:i/>
        <w:sz w:val="18"/>
        <w:szCs w:val="18"/>
      </w:rPr>
      <w:t>.</w:t>
    </w:r>
    <w:r w:rsidR="00E8572A" w:rsidRPr="005A3FD7">
      <w:rPr>
        <w:rFonts w:cs="Arial"/>
        <w:i/>
        <w:sz w:val="18"/>
        <w:szCs w:val="18"/>
      </w:rPr>
      <w:t>27.5.1</w:t>
    </w:r>
    <w:r>
      <w:rPr>
        <w:rFonts w:cs="Arial"/>
        <w:i/>
        <w:sz w:val="18"/>
        <w:szCs w:val="18"/>
      </w:rPr>
      <w:t>/</w:t>
    </w:r>
    <w:r w:rsidR="00874C14">
      <w:rPr>
        <w:rFonts w:cs="Arial"/>
        <w:i/>
        <w:sz w:val="18"/>
        <w:szCs w:val="18"/>
      </w:rPr>
      <w:t>Rev.1</w:t>
    </w:r>
    <w:r w:rsidR="009614E6">
      <w:rPr>
        <w:rFonts w:cs="Arial"/>
        <w:i/>
        <w:sz w:val="18"/>
        <w:szCs w:val="18"/>
      </w:rPr>
      <w:t>/</w:t>
    </w:r>
    <w:r>
      <w:rPr>
        <w:rFonts w:cs="Arial"/>
        <w:i/>
        <w:sz w:val="18"/>
        <w:szCs w:val="18"/>
      </w:rPr>
      <w:t>Annex</w:t>
    </w:r>
    <w:r w:rsidR="00E50B80">
      <w:rPr>
        <w:rFonts w:cs="Arial"/>
        <w:i/>
        <w:sz w:val="18"/>
        <w:szCs w:val="18"/>
      </w:rPr>
      <w:t xml:space="preserv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C31C" w14:textId="21B52E5D" w:rsidR="006E5484" w:rsidRDefault="00FB2FEF">
    <w:pPr>
      <w:pStyle w:val="Header"/>
      <w:pBdr>
        <w:bottom w:val="single" w:sz="4" w:space="1" w:color="000000"/>
      </w:pBdr>
    </w:pPr>
    <w:r>
      <w:rPr>
        <w:rFonts w:cs="Arial"/>
        <w:i/>
        <w:sz w:val="18"/>
        <w:szCs w:val="18"/>
      </w:rPr>
      <w:t>UNEP/CMS/COP14/Doc</w:t>
    </w:r>
    <w:r w:rsidR="00E50B80">
      <w:rPr>
        <w:rFonts w:cs="Arial"/>
        <w:i/>
        <w:sz w:val="18"/>
        <w:szCs w:val="18"/>
      </w:rPr>
      <w:t>.</w:t>
    </w:r>
    <w:r w:rsidR="00E50B80" w:rsidRPr="005A3FD7">
      <w:rPr>
        <w:rFonts w:cs="Arial"/>
        <w:i/>
        <w:sz w:val="18"/>
        <w:szCs w:val="18"/>
      </w:rPr>
      <w:t>27.5.1</w:t>
    </w:r>
    <w:r>
      <w:rPr>
        <w:rFonts w:cs="Arial"/>
        <w:i/>
        <w:sz w:val="18"/>
        <w:szCs w:val="18"/>
      </w:rPr>
      <w:t>/</w:t>
    </w:r>
    <w:r w:rsidR="00874C14">
      <w:rPr>
        <w:rFonts w:cs="Arial"/>
        <w:i/>
        <w:sz w:val="18"/>
        <w:szCs w:val="18"/>
      </w:rPr>
      <w:t>Rev.1</w:t>
    </w:r>
    <w:r w:rsidR="009614E6">
      <w:rPr>
        <w:rFonts w:cs="Arial"/>
        <w:i/>
        <w:sz w:val="18"/>
        <w:szCs w:val="18"/>
      </w:rPr>
      <w:t>/</w:t>
    </w:r>
    <w:r>
      <w:rPr>
        <w:rFonts w:cs="Arial"/>
        <w:i/>
        <w:sz w:val="18"/>
        <w:szCs w:val="18"/>
      </w:rPr>
      <w:t>Annex</w:t>
    </w:r>
    <w:r w:rsidR="00E50B80">
      <w:rPr>
        <w:rFonts w:cs="Arial"/>
        <w:i/>
        <w:sz w:val="18"/>
        <w:szCs w:val="18"/>
      </w:rPr>
      <w:t xml:space="preserve">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7350" w14:textId="125519D2" w:rsidR="006E5484" w:rsidRDefault="00FB2FEF">
    <w:pPr>
      <w:pStyle w:val="Header"/>
      <w:pBdr>
        <w:bottom w:val="single" w:sz="4" w:space="1" w:color="000000"/>
      </w:pBdr>
      <w:jc w:val="right"/>
    </w:pPr>
    <w:r>
      <w:rPr>
        <w:rFonts w:cs="Arial"/>
        <w:i/>
        <w:sz w:val="18"/>
        <w:szCs w:val="18"/>
      </w:rPr>
      <w:t>UNEP/CMS/COP14/Doc</w:t>
    </w:r>
    <w:r w:rsidR="00E50B80">
      <w:rPr>
        <w:rFonts w:cs="Arial"/>
        <w:i/>
        <w:sz w:val="18"/>
        <w:szCs w:val="18"/>
      </w:rPr>
      <w:t>.</w:t>
    </w:r>
    <w:r w:rsidR="00E50B80" w:rsidRPr="005A3FD7">
      <w:rPr>
        <w:rFonts w:cs="Arial"/>
        <w:i/>
        <w:sz w:val="18"/>
        <w:szCs w:val="18"/>
      </w:rPr>
      <w:t>27.5.1</w:t>
    </w:r>
    <w:r>
      <w:rPr>
        <w:rFonts w:cs="Arial"/>
        <w:i/>
        <w:sz w:val="18"/>
        <w:szCs w:val="18"/>
      </w:rPr>
      <w:t>/</w:t>
    </w:r>
    <w:r w:rsidR="00874C14">
      <w:rPr>
        <w:rFonts w:cs="Arial"/>
        <w:i/>
        <w:sz w:val="18"/>
        <w:szCs w:val="18"/>
      </w:rPr>
      <w:t>Rev.1/</w:t>
    </w:r>
    <w:r>
      <w:rPr>
        <w:rFonts w:cs="Arial"/>
        <w:i/>
        <w:sz w:val="18"/>
        <w:szCs w:val="18"/>
      </w:rPr>
      <w:t>Annex</w:t>
    </w:r>
    <w:r w:rsidR="00E50B80">
      <w:rPr>
        <w:rFonts w:cs="Arial"/>
        <w:i/>
        <w:sz w:val="18"/>
        <w:szCs w:val="18"/>
      </w:rPr>
      <w:t xml:space="preserve"> 3</w:t>
    </w:r>
  </w:p>
  <w:p w14:paraId="713AB9B2" w14:textId="77777777" w:rsidR="006E5484" w:rsidRDefault="006E54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0A3B" w14:textId="1CE1B616" w:rsidR="006E5484" w:rsidRDefault="00FB2FEF">
    <w:pPr>
      <w:pStyle w:val="Header"/>
      <w:pBdr>
        <w:bottom w:val="single" w:sz="4" w:space="1" w:color="000000"/>
      </w:pBdr>
    </w:pPr>
    <w:r>
      <w:rPr>
        <w:rFonts w:cs="Arial"/>
        <w:i/>
        <w:sz w:val="18"/>
        <w:szCs w:val="18"/>
      </w:rPr>
      <w:t>UNEP/CMS/COP14/Doc</w:t>
    </w:r>
    <w:r w:rsidR="00E50B80">
      <w:rPr>
        <w:rFonts w:cs="Arial"/>
        <w:i/>
        <w:sz w:val="18"/>
        <w:szCs w:val="18"/>
      </w:rPr>
      <w:t>.</w:t>
    </w:r>
    <w:r w:rsidR="00E50B80" w:rsidRPr="005A3FD7">
      <w:rPr>
        <w:rFonts w:cs="Arial"/>
        <w:i/>
        <w:sz w:val="18"/>
        <w:szCs w:val="18"/>
      </w:rPr>
      <w:t>27.5.1</w:t>
    </w:r>
    <w:r>
      <w:rPr>
        <w:rFonts w:cs="Arial"/>
        <w:i/>
        <w:sz w:val="18"/>
        <w:szCs w:val="18"/>
      </w:rPr>
      <w:t>/</w:t>
    </w:r>
    <w:r w:rsidR="00874C14">
      <w:rPr>
        <w:rFonts w:cs="Arial"/>
        <w:i/>
        <w:sz w:val="18"/>
        <w:szCs w:val="18"/>
      </w:rPr>
      <w:t>Rev.1</w:t>
    </w:r>
    <w:r w:rsidR="009614E6">
      <w:rPr>
        <w:rFonts w:cs="Arial"/>
        <w:i/>
        <w:sz w:val="18"/>
        <w:szCs w:val="18"/>
      </w:rPr>
      <w:t>/</w:t>
    </w:r>
    <w:r>
      <w:rPr>
        <w:rFonts w:cs="Arial"/>
        <w:i/>
        <w:sz w:val="18"/>
        <w:szCs w:val="18"/>
      </w:rPr>
      <w:t>Annex</w:t>
    </w:r>
    <w:r w:rsidR="00E50B80">
      <w:rPr>
        <w:rFonts w:cs="Arial"/>
        <w:i/>
        <w:sz w:val="18"/>
        <w:szCs w:val="18"/>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E674" w14:textId="14E06FF9" w:rsidR="006E5484" w:rsidRDefault="00FB2FEF">
    <w:pPr>
      <w:pStyle w:val="Header"/>
      <w:pBdr>
        <w:bottom w:val="single" w:sz="4" w:space="1" w:color="000000"/>
      </w:pBdr>
    </w:pPr>
    <w:r>
      <w:rPr>
        <w:rFonts w:cs="Arial"/>
        <w:i/>
        <w:sz w:val="18"/>
        <w:szCs w:val="18"/>
      </w:rPr>
      <w:t>UNEP/CMS/COP14/Doc</w:t>
    </w:r>
    <w:r w:rsidR="005A3FD7">
      <w:rPr>
        <w:rFonts w:cs="Arial"/>
        <w:i/>
        <w:sz w:val="18"/>
        <w:szCs w:val="18"/>
      </w:rPr>
      <w:t>.</w:t>
    </w:r>
    <w:r w:rsidR="005A3FD7" w:rsidRPr="005A3FD7">
      <w:rPr>
        <w:rFonts w:cs="Arial"/>
        <w:i/>
        <w:sz w:val="18"/>
        <w:szCs w:val="18"/>
      </w:rPr>
      <w:t>27.5.1</w:t>
    </w:r>
    <w:r w:rsidR="003A1DCE">
      <w:rPr>
        <w:rFonts w:cs="Arial"/>
        <w:i/>
        <w:sz w:val="18"/>
        <w:szCs w:val="18"/>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8492" w14:textId="07E49B34" w:rsidR="006E5484" w:rsidRDefault="00FB2FEF">
    <w:pPr>
      <w:pStyle w:val="Header"/>
      <w:pBdr>
        <w:bottom w:val="single" w:sz="4" w:space="1" w:color="000000"/>
      </w:pBdr>
      <w:jc w:val="right"/>
    </w:pPr>
    <w:r>
      <w:rPr>
        <w:rFonts w:cs="Arial"/>
        <w:i/>
        <w:sz w:val="18"/>
        <w:szCs w:val="18"/>
      </w:rPr>
      <w:t>UNEP/CMS/COP14/Doc</w:t>
    </w:r>
    <w:r w:rsidR="005A3FD7">
      <w:rPr>
        <w:rFonts w:cs="Arial"/>
        <w:i/>
        <w:sz w:val="18"/>
        <w:szCs w:val="18"/>
      </w:rPr>
      <w:t>.</w:t>
    </w:r>
    <w:r w:rsidR="005A3FD7" w:rsidRPr="005A3FD7">
      <w:rPr>
        <w:rFonts w:cs="Arial"/>
        <w:i/>
        <w:sz w:val="18"/>
        <w:szCs w:val="18"/>
      </w:rPr>
      <w:t>27.5.1</w:t>
    </w:r>
    <w:r w:rsidR="003A1DCE">
      <w:rPr>
        <w:rFonts w:cs="Arial"/>
        <w:i/>
        <w:sz w:val="18"/>
        <w:szCs w:val="18"/>
      </w:rPr>
      <w:t>/Rev.1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D3E3" w14:textId="2FE7B7F2" w:rsidR="006E5484" w:rsidRDefault="00FB2FEF">
    <w:pPr>
      <w:pStyle w:val="Header"/>
      <w:pBdr>
        <w:bottom w:val="single" w:sz="4" w:space="1" w:color="000000"/>
      </w:pBdr>
    </w:pPr>
    <w:r>
      <w:rPr>
        <w:rFonts w:cs="Arial"/>
        <w:i/>
        <w:sz w:val="18"/>
        <w:szCs w:val="18"/>
      </w:rPr>
      <w:t>UNEP/CMS/COP14/Doc.</w:t>
    </w:r>
    <w:r w:rsidR="005A3FD7" w:rsidRPr="005A3FD7">
      <w:rPr>
        <w:rFonts w:cs="Arial"/>
        <w:i/>
        <w:sz w:val="18"/>
        <w:szCs w:val="18"/>
      </w:rPr>
      <w:t>27.5.1</w:t>
    </w:r>
    <w:r w:rsidR="003A1DCE">
      <w:rPr>
        <w:rFonts w:cs="Arial"/>
        <w:i/>
        <w:sz w:val="18"/>
        <w:szCs w:val="18"/>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2F62" w14:textId="77777777" w:rsidR="006E5484" w:rsidRDefault="00FB2FEF">
    <w:pPr>
      <w:pStyle w:val="Header"/>
      <w:pBdr>
        <w:bottom w:val="single" w:sz="4" w:space="1" w:color="000000"/>
      </w:pBdr>
    </w:pPr>
    <w:r>
      <w:rPr>
        <w:rFonts w:cs="Arial"/>
        <w:i/>
        <w:sz w:val="18"/>
        <w:szCs w:val="18"/>
      </w:rPr>
      <w:t>UNEP/CMS/COP14/Doc.[..]</w:t>
    </w:r>
  </w:p>
  <w:p w14:paraId="2190BDF0" w14:textId="77777777" w:rsidR="006E5484" w:rsidRDefault="006E54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7376" w14:textId="319F443D" w:rsidR="006E5484" w:rsidRDefault="00FB2FEF">
    <w:pPr>
      <w:pStyle w:val="Header"/>
      <w:pBdr>
        <w:bottom w:val="single" w:sz="4" w:space="1" w:color="000000"/>
      </w:pBdr>
      <w:jc w:val="right"/>
    </w:pPr>
    <w:r>
      <w:rPr>
        <w:rFonts w:cs="Arial"/>
        <w:i/>
        <w:sz w:val="18"/>
        <w:szCs w:val="18"/>
      </w:rPr>
      <w:t>UNEP/CMS/COP14/Doc</w:t>
    </w:r>
    <w:r w:rsidR="00E8572A">
      <w:rPr>
        <w:rFonts w:cs="Arial"/>
        <w:i/>
        <w:sz w:val="18"/>
        <w:szCs w:val="18"/>
      </w:rPr>
      <w:t>.</w:t>
    </w:r>
    <w:r w:rsidR="00E8572A" w:rsidRPr="005A3FD7">
      <w:rPr>
        <w:rFonts w:cs="Arial"/>
        <w:i/>
        <w:sz w:val="18"/>
        <w:szCs w:val="18"/>
      </w:rPr>
      <w:t>27.5.1</w:t>
    </w:r>
    <w:r w:rsidR="00E50B80">
      <w:rPr>
        <w:rFonts w:cs="Arial"/>
        <w:i/>
        <w:sz w:val="18"/>
        <w:szCs w:val="18"/>
      </w:rPr>
      <w:t>/</w:t>
    </w:r>
    <w:r w:rsidR="00874C14">
      <w:rPr>
        <w:rFonts w:cs="Arial"/>
        <w:i/>
        <w:sz w:val="18"/>
        <w:szCs w:val="18"/>
      </w:rPr>
      <w:t>Rev.1/</w:t>
    </w:r>
    <w:r w:rsidR="00E50B80">
      <w:rPr>
        <w:rFonts w:cs="Arial"/>
        <w:i/>
        <w:sz w:val="18"/>
        <w:szCs w:val="18"/>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E6DD" w14:textId="595B5FAC" w:rsidR="006E5484" w:rsidRDefault="00FB2FEF">
    <w:pPr>
      <w:pStyle w:val="Header"/>
      <w:pBdr>
        <w:bottom w:val="single" w:sz="4" w:space="1" w:color="000000"/>
      </w:pBdr>
    </w:pPr>
    <w:r>
      <w:rPr>
        <w:rFonts w:cs="Arial"/>
        <w:i/>
        <w:sz w:val="18"/>
        <w:szCs w:val="18"/>
      </w:rPr>
      <w:t>UNEP/CMS/COP14/Doc</w:t>
    </w:r>
    <w:r w:rsidR="00E8572A">
      <w:rPr>
        <w:rFonts w:cs="Arial"/>
        <w:i/>
        <w:sz w:val="18"/>
        <w:szCs w:val="18"/>
      </w:rPr>
      <w:t>.</w:t>
    </w:r>
    <w:r w:rsidR="00E8572A" w:rsidRPr="005A3FD7">
      <w:rPr>
        <w:rFonts w:cs="Arial"/>
        <w:i/>
        <w:sz w:val="18"/>
        <w:szCs w:val="18"/>
      </w:rPr>
      <w:t>27.5.1</w:t>
    </w:r>
    <w:r w:rsidR="00E50B80">
      <w:rPr>
        <w:rFonts w:cs="Arial"/>
        <w:i/>
        <w:sz w:val="18"/>
        <w:szCs w:val="18"/>
      </w:rPr>
      <w:t>/</w:t>
    </w:r>
    <w:r w:rsidR="00874C14">
      <w:rPr>
        <w:rFonts w:cs="Arial"/>
        <w:i/>
        <w:sz w:val="18"/>
        <w:szCs w:val="18"/>
      </w:rPr>
      <w:t>Rev.1/</w:t>
    </w:r>
    <w:r w:rsidR="00E50B80">
      <w:rPr>
        <w:rFonts w:cs="Arial"/>
        <w:i/>
        <w:sz w:val="18"/>
        <w:szCs w:val="18"/>
      </w:rPr>
      <w:t>Annex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2C36" w14:textId="1384862C" w:rsidR="006E5484" w:rsidRDefault="00FB2FEF">
    <w:pPr>
      <w:pStyle w:val="Header"/>
      <w:pBdr>
        <w:bottom w:val="single" w:sz="4" w:space="1" w:color="000000"/>
      </w:pBdr>
    </w:pPr>
    <w:r>
      <w:rPr>
        <w:rFonts w:cs="Arial"/>
        <w:i/>
        <w:sz w:val="18"/>
        <w:szCs w:val="18"/>
      </w:rPr>
      <w:t>UNEP/CMS/COP14/Doc</w:t>
    </w:r>
    <w:r w:rsidR="00E50B80">
      <w:rPr>
        <w:rFonts w:cs="Arial"/>
        <w:i/>
        <w:sz w:val="18"/>
        <w:szCs w:val="18"/>
      </w:rPr>
      <w:t>.</w:t>
    </w:r>
    <w:r w:rsidR="00E50B80" w:rsidRPr="005A3FD7">
      <w:rPr>
        <w:rFonts w:cs="Arial"/>
        <w:i/>
        <w:sz w:val="18"/>
        <w:szCs w:val="18"/>
      </w:rPr>
      <w:t>27.5.1</w:t>
    </w:r>
    <w:r>
      <w:rPr>
        <w:rFonts w:cs="Arial"/>
        <w:i/>
        <w:sz w:val="18"/>
        <w:szCs w:val="18"/>
      </w:rPr>
      <w:t>/</w:t>
    </w:r>
    <w:r w:rsidR="00874C14">
      <w:rPr>
        <w:rFonts w:cs="Arial"/>
        <w:i/>
        <w:sz w:val="18"/>
        <w:szCs w:val="18"/>
      </w:rPr>
      <w:t>Rev.1</w:t>
    </w:r>
    <w:r w:rsidR="009614E6">
      <w:rPr>
        <w:rFonts w:cs="Arial"/>
        <w:i/>
        <w:sz w:val="18"/>
        <w:szCs w:val="18"/>
      </w:rPr>
      <w:t>/</w:t>
    </w:r>
    <w:r>
      <w:rPr>
        <w:rFonts w:cs="Arial"/>
        <w:i/>
        <w:sz w:val="18"/>
        <w:szCs w:val="18"/>
      </w:rPr>
      <w:t>Annex</w:t>
    </w:r>
    <w:r w:rsidR="00E50B80">
      <w:rPr>
        <w:rFonts w:cs="Arial"/>
        <w:i/>
        <w:sz w:val="18"/>
        <w:szCs w:val="18"/>
      </w:rPr>
      <w:t xml:space="preserve"> 2</w:t>
    </w:r>
  </w:p>
  <w:p w14:paraId="530BF28D" w14:textId="77777777" w:rsidR="006E5484" w:rsidRDefault="006E54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7F4E" w14:textId="271553F7" w:rsidR="006E5484" w:rsidRDefault="00FB2FEF">
    <w:pPr>
      <w:pStyle w:val="Header"/>
      <w:pBdr>
        <w:bottom w:val="single" w:sz="4" w:space="1" w:color="000000"/>
      </w:pBdr>
      <w:jc w:val="right"/>
    </w:pPr>
    <w:r>
      <w:rPr>
        <w:rFonts w:cs="Arial"/>
        <w:i/>
        <w:sz w:val="18"/>
        <w:szCs w:val="18"/>
      </w:rPr>
      <w:t>UNEP/CMS/COP14/Doc</w:t>
    </w:r>
    <w:r w:rsidR="00E50B80">
      <w:rPr>
        <w:rFonts w:cs="Arial"/>
        <w:i/>
        <w:sz w:val="18"/>
        <w:szCs w:val="18"/>
      </w:rPr>
      <w:t>.</w:t>
    </w:r>
    <w:r w:rsidR="00E50B80" w:rsidRPr="005A3FD7">
      <w:rPr>
        <w:rFonts w:cs="Arial"/>
        <w:i/>
        <w:sz w:val="18"/>
        <w:szCs w:val="18"/>
      </w:rPr>
      <w:t>27.5.1</w:t>
    </w:r>
    <w:r w:rsidR="00E50B80">
      <w:rPr>
        <w:rFonts w:cs="Arial"/>
        <w:i/>
        <w:sz w:val="18"/>
        <w:szCs w:val="18"/>
      </w:rPr>
      <w:t>/</w:t>
    </w:r>
    <w:r w:rsidR="00874C14">
      <w:rPr>
        <w:rFonts w:cs="Arial"/>
        <w:i/>
        <w:sz w:val="18"/>
        <w:szCs w:val="18"/>
      </w:rPr>
      <w:t>Rev.1</w:t>
    </w:r>
    <w:r w:rsidR="009614E6">
      <w:rPr>
        <w:rFonts w:cs="Arial"/>
        <w:i/>
        <w:sz w:val="18"/>
        <w:szCs w:val="18"/>
      </w:rPr>
      <w:t>/</w:t>
    </w:r>
    <w:r>
      <w:rPr>
        <w:rFonts w:cs="Arial"/>
        <w:i/>
        <w:sz w:val="18"/>
        <w:szCs w:val="18"/>
      </w:rPr>
      <w:t>Annex</w:t>
    </w:r>
    <w:r w:rsidR="00E50B80">
      <w:rPr>
        <w:rFonts w:cs="Arial"/>
        <w:i/>
        <w:sz w:val="18"/>
        <w:szCs w:val="18"/>
      </w:rPr>
      <w:t xml:space="preserve"> 2</w:t>
    </w:r>
  </w:p>
  <w:p w14:paraId="5AA094AC" w14:textId="77777777" w:rsidR="006E5484" w:rsidRDefault="006E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266"/>
    <w:multiLevelType w:val="multilevel"/>
    <w:tmpl w:val="3A44B04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2E1C2A3D"/>
    <w:multiLevelType w:val="multilevel"/>
    <w:tmpl w:val="5E24EC02"/>
    <w:lvl w:ilvl="0">
      <w:start w:val="1"/>
      <w:numFmt w:val="lowerLetter"/>
      <w:pStyle w:val="Secondnumbering"/>
      <w:lvlText w:val="%1)"/>
      <w:lvlJc w:val="left"/>
      <w:pPr>
        <w:tabs>
          <w:tab w:val="num" w:pos="0"/>
        </w:tabs>
        <w:ind w:left="36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 w15:restartNumberingAfterBreak="0">
    <w:nsid w:val="32495E6E"/>
    <w:multiLevelType w:val="hybridMultilevel"/>
    <w:tmpl w:val="BDDC1E0C"/>
    <w:lvl w:ilvl="0" w:tplc="20000001">
      <w:start w:val="1"/>
      <w:numFmt w:val="bullet"/>
      <w:lvlText w:val=""/>
      <w:lvlJc w:val="left"/>
      <w:pPr>
        <w:ind w:left="1620" w:hanging="360"/>
      </w:pPr>
      <w:rPr>
        <w:rFonts w:ascii="Symbol" w:hAnsi="Symbol" w:hint="default"/>
      </w:rPr>
    </w:lvl>
    <w:lvl w:ilvl="1" w:tplc="20000003" w:tentative="1">
      <w:start w:val="1"/>
      <w:numFmt w:val="bullet"/>
      <w:lvlText w:val="o"/>
      <w:lvlJc w:val="left"/>
      <w:pPr>
        <w:ind w:left="2340" w:hanging="360"/>
      </w:pPr>
      <w:rPr>
        <w:rFonts w:ascii="Courier New" w:hAnsi="Courier New" w:cs="Courier New" w:hint="default"/>
      </w:rPr>
    </w:lvl>
    <w:lvl w:ilvl="2" w:tplc="20000005" w:tentative="1">
      <w:start w:val="1"/>
      <w:numFmt w:val="bullet"/>
      <w:lvlText w:val=""/>
      <w:lvlJc w:val="left"/>
      <w:pPr>
        <w:ind w:left="3060" w:hanging="360"/>
      </w:pPr>
      <w:rPr>
        <w:rFonts w:ascii="Wingdings" w:hAnsi="Wingdings" w:hint="default"/>
      </w:rPr>
    </w:lvl>
    <w:lvl w:ilvl="3" w:tplc="20000001" w:tentative="1">
      <w:start w:val="1"/>
      <w:numFmt w:val="bullet"/>
      <w:lvlText w:val=""/>
      <w:lvlJc w:val="left"/>
      <w:pPr>
        <w:ind w:left="3780" w:hanging="360"/>
      </w:pPr>
      <w:rPr>
        <w:rFonts w:ascii="Symbol" w:hAnsi="Symbol" w:hint="default"/>
      </w:rPr>
    </w:lvl>
    <w:lvl w:ilvl="4" w:tplc="20000003" w:tentative="1">
      <w:start w:val="1"/>
      <w:numFmt w:val="bullet"/>
      <w:lvlText w:val="o"/>
      <w:lvlJc w:val="left"/>
      <w:pPr>
        <w:ind w:left="4500" w:hanging="360"/>
      </w:pPr>
      <w:rPr>
        <w:rFonts w:ascii="Courier New" w:hAnsi="Courier New" w:cs="Courier New" w:hint="default"/>
      </w:rPr>
    </w:lvl>
    <w:lvl w:ilvl="5" w:tplc="20000005" w:tentative="1">
      <w:start w:val="1"/>
      <w:numFmt w:val="bullet"/>
      <w:lvlText w:val=""/>
      <w:lvlJc w:val="left"/>
      <w:pPr>
        <w:ind w:left="5220" w:hanging="360"/>
      </w:pPr>
      <w:rPr>
        <w:rFonts w:ascii="Wingdings" w:hAnsi="Wingdings" w:hint="default"/>
      </w:rPr>
    </w:lvl>
    <w:lvl w:ilvl="6" w:tplc="20000001" w:tentative="1">
      <w:start w:val="1"/>
      <w:numFmt w:val="bullet"/>
      <w:lvlText w:val=""/>
      <w:lvlJc w:val="left"/>
      <w:pPr>
        <w:ind w:left="5940" w:hanging="360"/>
      </w:pPr>
      <w:rPr>
        <w:rFonts w:ascii="Symbol" w:hAnsi="Symbol" w:hint="default"/>
      </w:rPr>
    </w:lvl>
    <w:lvl w:ilvl="7" w:tplc="20000003" w:tentative="1">
      <w:start w:val="1"/>
      <w:numFmt w:val="bullet"/>
      <w:lvlText w:val="o"/>
      <w:lvlJc w:val="left"/>
      <w:pPr>
        <w:ind w:left="6660" w:hanging="360"/>
      </w:pPr>
      <w:rPr>
        <w:rFonts w:ascii="Courier New" w:hAnsi="Courier New" w:cs="Courier New" w:hint="default"/>
      </w:rPr>
    </w:lvl>
    <w:lvl w:ilvl="8" w:tplc="20000005" w:tentative="1">
      <w:start w:val="1"/>
      <w:numFmt w:val="bullet"/>
      <w:lvlText w:val=""/>
      <w:lvlJc w:val="left"/>
      <w:pPr>
        <w:ind w:left="7380" w:hanging="360"/>
      </w:pPr>
      <w:rPr>
        <w:rFonts w:ascii="Wingdings" w:hAnsi="Wingdings" w:hint="default"/>
      </w:rPr>
    </w:lvl>
  </w:abstractNum>
  <w:abstractNum w:abstractNumId="3" w15:restartNumberingAfterBreak="0">
    <w:nsid w:val="36342624"/>
    <w:multiLevelType w:val="multilevel"/>
    <w:tmpl w:val="D21860C2"/>
    <w:lvl w:ilvl="0">
      <w:start w:val="1"/>
      <w:numFmt w:val="lowerLetter"/>
      <w:lvlText w:val="%1)"/>
      <w:lvlJc w:val="left"/>
      <w:pPr>
        <w:tabs>
          <w:tab w:val="num" w:pos="0"/>
        </w:tabs>
        <w:ind w:left="1551" w:hanging="360"/>
      </w:pPr>
    </w:lvl>
    <w:lvl w:ilvl="1">
      <w:start w:val="1"/>
      <w:numFmt w:val="lowerLetter"/>
      <w:lvlText w:val="%2."/>
      <w:lvlJc w:val="left"/>
      <w:pPr>
        <w:tabs>
          <w:tab w:val="num" w:pos="0"/>
        </w:tabs>
        <w:ind w:left="2271" w:hanging="360"/>
      </w:p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4" w15:restartNumberingAfterBreak="0">
    <w:nsid w:val="37B00BEC"/>
    <w:multiLevelType w:val="multilevel"/>
    <w:tmpl w:val="3DEA8F64"/>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5" w15:restartNumberingAfterBreak="0">
    <w:nsid w:val="42D821E3"/>
    <w:multiLevelType w:val="multilevel"/>
    <w:tmpl w:val="55AC062E"/>
    <w:lvl w:ilvl="0">
      <w:start w:val="1"/>
      <w:numFmt w:val="decimal"/>
      <w:lvlText w:val="%1."/>
      <w:lvlJc w:val="left"/>
      <w:pPr>
        <w:tabs>
          <w:tab w:val="num" w:pos="0"/>
        </w:tabs>
        <w:ind w:left="720" w:hanging="360"/>
      </w:pPr>
    </w:lvl>
    <w:lvl w:ilvl="1">
      <w:start w:val="1"/>
      <w:numFmt w:val="lowerLetter"/>
      <w:lvlText w:val="%2)"/>
      <w:lvlJc w:val="left"/>
      <w:pPr>
        <w:tabs>
          <w:tab w:val="num" w:pos="0"/>
        </w:tabs>
        <w:ind w:left="1548" w:hanging="468"/>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CD550C2"/>
    <w:multiLevelType w:val="multilevel"/>
    <w:tmpl w:val="D4E86A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09C3BDA"/>
    <w:multiLevelType w:val="multilevel"/>
    <w:tmpl w:val="C64E2F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55F6F7E"/>
    <w:multiLevelType w:val="hybridMultilevel"/>
    <w:tmpl w:val="0F905272"/>
    <w:lvl w:ilvl="0" w:tplc="20000001">
      <w:start w:val="1"/>
      <w:numFmt w:val="bullet"/>
      <w:lvlText w:val=""/>
      <w:lvlJc w:val="left"/>
      <w:pPr>
        <w:ind w:left="1620" w:hanging="360"/>
      </w:pPr>
      <w:rPr>
        <w:rFonts w:ascii="Symbol" w:hAnsi="Symbol" w:hint="default"/>
      </w:rPr>
    </w:lvl>
    <w:lvl w:ilvl="1" w:tplc="20000003" w:tentative="1">
      <w:start w:val="1"/>
      <w:numFmt w:val="bullet"/>
      <w:lvlText w:val="o"/>
      <w:lvlJc w:val="left"/>
      <w:pPr>
        <w:ind w:left="2340" w:hanging="360"/>
      </w:pPr>
      <w:rPr>
        <w:rFonts w:ascii="Courier New" w:hAnsi="Courier New" w:cs="Courier New" w:hint="default"/>
      </w:rPr>
    </w:lvl>
    <w:lvl w:ilvl="2" w:tplc="20000005" w:tentative="1">
      <w:start w:val="1"/>
      <w:numFmt w:val="bullet"/>
      <w:lvlText w:val=""/>
      <w:lvlJc w:val="left"/>
      <w:pPr>
        <w:ind w:left="3060" w:hanging="360"/>
      </w:pPr>
      <w:rPr>
        <w:rFonts w:ascii="Wingdings" w:hAnsi="Wingdings" w:hint="default"/>
      </w:rPr>
    </w:lvl>
    <w:lvl w:ilvl="3" w:tplc="20000001" w:tentative="1">
      <w:start w:val="1"/>
      <w:numFmt w:val="bullet"/>
      <w:lvlText w:val=""/>
      <w:lvlJc w:val="left"/>
      <w:pPr>
        <w:ind w:left="3780" w:hanging="360"/>
      </w:pPr>
      <w:rPr>
        <w:rFonts w:ascii="Symbol" w:hAnsi="Symbol" w:hint="default"/>
      </w:rPr>
    </w:lvl>
    <w:lvl w:ilvl="4" w:tplc="20000003" w:tentative="1">
      <w:start w:val="1"/>
      <w:numFmt w:val="bullet"/>
      <w:lvlText w:val="o"/>
      <w:lvlJc w:val="left"/>
      <w:pPr>
        <w:ind w:left="4500" w:hanging="360"/>
      </w:pPr>
      <w:rPr>
        <w:rFonts w:ascii="Courier New" w:hAnsi="Courier New" w:cs="Courier New" w:hint="default"/>
      </w:rPr>
    </w:lvl>
    <w:lvl w:ilvl="5" w:tplc="20000005" w:tentative="1">
      <w:start w:val="1"/>
      <w:numFmt w:val="bullet"/>
      <w:lvlText w:val=""/>
      <w:lvlJc w:val="left"/>
      <w:pPr>
        <w:ind w:left="5220" w:hanging="360"/>
      </w:pPr>
      <w:rPr>
        <w:rFonts w:ascii="Wingdings" w:hAnsi="Wingdings" w:hint="default"/>
      </w:rPr>
    </w:lvl>
    <w:lvl w:ilvl="6" w:tplc="20000001" w:tentative="1">
      <w:start w:val="1"/>
      <w:numFmt w:val="bullet"/>
      <w:lvlText w:val=""/>
      <w:lvlJc w:val="left"/>
      <w:pPr>
        <w:ind w:left="5940" w:hanging="360"/>
      </w:pPr>
      <w:rPr>
        <w:rFonts w:ascii="Symbol" w:hAnsi="Symbol" w:hint="default"/>
      </w:rPr>
    </w:lvl>
    <w:lvl w:ilvl="7" w:tplc="20000003" w:tentative="1">
      <w:start w:val="1"/>
      <w:numFmt w:val="bullet"/>
      <w:lvlText w:val="o"/>
      <w:lvlJc w:val="left"/>
      <w:pPr>
        <w:ind w:left="6660" w:hanging="360"/>
      </w:pPr>
      <w:rPr>
        <w:rFonts w:ascii="Courier New" w:hAnsi="Courier New" w:cs="Courier New" w:hint="default"/>
      </w:rPr>
    </w:lvl>
    <w:lvl w:ilvl="8" w:tplc="20000005" w:tentative="1">
      <w:start w:val="1"/>
      <w:numFmt w:val="bullet"/>
      <w:lvlText w:val=""/>
      <w:lvlJc w:val="left"/>
      <w:pPr>
        <w:ind w:left="7380" w:hanging="360"/>
      </w:pPr>
      <w:rPr>
        <w:rFonts w:ascii="Wingdings" w:hAnsi="Wingdings" w:hint="default"/>
      </w:rPr>
    </w:lvl>
  </w:abstractNum>
  <w:abstractNum w:abstractNumId="9" w15:restartNumberingAfterBreak="0">
    <w:nsid w:val="55A42DFA"/>
    <w:multiLevelType w:val="multilevel"/>
    <w:tmpl w:val="2AC069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7510CA6"/>
    <w:multiLevelType w:val="multilevel"/>
    <w:tmpl w:val="DA1641E4"/>
    <w:lvl w:ilvl="0">
      <w:start w:val="1"/>
      <w:numFmt w:val="upperLetter"/>
      <w:pStyle w:val="FourthnumberingA"/>
      <w:lvlText w:val="%1."/>
      <w:lvlJc w:val="right"/>
      <w:pPr>
        <w:tabs>
          <w:tab w:val="num" w:pos="0"/>
        </w:tabs>
        <w:ind w:left="2705" w:hanging="360"/>
      </w:pPr>
    </w:lvl>
    <w:lvl w:ilvl="1">
      <w:start w:val="1"/>
      <w:numFmt w:val="lowerLetter"/>
      <w:lvlText w:val="%2."/>
      <w:lvlJc w:val="left"/>
      <w:pPr>
        <w:tabs>
          <w:tab w:val="num" w:pos="0"/>
        </w:tabs>
        <w:ind w:left="3425" w:hanging="360"/>
      </w:pPr>
    </w:lvl>
    <w:lvl w:ilvl="2">
      <w:start w:val="1"/>
      <w:numFmt w:val="lowerRoman"/>
      <w:lvlText w:val="%3."/>
      <w:lvlJc w:val="right"/>
      <w:pPr>
        <w:tabs>
          <w:tab w:val="num" w:pos="0"/>
        </w:tabs>
        <w:ind w:left="4145" w:hanging="180"/>
      </w:pPr>
    </w:lvl>
    <w:lvl w:ilvl="3">
      <w:start w:val="1"/>
      <w:numFmt w:val="decimal"/>
      <w:lvlText w:val="%4."/>
      <w:lvlJc w:val="left"/>
      <w:pPr>
        <w:tabs>
          <w:tab w:val="num" w:pos="0"/>
        </w:tabs>
        <w:ind w:left="4865" w:hanging="360"/>
      </w:pPr>
    </w:lvl>
    <w:lvl w:ilvl="4">
      <w:start w:val="1"/>
      <w:numFmt w:val="lowerLetter"/>
      <w:lvlText w:val="%5."/>
      <w:lvlJc w:val="left"/>
      <w:pPr>
        <w:tabs>
          <w:tab w:val="num" w:pos="0"/>
        </w:tabs>
        <w:ind w:left="5585" w:hanging="360"/>
      </w:pPr>
    </w:lvl>
    <w:lvl w:ilvl="5">
      <w:start w:val="1"/>
      <w:numFmt w:val="lowerRoman"/>
      <w:lvlText w:val="%6."/>
      <w:lvlJc w:val="right"/>
      <w:pPr>
        <w:tabs>
          <w:tab w:val="num" w:pos="0"/>
        </w:tabs>
        <w:ind w:left="6305" w:hanging="180"/>
      </w:pPr>
    </w:lvl>
    <w:lvl w:ilvl="6">
      <w:start w:val="1"/>
      <w:numFmt w:val="decimal"/>
      <w:lvlText w:val="%7."/>
      <w:lvlJc w:val="left"/>
      <w:pPr>
        <w:tabs>
          <w:tab w:val="num" w:pos="0"/>
        </w:tabs>
        <w:ind w:left="7025" w:hanging="360"/>
      </w:pPr>
    </w:lvl>
    <w:lvl w:ilvl="7">
      <w:start w:val="1"/>
      <w:numFmt w:val="lowerLetter"/>
      <w:lvlText w:val="%8."/>
      <w:lvlJc w:val="left"/>
      <w:pPr>
        <w:tabs>
          <w:tab w:val="num" w:pos="0"/>
        </w:tabs>
        <w:ind w:left="7745" w:hanging="360"/>
      </w:pPr>
    </w:lvl>
    <w:lvl w:ilvl="8">
      <w:start w:val="1"/>
      <w:numFmt w:val="lowerRoman"/>
      <w:lvlText w:val="%9."/>
      <w:lvlJc w:val="right"/>
      <w:pPr>
        <w:tabs>
          <w:tab w:val="num" w:pos="0"/>
        </w:tabs>
        <w:ind w:left="8465" w:hanging="180"/>
      </w:pPr>
    </w:lvl>
  </w:abstractNum>
  <w:abstractNum w:abstractNumId="11" w15:restartNumberingAfterBreak="0">
    <w:nsid w:val="575A53EF"/>
    <w:multiLevelType w:val="multilevel"/>
    <w:tmpl w:val="6D06FE68"/>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5C393AEF"/>
    <w:multiLevelType w:val="multilevel"/>
    <w:tmpl w:val="3DEA8F64"/>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3" w15:restartNumberingAfterBreak="0">
    <w:nsid w:val="5D880466"/>
    <w:multiLevelType w:val="multilevel"/>
    <w:tmpl w:val="EB9A34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5F5165BA"/>
    <w:multiLevelType w:val="multilevel"/>
    <w:tmpl w:val="C7D829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FB85865"/>
    <w:multiLevelType w:val="multilevel"/>
    <w:tmpl w:val="BF2C84C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53D1B82"/>
    <w:multiLevelType w:val="multilevel"/>
    <w:tmpl w:val="F36656E8"/>
    <w:lvl w:ilvl="0">
      <w:start w:val="1"/>
      <w:numFmt w:val="decimal"/>
      <w:pStyle w:val="Firstnumbering"/>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9E13237"/>
    <w:multiLevelType w:val="multilevel"/>
    <w:tmpl w:val="2FECE6D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 w15:restartNumberingAfterBreak="0">
    <w:nsid w:val="6C8B4E71"/>
    <w:multiLevelType w:val="multilevel"/>
    <w:tmpl w:val="2C981E72"/>
    <w:lvl w:ilvl="0">
      <w:start w:val="1"/>
      <w:numFmt w:val="bullet"/>
      <w:pStyle w:val="Bulletlist"/>
      <w:lvlText w:val="•"/>
      <w:lvlJc w:val="left"/>
      <w:pPr>
        <w:tabs>
          <w:tab w:val="num" w:pos="0"/>
        </w:tabs>
        <w:ind w:left="2276" w:hanging="1580"/>
      </w:pPr>
      <w:rPr>
        <w:rFonts w:ascii="Georgia" w:hAnsi="Georgia" w:cs="Georgia" w:hint="default"/>
        <w:b w:val="0"/>
        <w:i w:val="0"/>
        <w:sz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9" w15:restartNumberingAfterBreak="0">
    <w:nsid w:val="738D4488"/>
    <w:multiLevelType w:val="multilevel"/>
    <w:tmpl w:val="37DEA5F0"/>
    <w:lvl w:ilvl="0">
      <w:start w:val="1"/>
      <w:numFmt w:val="lowerLetter"/>
      <w:lvlText w:val="%1)"/>
      <w:lvlJc w:val="left"/>
      <w:pPr>
        <w:tabs>
          <w:tab w:val="num" w:pos="-27"/>
        </w:tabs>
        <w:ind w:left="1260" w:hanging="360"/>
      </w:pPr>
      <w:rPr>
        <w:sz w:val="20"/>
        <w:szCs w:val="20"/>
      </w:rPr>
    </w:lvl>
    <w:lvl w:ilvl="1">
      <w:start w:val="1"/>
      <w:numFmt w:val="lowerLetter"/>
      <w:lvlText w:val="%2."/>
      <w:lvlJc w:val="left"/>
      <w:pPr>
        <w:tabs>
          <w:tab w:val="num" w:pos="-27"/>
        </w:tabs>
        <w:ind w:left="1980" w:hanging="360"/>
      </w:pPr>
    </w:lvl>
    <w:lvl w:ilvl="2">
      <w:start w:val="1"/>
      <w:numFmt w:val="lowerRoman"/>
      <w:lvlText w:val="%3."/>
      <w:lvlJc w:val="right"/>
      <w:pPr>
        <w:tabs>
          <w:tab w:val="num" w:pos="-27"/>
        </w:tabs>
        <w:ind w:left="2700" w:hanging="180"/>
      </w:pPr>
    </w:lvl>
    <w:lvl w:ilvl="3">
      <w:start w:val="1"/>
      <w:numFmt w:val="decimal"/>
      <w:lvlText w:val="%4."/>
      <w:lvlJc w:val="left"/>
      <w:pPr>
        <w:tabs>
          <w:tab w:val="num" w:pos="-27"/>
        </w:tabs>
        <w:ind w:left="3420" w:hanging="360"/>
      </w:pPr>
    </w:lvl>
    <w:lvl w:ilvl="4">
      <w:start w:val="1"/>
      <w:numFmt w:val="lowerLetter"/>
      <w:lvlText w:val="%5."/>
      <w:lvlJc w:val="left"/>
      <w:pPr>
        <w:tabs>
          <w:tab w:val="num" w:pos="-27"/>
        </w:tabs>
        <w:ind w:left="4140" w:hanging="360"/>
      </w:pPr>
    </w:lvl>
    <w:lvl w:ilvl="5">
      <w:start w:val="1"/>
      <w:numFmt w:val="lowerRoman"/>
      <w:lvlText w:val="%6."/>
      <w:lvlJc w:val="right"/>
      <w:pPr>
        <w:tabs>
          <w:tab w:val="num" w:pos="-27"/>
        </w:tabs>
        <w:ind w:left="4860" w:hanging="180"/>
      </w:pPr>
    </w:lvl>
    <w:lvl w:ilvl="6">
      <w:start w:val="1"/>
      <w:numFmt w:val="decimal"/>
      <w:lvlText w:val="%7."/>
      <w:lvlJc w:val="left"/>
      <w:pPr>
        <w:tabs>
          <w:tab w:val="num" w:pos="-27"/>
        </w:tabs>
        <w:ind w:left="5580" w:hanging="360"/>
      </w:pPr>
    </w:lvl>
    <w:lvl w:ilvl="7">
      <w:start w:val="1"/>
      <w:numFmt w:val="lowerLetter"/>
      <w:lvlText w:val="%8."/>
      <w:lvlJc w:val="left"/>
      <w:pPr>
        <w:tabs>
          <w:tab w:val="num" w:pos="-27"/>
        </w:tabs>
        <w:ind w:left="6300" w:hanging="360"/>
      </w:pPr>
    </w:lvl>
    <w:lvl w:ilvl="8">
      <w:start w:val="1"/>
      <w:numFmt w:val="lowerRoman"/>
      <w:lvlText w:val="%9."/>
      <w:lvlJc w:val="right"/>
      <w:pPr>
        <w:tabs>
          <w:tab w:val="num" w:pos="-27"/>
        </w:tabs>
        <w:ind w:left="7020" w:hanging="180"/>
      </w:pPr>
    </w:lvl>
  </w:abstractNum>
  <w:abstractNum w:abstractNumId="20" w15:restartNumberingAfterBreak="0">
    <w:nsid w:val="748C6D48"/>
    <w:multiLevelType w:val="multilevel"/>
    <w:tmpl w:val="6CA8F746"/>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787743A8"/>
    <w:multiLevelType w:val="multilevel"/>
    <w:tmpl w:val="96F6D38E"/>
    <w:lvl w:ilvl="0">
      <w:start w:val="1"/>
      <w:numFmt w:val="lowerLetter"/>
      <w:lvlText w:val="%1)"/>
      <w:lvlJc w:val="left"/>
      <w:pPr>
        <w:tabs>
          <w:tab w:val="num" w:pos="0"/>
        </w:tabs>
        <w:ind w:left="1551" w:hanging="360"/>
      </w:pPr>
    </w:lvl>
    <w:lvl w:ilvl="1">
      <w:start w:val="1"/>
      <w:numFmt w:val="lowerLetter"/>
      <w:lvlText w:val="%2."/>
      <w:lvlJc w:val="left"/>
      <w:pPr>
        <w:tabs>
          <w:tab w:val="num" w:pos="0"/>
        </w:tabs>
        <w:ind w:left="2271" w:hanging="360"/>
      </w:p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22" w15:restartNumberingAfterBreak="0">
    <w:nsid w:val="7B1C40F4"/>
    <w:multiLevelType w:val="multilevel"/>
    <w:tmpl w:val="3EA0E852"/>
    <w:lvl w:ilvl="0">
      <w:start w:val="1"/>
      <w:numFmt w:val="lowerRoman"/>
      <w:pStyle w:val="Thirdnumberingi"/>
      <w:lvlText w:val="%1)."/>
      <w:lvlJc w:val="right"/>
      <w:pPr>
        <w:tabs>
          <w:tab w:val="num" w:pos="0"/>
        </w:tabs>
        <w:ind w:left="2001" w:hanging="360"/>
      </w:pPr>
    </w:lvl>
    <w:lvl w:ilvl="1">
      <w:start w:val="1"/>
      <w:numFmt w:val="lowerLetter"/>
      <w:lvlText w:val="%2."/>
      <w:lvlJc w:val="left"/>
      <w:pPr>
        <w:tabs>
          <w:tab w:val="num" w:pos="0"/>
        </w:tabs>
        <w:ind w:left="2721" w:hanging="360"/>
      </w:pPr>
    </w:lvl>
    <w:lvl w:ilvl="2">
      <w:start w:val="1"/>
      <w:numFmt w:val="lowerRoman"/>
      <w:lvlText w:val="%3."/>
      <w:lvlJc w:val="right"/>
      <w:pPr>
        <w:tabs>
          <w:tab w:val="num" w:pos="0"/>
        </w:tabs>
        <w:ind w:left="3441" w:hanging="180"/>
      </w:pPr>
    </w:lvl>
    <w:lvl w:ilvl="3">
      <w:start w:val="1"/>
      <w:numFmt w:val="decimal"/>
      <w:lvlText w:val="%4."/>
      <w:lvlJc w:val="left"/>
      <w:pPr>
        <w:tabs>
          <w:tab w:val="num" w:pos="0"/>
        </w:tabs>
        <w:ind w:left="4161" w:hanging="360"/>
      </w:pPr>
    </w:lvl>
    <w:lvl w:ilvl="4">
      <w:start w:val="1"/>
      <w:numFmt w:val="lowerLetter"/>
      <w:lvlText w:val="%5."/>
      <w:lvlJc w:val="left"/>
      <w:pPr>
        <w:tabs>
          <w:tab w:val="num" w:pos="0"/>
        </w:tabs>
        <w:ind w:left="4881" w:hanging="360"/>
      </w:pPr>
    </w:lvl>
    <w:lvl w:ilvl="5">
      <w:start w:val="1"/>
      <w:numFmt w:val="lowerRoman"/>
      <w:lvlText w:val="%6."/>
      <w:lvlJc w:val="right"/>
      <w:pPr>
        <w:tabs>
          <w:tab w:val="num" w:pos="0"/>
        </w:tabs>
        <w:ind w:left="5601" w:hanging="180"/>
      </w:pPr>
    </w:lvl>
    <w:lvl w:ilvl="6">
      <w:start w:val="1"/>
      <w:numFmt w:val="decimal"/>
      <w:lvlText w:val="%7."/>
      <w:lvlJc w:val="left"/>
      <w:pPr>
        <w:tabs>
          <w:tab w:val="num" w:pos="0"/>
        </w:tabs>
        <w:ind w:left="6321" w:hanging="360"/>
      </w:pPr>
    </w:lvl>
    <w:lvl w:ilvl="7">
      <w:start w:val="1"/>
      <w:numFmt w:val="lowerLetter"/>
      <w:lvlText w:val="%8."/>
      <w:lvlJc w:val="left"/>
      <w:pPr>
        <w:tabs>
          <w:tab w:val="num" w:pos="0"/>
        </w:tabs>
        <w:ind w:left="7041" w:hanging="360"/>
      </w:pPr>
    </w:lvl>
    <w:lvl w:ilvl="8">
      <w:start w:val="1"/>
      <w:numFmt w:val="lowerRoman"/>
      <w:lvlText w:val="%9."/>
      <w:lvlJc w:val="right"/>
      <w:pPr>
        <w:tabs>
          <w:tab w:val="num" w:pos="0"/>
        </w:tabs>
        <w:ind w:left="7761" w:hanging="180"/>
      </w:pPr>
    </w:lvl>
  </w:abstractNum>
  <w:abstractNum w:abstractNumId="23" w15:restartNumberingAfterBreak="0">
    <w:nsid w:val="7C7038F8"/>
    <w:multiLevelType w:val="multilevel"/>
    <w:tmpl w:val="62526E8E"/>
    <w:lvl w:ilvl="0">
      <w:start w:val="1"/>
      <w:numFmt w:val="lowerLetter"/>
      <w:lvlText w:val="%1)"/>
      <w:lvlJc w:val="left"/>
      <w:pPr>
        <w:tabs>
          <w:tab w:val="num" w:pos="0"/>
        </w:tabs>
        <w:ind w:left="1154" w:hanging="360"/>
      </w:p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24" w15:restartNumberingAfterBreak="0">
    <w:nsid w:val="7D7C4D66"/>
    <w:multiLevelType w:val="multilevel"/>
    <w:tmpl w:val="E8C45B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7DBB46C9"/>
    <w:multiLevelType w:val="multilevel"/>
    <w:tmpl w:val="7DE8AD8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15:restartNumberingAfterBreak="0">
    <w:nsid w:val="7E124519"/>
    <w:multiLevelType w:val="multilevel"/>
    <w:tmpl w:val="38E4D6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E7808BB"/>
    <w:multiLevelType w:val="multilevel"/>
    <w:tmpl w:val="451480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3823148">
    <w:abstractNumId w:val="13"/>
  </w:num>
  <w:num w:numId="2" w16cid:durableId="578443486">
    <w:abstractNumId w:val="16"/>
  </w:num>
  <w:num w:numId="3" w16cid:durableId="1597906997">
    <w:abstractNumId w:val="1"/>
  </w:num>
  <w:num w:numId="4" w16cid:durableId="639775346">
    <w:abstractNumId w:val="22"/>
  </w:num>
  <w:num w:numId="5" w16cid:durableId="380252963">
    <w:abstractNumId w:val="10"/>
  </w:num>
  <w:num w:numId="6" w16cid:durableId="887910229">
    <w:abstractNumId w:val="24"/>
  </w:num>
  <w:num w:numId="7" w16cid:durableId="1779569450">
    <w:abstractNumId w:val="11"/>
  </w:num>
  <w:num w:numId="8" w16cid:durableId="965967556">
    <w:abstractNumId w:val="12"/>
  </w:num>
  <w:num w:numId="9" w16cid:durableId="2045249284">
    <w:abstractNumId w:val="26"/>
  </w:num>
  <w:num w:numId="10" w16cid:durableId="851407944">
    <w:abstractNumId w:val="6"/>
  </w:num>
  <w:num w:numId="11" w16cid:durableId="1704402567">
    <w:abstractNumId w:val="21"/>
  </w:num>
  <w:num w:numId="12" w16cid:durableId="2027098708">
    <w:abstractNumId w:val="3"/>
  </w:num>
  <w:num w:numId="13" w16cid:durableId="2105806177">
    <w:abstractNumId w:val="17"/>
  </w:num>
  <w:num w:numId="14" w16cid:durableId="1753699143">
    <w:abstractNumId w:val="0"/>
  </w:num>
  <w:num w:numId="15" w16cid:durableId="862862818">
    <w:abstractNumId w:val="18"/>
  </w:num>
  <w:num w:numId="16" w16cid:durableId="317000211">
    <w:abstractNumId w:val="20"/>
  </w:num>
  <w:num w:numId="17" w16cid:durableId="365522888">
    <w:abstractNumId w:val="15"/>
  </w:num>
  <w:num w:numId="18" w16cid:durableId="1030380506">
    <w:abstractNumId w:val="27"/>
  </w:num>
  <w:num w:numId="19" w16cid:durableId="905797043">
    <w:abstractNumId w:val="5"/>
  </w:num>
  <w:num w:numId="20" w16cid:durableId="349114196">
    <w:abstractNumId w:val="25"/>
  </w:num>
  <w:num w:numId="21" w16cid:durableId="1920211608">
    <w:abstractNumId w:val="14"/>
  </w:num>
  <w:num w:numId="22" w16cid:durableId="298267839">
    <w:abstractNumId w:val="9"/>
  </w:num>
  <w:num w:numId="23" w16cid:durableId="1477335527">
    <w:abstractNumId w:val="19"/>
  </w:num>
  <w:num w:numId="24" w16cid:durableId="1619021492">
    <w:abstractNumId w:val="23"/>
  </w:num>
  <w:num w:numId="25" w16cid:durableId="768040677">
    <w:abstractNumId w:val="7"/>
  </w:num>
  <w:num w:numId="26" w16cid:durableId="774791187">
    <w:abstractNumId w:val="24"/>
    <w:lvlOverride w:ilvl="0">
      <w:startOverride w:val="1"/>
    </w:lvlOverride>
  </w:num>
  <w:num w:numId="27" w16cid:durableId="1713579214">
    <w:abstractNumId w:val="11"/>
    <w:lvlOverride w:ilvl="0">
      <w:startOverride w:val="1"/>
    </w:lvlOverride>
  </w:num>
  <w:num w:numId="28" w16cid:durableId="2032564448">
    <w:abstractNumId w:val="12"/>
    <w:lvlOverride w:ilvl="0">
      <w:startOverride w:val="1"/>
    </w:lvlOverride>
  </w:num>
  <w:num w:numId="29" w16cid:durableId="44958784">
    <w:abstractNumId w:val="26"/>
    <w:lvlOverride w:ilvl="0">
      <w:startOverride w:val="1"/>
    </w:lvlOverride>
  </w:num>
  <w:num w:numId="30" w16cid:durableId="1902213396">
    <w:abstractNumId w:val="6"/>
    <w:lvlOverride w:ilvl="0">
      <w:startOverride w:val="1"/>
    </w:lvlOverride>
  </w:num>
  <w:num w:numId="31" w16cid:durableId="1139301973">
    <w:abstractNumId w:val="2"/>
  </w:num>
  <w:num w:numId="32" w16cid:durableId="797840980">
    <w:abstractNumId w:val="8"/>
  </w:num>
  <w:num w:numId="33" w16cid:durableId="183322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autoHyphenation/>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84"/>
    <w:rsid w:val="000064DF"/>
    <w:rsid w:val="0000734B"/>
    <w:rsid w:val="00015610"/>
    <w:rsid w:val="00017EE8"/>
    <w:rsid w:val="000223B2"/>
    <w:rsid w:val="00023992"/>
    <w:rsid w:val="0002465F"/>
    <w:rsid w:val="000275BF"/>
    <w:rsid w:val="00027E39"/>
    <w:rsid w:val="000328BC"/>
    <w:rsid w:val="00034901"/>
    <w:rsid w:val="00034DF9"/>
    <w:rsid w:val="00035D3C"/>
    <w:rsid w:val="00036589"/>
    <w:rsid w:val="00036AB6"/>
    <w:rsid w:val="00040CF2"/>
    <w:rsid w:val="0004141B"/>
    <w:rsid w:val="000462F1"/>
    <w:rsid w:val="000555BD"/>
    <w:rsid w:val="00060B42"/>
    <w:rsid w:val="000612CA"/>
    <w:rsid w:val="00061697"/>
    <w:rsid w:val="000652F2"/>
    <w:rsid w:val="00065924"/>
    <w:rsid w:val="00065958"/>
    <w:rsid w:val="00070E42"/>
    <w:rsid w:val="00072D95"/>
    <w:rsid w:val="000730AC"/>
    <w:rsid w:val="00073A23"/>
    <w:rsid w:val="00073B9A"/>
    <w:rsid w:val="00077E8E"/>
    <w:rsid w:val="00082151"/>
    <w:rsid w:val="0008795F"/>
    <w:rsid w:val="00090E43"/>
    <w:rsid w:val="0009377F"/>
    <w:rsid w:val="00094702"/>
    <w:rsid w:val="00094E2B"/>
    <w:rsid w:val="00095566"/>
    <w:rsid w:val="00097CCE"/>
    <w:rsid w:val="000A1D81"/>
    <w:rsid w:val="000A35F5"/>
    <w:rsid w:val="000A3D98"/>
    <w:rsid w:val="000A66DD"/>
    <w:rsid w:val="000A717D"/>
    <w:rsid w:val="000B0C4B"/>
    <w:rsid w:val="000B1C2A"/>
    <w:rsid w:val="000B2228"/>
    <w:rsid w:val="000B28EB"/>
    <w:rsid w:val="000B5FBC"/>
    <w:rsid w:val="000B633B"/>
    <w:rsid w:val="000B6B3C"/>
    <w:rsid w:val="000C0932"/>
    <w:rsid w:val="000C0A3F"/>
    <w:rsid w:val="000C236C"/>
    <w:rsid w:val="000C2922"/>
    <w:rsid w:val="000C3F48"/>
    <w:rsid w:val="000C52D4"/>
    <w:rsid w:val="000D104E"/>
    <w:rsid w:val="000D10DD"/>
    <w:rsid w:val="000D3A3F"/>
    <w:rsid w:val="000D3F27"/>
    <w:rsid w:val="000D440D"/>
    <w:rsid w:val="000D5249"/>
    <w:rsid w:val="000D61AD"/>
    <w:rsid w:val="000D7373"/>
    <w:rsid w:val="000D79D6"/>
    <w:rsid w:val="000D7EA5"/>
    <w:rsid w:val="000E0400"/>
    <w:rsid w:val="000E1F49"/>
    <w:rsid w:val="000E3196"/>
    <w:rsid w:val="000E6F5C"/>
    <w:rsid w:val="000E7E55"/>
    <w:rsid w:val="000F2A1D"/>
    <w:rsid w:val="000F31D0"/>
    <w:rsid w:val="000F435F"/>
    <w:rsid w:val="000F5E26"/>
    <w:rsid w:val="00110591"/>
    <w:rsid w:val="00113F7B"/>
    <w:rsid w:val="00114551"/>
    <w:rsid w:val="00115DC7"/>
    <w:rsid w:val="00116964"/>
    <w:rsid w:val="00122932"/>
    <w:rsid w:val="0012431B"/>
    <w:rsid w:val="001276B8"/>
    <w:rsid w:val="00127CF3"/>
    <w:rsid w:val="001343F0"/>
    <w:rsid w:val="001344B9"/>
    <w:rsid w:val="00136D01"/>
    <w:rsid w:val="001435ED"/>
    <w:rsid w:val="00144AAB"/>
    <w:rsid w:val="00146DA8"/>
    <w:rsid w:val="0015378A"/>
    <w:rsid w:val="0016505F"/>
    <w:rsid w:val="00167959"/>
    <w:rsid w:val="00167A71"/>
    <w:rsid w:val="001716EA"/>
    <w:rsid w:val="001738D6"/>
    <w:rsid w:val="00175B5F"/>
    <w:rsid w:val="00176F8C"/>
    <w:rsid w:val="001771CC"/>
    <w:rsid w:val="00177E05"/>
    <w:rsid w:val="0018062B"/>
    <w:rsid w:val="00190BE6"/>
    <w:rsid w:val="00190CE1"/>
    <w:rsid w:val="00197509"/>
    <w:rsid w:val="001A34E8"/>
    <w:rsid w:val="001A3813"/>
    <w:rsid w:val="001A49FA"/>
    <w:rsid w:val="001A4B18"/>
    <w:rsid w:val="001A5B0E"/>
    <w:rsid w:val="001A5EF0"/>
    <w:rsid w:val="001B1E88"/>
    <w:rsid w:val="001C629F"/>
    <w:rsid w:val="001D036E"/>
    <w:rsid w:val="001D093E"/>
    <w:rsid w:val="001D3B79"/>
    <w:rsid w:val="001D3D7F"/>
    <w:rsid w:val="001D5A63"/>
    <w:rsid w:val="001E515A"/>
    <w:rsid w:val="001F1BAB"/>
    <w:rsid w:val="001F2765"/>
    <w:rsid w:val="001F7059"/>
    <w:rsid w:val="0020390A"/>
    <w:rsid w:val="00204169"/>
    <w:rsid w:val="00204EE0"/>
    <w:rsid w:val="0020734A"/>
    <w:rsid w:val="00207490"/>
    <w:rsid w:val="0020786E"/>
    <w:rsid w:val="00207BE3"/>
    <w:rsid w:val="0021610E"/>
    <w:rsid w:val="00217255"/>
    <w:rsid w:val="00220558"/>
    <w:rsid w:val="00223D24"/>
    <w:rsid w:val="002241FC"/>
    <w:rsid w:val="00224A20"/>
    <w:rsid w:val="00225973"/>
    <w:rsid w:val="0022755A"/>
    <w:rsid w:val="002275E6"/>
    <w:rsid w:val="0022780F"/>
    <w:rsid w:val="00227DFF"/>
    <w:rsid w:val="002325E9"/>
    <w:rsid w:val="00233C03"/>
    <w:rsid w:val="00234B8C"/>
    <w:rsid w:val="00234CC6"/>
    <w:rsid w:val="0024194D"/>
    <w:rsid w:val="00241F32"/>
    <w:rsid w:val="002429C8"/>
    <w:rsid w:val="002440B3"/>
    <w:rsid w:val="00245C2E"/>
    <w:rsid w:val="00247740"/>
    <w:rsid w:val="002500DD"/>
    <w:rsid w:val="00250F80"/>
    <w:rsid w:val="00252DB0"/>
    <w:rsid w:val="002543E2"/>
    <w:rsid w:val="002547DE"/>
    <w:rsid w:val="00261704"/>
    <w:rsid w:val="00261942"/>
    <w:rsid w:val="00261F88"/>
    <w:rsid w:val="00263026"/>
    <w:rsid w:val="00264B9D"/>
    <w:rsid w:val="00264E23"/>
    <w:rsid w:val="002665B9"/>
    <w:rsid w:val="0026682B"/>
    <w:rsid w:val="002715D8"/>
    <w:rsid w:val="00275570"/>
    <w:rsid w:val="00275B04"/>
    <w:rsid w:val="00276F90"/>
    <w:rsid w:val="0028308B"/>
    <w:rsid w:val="002849B0"/>
    <w:rsid w:val="00285E89"/>
    <w:rsid w:val="002916B7"/>
    <w:rsid w:val="00292091"/>
    <w:rsid w:val="00297E84"/>
    <w:rsid w:val="002A2806"/>
    <w:rsid w:val="002A4E63"/>
    <w:rsid w:val="002A55BD"/>
    <w:rsid w:val="002B0823"/>
    <w:rsid w:val="002B6E10"/>
    <w:rsid w:val="002B7818"/>
    <w:rsid w:val="002B7A97"/>
    <w:rsid w:val="002C2753"/>
    <w:rsid w:val="002C3E1B"/>
    <w:rsid w:val="002D06C6"/>
    <w:rsid w:val="002D32A4"/>
    <w:rsid w:val="002D33D8"/>
    <w:rsid w:val="002D63D2"/>
    <w:rsid w:val="002D66DC"/>
    <w:rsid w:val="002D71CD"/>
    <w:rsid w:val="002E064D"/>
    <w:rsid w:val="002E16C0"/>
    <w:rsid w:val="002E48ED"/>
    <w:rsid w:val="002F36E5"/>
    <w:rsid w:val="00301C48"/>
    <w:rsid w:val="00306618"/>
    <w:rsid w:val="00306C46"/>
    <w:rsid w:val="0031296C"/>
    <w:rsid w:val="0031561D"/>
    <w:rsid w:val="0031773E"/>
    <w:rsid w:val="00320C57"/>
    <w:rsid w:val="00321072"/>
    <w:rsid w:val="00321DAF"/>
    <w:rsid w:val="0033056B"/>
    <w:rsid w:val="00332438"/>
    <w:rsid w:val="00332903"/>
    <w:rsid w:val="0033550E"/>
    <w:rsid w:val="00335565"/>
    <w:rsid w:val="003402DD"/>
    <w:rsid w:val="003462A7"/>
    <w:rsid w:val="003467CA"/>
    <w:rsid w:val="00347329"/>
    <w:rsid w:val="00347475"/>
    <w:rsid w:val="00351075"/>
    <w:rsid w:val="00351CA0"/>
    <w:rsid w:val="00351EDB"/>
    <w:rsid w:val="00352831"/>
    <w:rsid w:val="00353F30"/>
    <w:rsid w:val="00362A0B"/>
    <w:rsid w:val="00364F5A"/>
    <w:rsid w:val="003734C5"/>
    <w:rsid w:val="0037538F"/>
    <w:rsid w:val="00375904"/>
    <w:rsid w:val="00375DB5"/>
    <w:rsid w:val="00376090"/>
    <w:rsid w:val="003802F8"/>
    <w:rsid w:val="003827FD"/>
    <w:rsid w:val="003851CA"/>
    <w:rsid w:val="00385647"/>
    <w:rsid w:val="00391D59"/>
    <w:rsid w:val="00392FAE"/>
    <w:rsid w:val="00393FB8"/>
    <w:rsid w:val="00394B81"/>
    <w:rsid w:val="003960DE"/>
    <w:rsid w:val="00397A3D"/>
    <w:rsid w:val="003A09AF"/>
    <w:rsid w:val="003A1DCE"/>
    <w:rsid w:val="003A2456"/>
    <w:rsid w:val="003A24E2"/>
    <w:rsid w:val="003A4205"/>
    <w:rsid w:val="003B16F3"/>
    <w:rsid w:val="003B3629"/>
    <w:rsid w:val="003B42BF"/>
    <w:rsid w:val="003B51D8"/>
    <w:rsid w:val="003B5FBB"/>
    <w:rsid w:val="003B7583"/>
    <w:rsid w:val="003B77F2"/>
    <w:rsid w:val="003B7AB7"/>
    <w:rsid w:val="003C2F8A"/>
    <w:rsid w:val="003C4BE7"/>
    <w:rsid w:val="003D1AB3"/>
    <w:rsid w:val="003D1AC0"/>
    <w:rsid w:val="003D23CC"/>
    <w:rsid w:val="003D550F"/>
    <w:rsid w:val="003D5E9A"/>
    <w:rsid w:val="003E0C05"/>
    <w:rsid w:val="003E57CA"/>
    <w:rsid w:val="003E61C7"/>
    <w:rsid w:val="003E7BC3"/>
    <w:rsid w:val="003F13EC"/>
    <w:rsid w:val="003F23E4"/>
    <w:rsid w:val="003F38E4"/>
    <w:rsid w:val="003F49C9"/>
    <w:rsid w:val="003F753E"/>
    <w:rsid w:val="00400A52"/>
    <w:rsid w:val="00405AD8"/>
    <w:rsid w:val="004066AB"/>
    <w:rsid w:val="0040734D"/>
    <w:rsid w:val="00410430"/>
    <w:rsid w:val="00411355"/>
    <w:rsid w:val="00412712"/>
    <w:rsid w:val="00413CEE"/>
    <w:rsid w:val="00415BB7"/>
    <w:rsid w:val="004164B9"/>
    <w:rsid w:val="00417EBF"/>
    <w:rsid w:val="004211A1"/>
    <w:rsid w:val="00426AAB"/>
    <w:rsid w:val="004279EF"/>
    <w:rsid w:val="0043089A"/>
    <w:rsid w:val="00431544"/>
    <w:rsid w:val="00434E74"/>
    <w:rsid w:val="004408F5"/>
    <w:rsid w:val="004413B7"/>
    <w:rsid w:val="00442EF1"/>
    <w:rsid w:val="00460EFE"/>
    <w:rsid w:val="00461ABD"/>
    <w:rsid w:val="00461C32"/>
    <w:rsid w:val="00461F26"/>
    <w:rsid w:val="00462855"/>
    <w:rsid w:val="004630AA"/>
    <w:rsid w:val="00465CC6"/>
    <w:rsid w:val="00465F72"/>
    <w:rsid w:val="004670C7"/>
    <w:rsid w:val="00467EEF"/>
    <w:rsid w:val="00474E5E"/>
    <w:rsid w:val="00475C18"/>
    <w:rsid w:val="00477B3E"/>
    <w:rsid w:val="0048059C"/>
    <w:rsid w:val="004810F6"/>
    <w:rsid w:val="00483D0A"/>
    <w:rsid w:val="00484F19"/>
    <w:rsid w:val="00486114"/>
    <w:rsid w:val="004871BD"/>
    <w:rsid w:val="0049104A"/>
    <w:rsid w:val="00492E2D"/>
    <w:rsid w:val="00493904"/>
    <w:rsid w:val="00496821"/>
    <w:rsid w:val="00496E94"/>
    <w:rsid w:val="004A27A4"/>
    <w:rsid w:val="004A403E"/>
    <w:rsid w:val="004A6475"/>
    <w:rsid w:val="004A7BB8"/>
    <w:rsid w:val="004B1A44"/>
    <w:rsid w:val="004B2F45"/>
    <w:rsid w:val="004B3C55"/>
    <w:rsid w:val="004B6040"/>
    <w:rsid w:val="004C0193"/>
    <w:rsid w:val="004C04EA"/>
    <w:rsid w:val="004C0834"/>
    <w:rsid w:val="004C39CE"/>
    <w:rsid w:val="004C4A82"/>
    <w:rsid w:val="004C7495"/>
    <w:rsid w:val="004D350E"/>
    <w:rsid w:val="004D4603"/>
    <w:rsid w:val="004D4A5B"/>
    <w:rsid w:val="004E0035"/>
    <w:rsid w:val="004E1331"/>
    <w:rsid w:val="004E182D"/>
    <w:rsid w:val="004E430E"/>
    <w:rsid w:val="004E6738"/>
    <w:rsid w:val="004E7297"/>
    <w:rsid w:val="004E7D67"/>
    <w:rsid w:val="004F0B8C"/>
    <w:rsid w:val="004F0CEB"/>
    <w:rsid w:val="004F4FD5"/>
    <w:rsid w:val="004F6154"/>
    <w:rsid w:val="005003AC"/>
    <w:rsid w:val="005018D1"/>
    <w:rsid w:val="0050366F"/>
    <w:rsid w:val="00503CD1"/>
    <w:rsid w:val="005041F7"/>
    <w:rsid w:val="005067EE"/>
    <w:rsid w:val="00507CCA"/>
    <w:rsid w:val="005130B1"/>
    <w:rsid w:val="0051356D"/>
    <w:rsid w:val="005147A1"/>
    <w:rsid w:val="005156B1"/>
    <w:rsid w:val="005203F2"/>
    <w:rsid w:val="005217A3"/>
    <w:rsid w:val="005217A7"/>
    <w:rsid w:val="00524197"/>
    <w:rsid w:val="00525675"/>
    <w:rsid w:val="00525F75"/>
    <w:rsid w:val="00531C80"/>
    <w:rsid w:val="00532653"/>
    <w:rsid w:val="005337FC"/>
    <w:rsid w:val="0053527D"/>
    <w:rsid w:val="00537384"/>
    <w:rsid w:val="00540682"/>
    <w:rsid w:val="00540803"/>
    <w:rsid w:val="00540BAF"/>
    <w:rsid w:val="005420ED"/>
    <w:rsid w:val="00542780"/>
    <w:rsid w:val="00543A94"/>
    <w:rsid w:val="00544152"/>
    <w:rsid w:val="005514BF"/>
    <w:rsid w:val="00553167"/>
    <w:rsid w:val="00553222"/>
    <w:rsid w:val="0055612B"/>
    <w:rsid w:val="0056046C"/>
    <w:rsid w:val="00561434"/>
    <w:rsid w:val="005632D0"/>
    <w:rsid w:val="005641E9"/>
    <w:rsid w:val="00571989"/>
    <w:rsid w:val="0057429E"/>
    <w:rsid w:val="00577FDA"/>
    <w:rsid w:val="00581A05"/>
    <w:rsid w:val="00583D53"/>
    <w:rsid w:val="00585B05"/>
    <w:rsid w:val="00590963"/>
    <w:rsid w:val="00590D6E"/>
    <w:rsid w:val="0059343D"/>
    <w:rsid w:val="00593732"/>
    <w:rsid w:val="005949A7"/>
    <w:rsid w:val="00595913"/>
    <w:rsid w:val="005A1CBF"/>
    <w:rsid w:val="005A3682"/>
    <w:rsid w:val="005A37EA"/>
    <w:rsid w:val="005A3FD7"/>
    <w:rsid w:val="005A59E1"/>
    <w:rsid w:val="005B191D"/>
    <w:rsid w:val="005B41E2"/>
    <w:rsid w:val="005B5E7F"/>
    <w:rsid w:val="005B7809"/>
    <w:rsid w:val="005C1127"/>
    <w:rsid w:val="005C1C2F"/>
    <w:rsid w:val="005C48F0"/>
    <w:rsid w:val="005C638C"/>
    <w:rsid w:val="005D124A"/>
    <w:rsid w:val="005D557D"/>
    <w:rsid w:val="005D5FE3"/>
    <w:rsid w:val="005D7F9A"/>
    <w:rsid w:val="005E30C1"/>
    <w:rsid w:val="005E7D88"/>
    <w:rsid w:val="005F11D1"/>
    <w:rsid w:val="005F3C43"/>
    <w:rsid w:val="005F7FC5"/>
    <w:rsid w:val="00601030"/>
    <w:rsid w:val="00601056"/>
    <w:rsid w:val="00601CFC"/>
    <w:rsid w:val="0060261C"/>
    <w:rsid w:val="00603D29"/>
    <w:rsid w:val="00604218"/>
    <w:rsid w:val="00604943"/>
    <w:rsid w:val="00606129"/>
    <w:rsid w:val="0061271A"/>
    <w:rsid w:val="006137E4"/>
    <w:rsid w:val="00616FDC"/>
    <w:rsid w:val="00617E99"/>
    <w:rsid w:val="00622353"/>
    <w:rsid w:val="006223AD"/>
    <w:rsid w:val="006237CE"/>
    <w:rsid w:val="006306A8"/>
    <w:rsid w:val="00633302"/>
    <w:rsid w:val="00635BB5"/>
    <w:rsid w:val="00636CF2"/>
    <w:rsid w:val="00643676"/>
    <w:rsid w:val="00645BB5"/>
    <w:rsid w:val="00646E2B"/>
    <w:rsid w:val="00650C0F"/>
    <w:rsid w:val="0065193C"/>
    <w:rsid w:val="0066043C"/>
    <w:rsid w:val="00660B4B"/>
    <w:rsid w:val="00661B14"/>
    <w:rsid w:val="00663FF4"/>
    <w:rsid w:val="0066423B"/>
    <w:rsid w:val="00667A22"/>
    <w:rsid w:val="00671111"/>
    <w:rsid w:val="00674354"/>
    <w:rsid w:val="00682563"/>
    <w:rsid w:val="0068485A"/>
    <w:rsid w:val="00690C45"/>
    <w:rsid w:val="00690ECB"/>
    <w:rsid w:val="00696061"/>
    <w:rsid w:val="006A0596"/>
    <w:rsid w:val="006A0F55"/>
    <w:rsid w:val="006A1A11"/>
    <w:rsid w:val="006A6ECB"/>
    <w:rsid w:val="006B3433"/>
    <w:rsid w:val="006C0CEA"/>
    <w:rsid w:val="006C1829"/>
    <w:rsid w:val="006C1B12"/>
    <w:rsid w:val="006C2405"/>
    <w:rsid w:val="006C5165"/>
    <w:rsid w:val="006C5C6A"/>
    <w:rsid w:val="006D0B26"/>
    <w:rsid w:val="006D22E1"/>
    <w:rsid w:val="006D240C"/>
    <w:rsid w:val="006D3585"/>
    <w:rsid w:val="006D5940"/>
    <w:rsid w:val="006D59B8"/>
    <w:rsid w:val="006D5B01"/>
    <w:rsid w:val="006D7F26"/>
    <w:rsid w:val="006D7F2C"/>
    <w:rsid w:val="006E5484"/>
    <w:rsid w:val="006E7281"/>
    <w:rsid w:val="006F0CE3"/>
    <w:rsid w:val="006F1E14"/>
    <w:rsid w:val="006F32E5"/>
    <w:rsid w:val="006F522E"/>
    <w:rsid w:val="006F635D"/>
    <w:rsid w:val="006F6D70"/>
    <w:rsid w:val="006F6E67"/>
    <w:rsid w:val="006F7240"/>
    <w:rsid w:val="006F7D7D"/>
    <w:rsid w:val="00700A77"/>
    <w:rsid w:val="0070337E"/>
    <w:rsid w:val="00704385"/>
    <w:rsid w:val="00707B9F"/>
    <w:rsid w:val="007117EF"/>
    <w:rsid w:val="00714F3C"/>
    <w:rsid w:val="00715836"/>
    <w:rsid w:val="00716361"/>
    <w:rsid w:val="00716B55"/>
    <w:rsid w:val="00716F03"/>
    <w:rsid w:val="00721378"/>
    <w:rsid w:val="00724891"/>
    <w:rsid w:val="0072509E"/>
    <w:rsid w:val="007257CE"/>
    <w:rsid w:val="0072725B"/>
    <w:rsid w:val="00727F01"/>
    <w:rsid w:val="0073126C"/>
    <w:rsid w:val="00737DE6"/>
    <w:rsid w:val="00742BD6"/>
    <w:rsid w:val="007436FD"/>
    <w:rsid w:val="007439E8"/>
    <w:rsid w:val="00757111"/>
    <w:rsid w:val="00760438"/>
    <w:rsid w:val="00762BF1"/>
    <w:rsid w:val="007634F6"/>
    <w:rsid w:val="00767EB0"/>
    <w:rsid w:val="00773C0C"/>
    <w:rsid w:val="00775372"/>
    <w:rsid w:val="00775D53"/>
    <w:rsid w:val="00775DA1"/>
    <w:rsid w:val="00775EEB"/>
    <w:rsid w:val="0077624C"/>
    <w:rsid w:val="00782D6F"/>
    <w:rsid w:val="00783D40"/>
    <w:rsid w:val="007858E8"/>
    <w:rsid w:val="00785BD4"/>
    <w:rsid w:val="007865D8"/>
    <w:rsid w:val="00786E7D"/>
    <w:rsid w:val="00792469"/>
    <w:rsid w:val="007938F9"/>
    <w:rsid w:val="0079417E"/>
    <w:rsid w:val="00797008"/>
    <w:rsid w:val="007A1440"/>
    <w:rsid w:val="007A20D2"/>
    <w:rsid w:val="007A605C"/>
    <w:rsid w:val="007A7F52"/>
    <w:rsid w:val="007B10A0"/>
    <w:rsid w:val="007B3D63"/>
    <w:rsid w:val="007C598F"/>
    <w:rsid w:val="007C765A"/>
    <w:rsid w:val="007D5E7A"/>
    <w:rsid w:val="007D7906"/>
    <w:rsid w:val="007E44ED"/>
    <w:rsid w:val="007F4CDB"/>
    <w:rsid w:val="007F59D3"/>
    <w:rsid w:val="007F69F5"/>
    <w:rsid w:val="007F77EB"/>
    <w:rsid w:val="00805FE8"/>
    <w:rsid w:val="008112B6"/>
    <w:rsid w:val="008139FA"/>
    <w:rsid w:val="008151C5"/>
    <w:rsid w:val="00817FAF"/>
    <w:rsid w:val="00822FAD"/>
    <w:rsid w:val="00824700"/>
    <w:rsid w:val="00825241"/>
    <w:rsid w:val="00830E8F"/>
    <w:rsid w:val="00831DDF"/>
    <w:rsid w:val="0083757C"/>
    <w:rsid w:val="00837D35"/>
    <w:rsid w:val="0084052E"/>
    <w:rsid w:val="00842B29"/>
    <w:rsid w:val="00845915"/>
    <w:rsid w:val="008461F8"/>
    <w:rsid w:val="00850128"/>
    <w:rsid w:val="0085214F"/>
    <w:rsid w:val="00852DFD"/>
    <w:rsid w:val="00853094"/>
    <w:rsid w:val="00862DA1"/>
    <w:rsid w:val="00862FAC"/>
    <w:rsid w:val="008633CD"/>
    <w:rsid w:val="00866251"/>
    <w:rsid w:val="008664C4"/>
    <w:rsid w:val="008667FC"/>
    <w:rsid w:val="00872B47"/>
    <w:rsid w:val="00873683"/>
    <w:rsid w:val="00874C14"/>
    <w:rsid w:val="00875BB0"/>
    <w:rsid w:val="00875DAD"/>
    <w:rsid w:val="00877B72"/>
    <w:rsid w:val="008804EA"/>
    <w:rsid w:val="0088308E"/>
    <w:rsid w:val="00883899"/>
    <w:rsid w:val="00883DB8"/>
    <w:rsid w:val="0088561F"/>
    <w:rsid w:val="00886B62"/>
    <w:rsid w:val="00887BC7"/>
    <w:rsid w:val="00887EDE"/>
    <w:rsid w:val="00890340"/>
    <w:rsid w:val="00892DD8"/>
    <w:rsid w:val="008A1AAB"/>
    <w:rsid w:val="008A1ED9"/>
    <w:rsid w:val="008B1758"/>
    <w:rsid w:val="008B1E00"/>
    <w:rsid w:val="008B201C"/>
    <w:rsid w:val="008B31BB"/>
    <w:rsid w:val="008B53A7"/>
    <w:rsid w:val="008B5BED"/>
    <w:rsid w:val="008B5C3C"/>
    <w:rsid w:val="008C37F8"/>
    <w:rsid w:val="008C5A36"/>
    <w:rsid w:val="008C7A92"/>
    <w:rsid w:val="008C7D0E"/>
    <w:rsid w:val="008D563A"/>
    <w:rsid w:val="008D7957"/>
    <w:rsid w:val="008E3711"/>
    <w:rsid w:val="008E47E2"/>
    <w:rsid w:val="008E6447"/>
    <w:rsid w:val="008E7B06"/>
    <w:rsid w:val="008F0DF9"/>
    <w:rsid w:val="008F354A"/>
    <w:rsid w:val="008F4EA6"/>
    <w:rsid w:val="008F4FB7"/>
    <w:rsid w:val="008F7B91"/>
    <w:rsid w:val="00903653"/>
    <w:rsid w:val="0090725B"/>
    <w:rsid w:val="00920531"/>
    <w:rsid w:val="00921199"/>
    <w:rsid w:val="00921402"/>
    <w:rsid w:val="009230E2"/>
    <w:rsid w:val="009249B4"/>
    <w:rsid w:val="0092640D"/>
    <w:rsid w:val="00926A04"/>
    <w:rsid w:val="00927104"/>
    <w:rsid w:val="009276F4"/>
    <w:rsid w:val="009325C4"/>
    <w:rsid w:val="00935DC8"/>
    <w:rsid w:val="0093754A"/>
    <w:rsid w:val="00941220"/>
    <w:rsid w:val="00941558"/>
    <w:rsid w:val="00941D5C"/>
    <w:rsid w:val="00942936"/>
    <w:rsid w:val="00944686"/>
    <w:rsid w:val="00945811"/>
    <w:rsid w:val="009473BE"/>
    <w:rsid w:val="00950D64"/>
    <w:rsid w:val="00952D97"/>
    <w:rsid w:val="009531D2"/>
    <w:rsid w:val="00954BF3"/>
    <w:rsid w:val="00955F15"/>
    <w:rsid w:val="009569C5"/>
    <w:rsid w:val="009614E6"/>
    <w:rsid w:val="00961889"/>
    <w:rsid w:val="00962560"/>
    <w:rsid w:val="00962B8B"/>
    <w:rsid w:val="009659D5"/>
    <w:rsid w:val="009714CD"/>
    <w:rsid w:val="00973B8C"/>
    <w:rsid w:val="009774EE"/>
    <w:rsid w:val="00983980"/>
    <w:rsid w:val="00983EA1"/>
    <w:rsid w:val="00984E03"/>
    <w:rsid w:val="00986391"/>
    <w:rsid w:val="00990C61"/>
    <w:rsid w:val="00993FC2"/>
    <w:rsid w:val="0099444F"/>
    <w:rsid w:val="009961C7"/>
    <w:rsid w:val="009A37B8"/>
    <w:rsid w:val="009B150B"/>
    <w:rsid w:val="009B62A8"/>
    <w:rsid w:val="009B756A"/>
    <w:rsid w:val="009B7974"/>
    <w:rsid w:val="009C58B4"/>
    <w:rsid w:val="009C7109"/>
    <w:rsid w:val="009C75C9"/>
    <w:rsid w:val="009D4DBF"/>
    <w:rsid w:val="009D50E8"/>
    <w:rsid w:val="009D56B4"/>
    <w:rsid w:val="009D576B"/>
    <w:rsid w:val="009D75B0"/>
    <w:rsid w:val="009E01D1"/>
    <w:rsid w:val="009E7343"/>
    <w:rsid w:val="009E78D2"/>
    <w:rsid w:val="009E7D9F"/>
    <w:rsid w:val="009F090A"/>
    <w:rsid w:val="009F0E1B"/>
    <w:rsid w:val="009F7ECD"/>
    <w:rsid w:val="009F7F25"/>
    <w:rsid w:val="00A03A45"/>
    <w:rsid w:val="00A03C55"/>
    <w:rsid w:val="00A03D30"/>
    <w:rsid w:val="00A048DC"/>
    <w:rsid w:val="00A06EDF"/>
    <w:rsid w:val="00A10530"/>
    <w:rsid w:val="00A210D4"/>
    <w:rsid w:val="00A2247C"/>
    <w:rsid w:val="00A33092"/>
    <w:rsid w:val="00A43FE8"/>
    <w:rsid w:val="00A44B6F"/>
    <w:rsid w:val="00A46980"/>
    <w:rsid w:val="00A512CF"/>
    <w:rsid w:val="00A51FDC"/>
    <w:rsid w:val="00A5313E"/>
    <w:rsid w:val="00A55213"/>
    <w:rsid w:val="00A774E4"/>
    <w:rsid w:val="00A77FC3"/>
    <w:rsid w:val="00A8062D"/>
    <w:rsid w:val="00A807AA"/>
    <w:rsid w:val="00A80B11"/>
    <w:rsid w:val="00A8705B"/>
    <w:rsid w:val="00A912BA"/>
    <w:rsid w:val="00A91B3E"/>
    <w:rsid w:val="00A92915"/>
    <w:rsid w:val="00A9564C"/>
    <w:rsid w:val="00A9672C"/>
    <w:rsid w:val="00AA1B7B"/>
    <w:rsid w:val="00AA31DC"/>
    <w:rsid w:val="00AA35B6"/>
    <w:rsid w:val="00AA704C"/>
    <w:rsid w:val="00AA7CD8"/>
    <w:rsid w:val="00AB033A"/>
    <w:rsid w:val="00AB0FF2"/>
    <w:rsid w:val="00AC078E"/>
    <w:rsid w:val="00AC0841"/>
    <w:rsid w:val="00AC35E8"/>
    <w:rsid w:val="00AC4334"/>
    <w:rsid w:val="00AC73F6"/>
    <w:rsid w:val="00AC7BAE"/>
    <w:rsid w:val="00AD0285"/>
    <w:rsid w:val="00AD76E1"/>
    <w:rsid w:val="00AE2CF0"/>
    <w:rsid w:val="00AE3E19"/>
    <w:rsid w:val="00AE650D"/>
    <w:rsid w:val="00AF1C46"/>
    <w:rsid w:val="00AF2C0E"/>
    <w:rsid w:val="00AF316D"/>
    <w:rsid w:val="00AF3CAF"/>
    <w:rsid w:val="00AF4CDB"/>
    <w:rsid w:val="00AF4F85"/>
    <w:rsid w:val="00AF59D8"/>
    <w:rsid w:val="00B0017B"/>
    <w:rsid w:val="00B03A1C"/>
    <w:rsid w:val="00B0554A"/>
    <w:rsid w:val="00B06C0D"/>
    <w:rsid w:val="00B11C8F"/>
    <w:rsid w:val="00B12758"/>
    <w:rsid w:val="00B12F0E"/>
    <w:rsid w:val="00B13419"/>
    <w:rsid w:val="00B179B3"/>
    <w:rsid w:val="00B20593"/>
    <w:rsid w:val="00B24013"/>
    <w:rsid w:val="00B24516"/>
    <w:rsid w:val="00B27A9A"/>
    <w:rsid w:val="00B31348"/>
    <w:rsid w:val="00B341FB"/>
    <w:rsid w:val="00B43291"/>
    <w:rsid w:val="00B4531B"/>
    <w:rsid w:val="00B47A46"/>
    <w:rsid w:val="00B52155"/>
    <w:rsid w:val="00B57EAB"/>
    <w:rsid w:val="00B61A23"/>
    <w:rsid w:val="00B66E9F"/>
    <w:rsid w:val="00B7233B"/>
    <w:rsid w:val="00B7276C"/>
    <w:rsid w:val="00B76AB4"/>
    <w:rsid w:val="00B9084F"/>
    <w:rsid w:val="00B90A8F"/>
    <w:rsid w:val="00B911D9"/>
    <w:rsid w:val="00B91F1F"/>
    <w:rsid w:val="00B929B6"/>
    <w:rsid w:val="00B93B23"/>
    <w:rsid w:val="00BA0161"/>
    <w:rsid w:val="00BB071A"/>
    <w:rsid w:val="00BB1B64"/>
    <w:rsid w:val="00BB567E"/>
    <w:rsid w:val="00BB5A11"/>
    <w:rsid w:val="00BC0DE7"/>
    <w:rsid w:val="00BC2CFA"/>
    <w:rsid w:val="00BC5321"/>
    <w:rsid w:val="00BC7A49"/>
    <w:rsid w:val="00BC7A4D"/>
    <w:rsid w:val="00BD4053"/>
    <w:rsid w:val="00BE2890"/>
    <w:rsid w:val="00BF4CDB"/>
    <w:rsid w:val="00C03B12"/>
    <w:rsid w:val="00C04E35"/>
    <w:rsid w:val="00C05392"/>
    <w:rsid w:val="00C063C4"/>
    <w:rsid w:val="00C10DF1"/>
    <w:rsid w:val="00C11E4C"/>
    <w:rsid w:val="00C12326"/>
    <w:rsid w:val="00C15071"/>
    <w:rsid w:val="00C155D3"/>
    <w:rsid w:val="00C15950"/>
    <w:rsid w:val="00C160F6"/>
    <w:rsid w:val="00C24397"/>
    <w:rsid w:val="00C26AD1"/>
    <w:rsid w:val="00C328B4"/>
    <w:rsid w:val="00C35500"/>
    <w:rsid w:val="00C367D2"/>
    <w:rsid w:val="00C36D13"/>
    <w:rsid w:val="00C400D3"/>
    <w:rsid w:val="00C41C75"/>
    <w:rsid w:val="00C473DE"/>
    <w:rsid w:val="00C47FFA"/>
    <w:rsid w:val="00C57B08"/>
    <w:rsid w:val="00C62AF3"/>
    <w:rsid w:val="00C63E6E"/>
    <w:rsid w:val="00C642A9"/>
    <w:rsid w:val="00C64D54"/>
    <w:rsid w:val="00C6547A"/>
    <w:rsid w:val="00C65A85"/>
    <w:rsid w:val="00C74EC3"/>
    <w:rsid w:val="00C75F12"/>
    <w:rsid w:val="00C77D90"/>
    <w:rsid w:val="00C80114"/>
    <w:rsid w:val="00C80531"/>
    <w:rsid w:val="00C80E52"/>
    <w:rsid w:val="00C9261E"/>
    <w:rsid w:val="00C9470A"/>
    <w:rsid w:val="00C94759"/>
    <w:rsid w:val="00C94CCF"/>
    <w:rsid w:val="00C9543E"/>
    <w:rsid w:val="00CA1DC8"/>
    <w:rsid w:val="00CA4ACE"/>
    <w:rsid w:val="00CA54AF"/>
    <w:rsid w:val="00CA6087"/>
    <w:rsid w:val="00CB04E8"/>
    <w:rsid w:val="00CB06FF"/>
    <w:rsid w:val="00CB24BC"/>
    <w:rsid w:val="00CB4279"/>
    <w:rsid w:val="00CB6459"/>
    <w:rsid w:val="00CC0A05"/>
    <w:rsid w:val="00CC2DA1"/>
    <w:rsid w:val="00CC4114"/>
    <w:rsid w:val="00CC51F5"/>
    <w:rsid w:val="00CD3CAD"/>
    <w:rsid w:val="00CD60EE"/>
    <w:rsid w:val="00CD642C"/>
    <w:rsid w:val="00CE0054"/>
    <w:rsid w:val="00CF4259"/>
    <w:rsid w:val="00CF574E"/>
    <w:rsid w:val="00D001A5"/>
    <w:rsid w:val="00D023CE"/>
    <w:rsid w:val="00D03B03"/>
    <w:rsid w:val="00D05827"/>
    <w:rsid w:val="00D05853"/>
    <w:rsid w:val="00D05EEB"/>
    <w:rsid w:val="00D0675D"/>
    <w:rsid w:val="00D125E3"/>
    <w:rsid w:val="00D208E4"/>
    <w:rsid w:val="00D235DC"/>
    <w:rsid w:val="00D30FA6"/>
    <w:rsid w:val="00D310CA"/>
    <w:rsid w:val="00D340ED"/>
    <w:rsid w:val="00D34AA2"/>
    <w:rsid w:val="00D34AB3"/>
    <w:rsid w:val="00D36209"/>
    <w:rsid w:val="00D40585"/>
    <w:rsid w:val="00D406E6"/>
    <w:rsid w:val="00D4270F"/>
    <w:rsid w:val="00D507FD"/>
    <w:rsid w:val="00D50EFD"/>
    <w:rsid w:val="00D55B57"/>
    <w:rsid w:val="00D604E3"/>
    <w:rsid w:val="00D60E4F"/>
    <w:rsid w:val="00D63181"/>
    <w:rsid w:val="00D639E2"/>
    <w:rsid w:val="00D65E7F"/>
    <w:rsid w:val="00D70132"/>
    <w:rsid w:val="00D71862"/>
    <w:rsid w:val="00D746BB"/>
    <w:rsid w:val="00D84ABC"/>
    <w:rsid w:val="00D85B02"/>
    <w:rsid w:val="00D9145D"/>
    <w:rsid w:val="00D9235A"/>
    <w:rsid w:val="00D96008"/>
    <w:rsid w:val="00DB0E62"/>
    <w:rsid w:val="00DB1FE5"/>
    <w:rsid w:val="00DB49B8"/>
    <w:rsid w:val="00DB54ED"/>
    <w:rsid w:val="00DC3FE3"/>
    <w:rsid w:val="00DC5D8F"/>
    <w:rsid w:val="00DC6709"/>
    <w:rsid w:val="00DD053F"/>
    <w:rsid w:val="00DD36C2"/>
    <w:rsid w:val="00DD67F0"/>
    <w:rsid w:val="00DD7926"/>
    <w:rsid w:val="00DD7B38"/>
    <w:rsid w:val="00DE27DB"/>
    <w:rsid w:val="00DE2D6A"/>
    <w:rsid w:val="00DE50AE"/>
    <w:rsid w:val="00DF6AFE"/>
    <w:rsid w:val="00DF7232"/>
    <w:rsid w:val="00DF774A"/>
    <w:rsid w:val="00DF793A"/>
    <w:rsid w:val="00DF7B21"/>
    <w:rsid w:val="00E0473E"/>
    <w:rsid w:val="00E07195"/>
    <w:rsid w:val="00E10D11"/>
    <w:rsid w:val="00E12471"/>
    <w:rsid w:val="00E12FBC"/>
    <w:rsid w:val="00E14618"/>
    <w:rsid w:val="00E14E17"/>
    <w:rsid w:val="00E151F7"/>
    <w:rsid w:val="00E152DE"/>
    <w:rsid w:val="00E174CD"/>
    <w:rsid w:val="00E17F5B"/>
    <w:rsid w:val="00E260B4"/>
    <w:rsid w:val="00E271CC"/>
    <w:rsid w:val="00E27FA2"/>
    <w:rsid w:val="00E30BFA"/>
    <w:rsid w:val="00E3413E"/>
    <w:rsid w:val="00E364DA"/>
    <w:rsid w:val="00E36E6C"/>
    <w:rsid w:val="00E36EE2"/>
    <w:rsid w:val="00E36FC0"/>
    <w:rsid w:val="00E4190C"/>
    <w:rsid w:val="00E45CFE"/>
    <w:rsid w:val="00E50B80"/>
    <w:rsid w:val="00E563F9"/>
    <w:rsid w:val="00E566F1"/>
    <w:rsid w:val="00E61AEB"/>
    <w:rsid w:val="00E636D5"/>
    <w:rsid w:val="00E64A66"/>
    <w:rsid w:val="00E70F0D"/>
    <w:rsid w:val="00E73225"/>
    <w:rsid w:val="00E776D7"/>
    <w:rsid w:val="00E83CFD"/>
    <w:rsid w:val="00E8572A"/>
    <w:rsid w:val="00E86B16"/>
    <w:rsid w:val="00E959EA"/>
    <w:rsid w:val="00E97E9F"/>
    <w:rsid w:val="00EB3FE3"/>
    <w:rsid w:val="00EB5BAA"/>
    <w:rsid w:val="00EC4B6A"/>
    <w:rsid w:val="00EC722A"/>
    <w:rsid w:val="00ED283F"/>
    <w:rsid w:val="00ED3FEE"/>
    <w:rsid w:val="00EE01EE"/>
    <w:rsid w:val="00EE0D0D"/>
    <w:rsid w:val="00EE18A6"/>
    <w:rsid w:val="00EE21F1"/>
    <w:rsid w:val="00EE426E"/>
    <w:rsid w:val="00EE55A6"/>
    <w:rsid w:val="00EE5AFF"/>
    <w:rsid w:val="00EE7424"/>
    <w:rsid w:val="00EF111B"/>
    <w:rsid w:val="00EF4E96"/>
    <w:rsid w:val="00EF7C61"/>
    <w:rsid w:val="00F03783"/>
    <w:rsid w:val="00F04B52"/>
    <w:rsid w:val="00F04C1F"/>
    <w:rsid w:val="00F052DF"/>
    <w:rsid w:val="00F07EB9"/>
    <w:rsid w:val="00F10449"/>
    <w:rsid w:val="00F10D4B"/>
    <w:rsid w:val="00F10E29"/>
    <w:rsid w:val="00F14A3B"/>
    <w:rsid w:val="00F2070E"/>
    <w:rsid w:val="00F20D60"/>
    <w:rsid w:val="00F2549A"/>
    <w:rsid w:val="00F2773C"/>
    <w:rsid w:val="00F324B6"/>
    <w:rsid w:val="00F33E99"/>
    <w:rsid w:val="00F35B26"/>
    <w:rsid w:val="00F366AF"/>
    <w:rsid w:val="00F42484"/>
    <w:rsid w:val="00F436F3"/>
    <w:rsid w:val="00F44E1E"/>
    <w:rsid w:val="00F50E3C"/>
    <w:rsid w:val="00F51D2F"/>
    <w:rsid w:val="00F52D88"/>
    <w:rsid w:val="00F547C4"/>
    <w:rsid w:val="00F56EB4"/>
    <w:rsid w:val="00F579B4"/>
    <w:rsid w:val="00F57C12"/>
    <w:rsid w:val="00F63867"/>
    <w:rsid w:val="00F64C44"/>
    <w:rsid w:val="00F64DC8"/>
    <w:rsid w:val="00F676C6"/>
    <w:rsid w:val="00F6797C"/>
    <w:rsid w:val="00F71A1B"/>
    <w:rsid w:val="00F71F03"/>
    <w:rsid w:val="00F7328E"/>
    <w:rsid w:val="00F8104B"/>
    <w:rsid w:val="00F837DB"/>
    <w:rsid w:val="00F932A8"/>
    <w:rsid w:val="00F941AF"/>
    <w:rsid w:val="00F96F01"/>
    <w:rsid w:val="00FA0196"/>
    <w:rsid w:val="00FA2839"/>
    <w:rsid w:val="00FA3115"/>
    <w:rsid w:val="00FA3CDA"/>
    <w:rsid w:val="00FA424F"/>
    <w:rsid w:val="00FA680C"/>
    <w:rsid w:val="00FB03FF"/>
    <w:rsid w:val="00FB2FEF"/>
    <w:rsid w:val="00FB7332"/>
    <w:rsid w:val="00FC424E"/>
    <w:rsid w:val="00FC44BE"/>
    <w:rsid w:val="00FC70E3"/>
    <w:rsid w:val="00FD4A9B"/>
    <w:rsid w:val="00FD7AAC"/>
    <w:rsid w:val="00FE0018"/>
    <w:rsid w:val="00FE12B9"/>
    <w:rsid w:val="00FE275C"/>
    <w:rsid w:val="00FE28F5"/>
    <w:rsid w:val="00FE4F46"/>
    <w:rsid w:val="00FF199F"/>
    <w:rsid w:val="00FF2C63"/>
    <w:rsid w:val="00FF579D"/>
    <w:rsid w:val="02754D47"/>
    <w:rsid w:val="053E3F71"/>
    <w:rsid w:val="0E170733"/>
    <w:rsid w:val="10AAA9C1"/>
    <w:rsid w:val="12BF2C2E"/>
    <w:rsid w:val="15E24C2D"/>
    <w:rsid w:val="24DAF56E"/>
    <w:rsid w:val="28E5443B"/>
    <w:rsid w:val="2C8D59EA"/>
    <w:rsid w:val="2E8E1D5A"/>
    <w:rsid w:val="304530FA"/>
    <w:rsid w:val="32451DAB"/>
    <w:rsid w:val="325F9F85"/>
    <w:rsid w:val="34054E63"/>
    <w:rsid w:val="343D74AC"/>
    <w:rsid w:val="36629B73"/>
    <w:rsid w:val="3779877A"/>
    <w:rsid w:val="37EC4A0B"/>
    <w:rsid w:val="3E608B91"/>
    <w:rsid w:val="3F91AA2B"/>
    <w:rsid w:val="4B0C9646"/>
    <w:rsid w:val="4BB126CB"/>
    <w:rsid w:val="50211D13"/>
    <w:rsid w:val="50C7CFB1"/>
    <w:rsid w:val="52C05B9B"/>
    <w:rsid w:val="58FBB9C9"/>
    <w:rsid w:val="597FB4BD"/>
    <w:rsid w:val="5BEBBFC0"/>
    <w:rsid w:val="5FEC8E68"/>
    <w:rsid w:val="628AE88B"/>
    <w:rsid w:val="6399A4D8"/>
    <w:rsid w:val="6549B63B"/>
    <w:rsid w:val="68DB4036"/>
    <w:rsid w:val="6E055E8D"/>
    <w:rsid w:val="70E7C153"/>
    <w:rsid w:val="7149C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E25C"/>
  <w15:docId w15:val="{0FAD6415-C5BD-45FD-B4B0-25476631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3">
    <w:name w:val="heading 3"/>
    <w:basedOn w:val="Normal"/>
    <w:link w:val="Heading3Char"/>
    <w:uiPriority w:val="9"/>
    <w:qFormat/>
    <w:rsid w:val="00F902C8"/>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E0DE9"/>
  </w:style>
  <w:style w:type="character" w:customStyle="1" w:styleId="FooterChar">
    <w:name w:val="Footer Char"/>
    <w:basedOn w:val="DefaultParagraphFont"/>
    <w:link w:val="Footer"/>
    <w:uiPriority w:val="99"/>
    <w:qFormat/>
    <w:rsid w:val="002E0DE9"/>
  </w:style>
  <w:style w:type="character" w:customStyle="1" w:styleId="BalloonTextChar">
    <w:name w:val="Balloon Text Char"/>
    <w:basedOn w:val="DefaultParagraphFont"/>
    <w:link w:val="BalloonText"/>
    <w:uiPriority w:val="99"/>
    <w:semiHidden/>
    <w:qFormat/>
    <w:rsid w:val="00EC6EE1"/>
    <w:rPr>
      <w:rFonts w:ascii="Segoe UI" w:hAnsi="Segoe UI" w:cs="Segoe UI"/>
      <w:sz w:val="18"/>
      <w:szCs w:val="18"/>
    </w:rPr>
  </w:style>
  <w:style w:type="character" w:customStyle="1" w:styleId="ListParagraphChar">
    <w:name w:val="List Paragraph Char"/>
    <w:basedOn w:val="DefaultParagraphFont"/>
    <w:link w:val="ListParagraph"/>
    <w:uiPriority w:val="34"/>
    <w:qFormat/>
    <w:rsid w:val="008C3546"/>
  </w:style>
  <w:style w:type="character" w:customStyle="1" w:styleId="FirstnumberingChar">
    <w:name w:val="First numbering Char"/>
    <w:basedOn w:val="ListParagraphChar"/>
    <w:link w:val="Firstnumbering"/>
    <w:qFormat/>
    <w:rsid w:val="008C3546"/>
  </w:style>
  <w:style w:type="character" w:customStyle="1" w:styleId="SecondnumberingChar">
    <w:name w:val="Second numbering Char"/>
    <w:basedOn w:val="FirstnumberingChar"/>
    <w:link w:val="Secondnumbering"/>
    <w:qFormat/>
    <w:rsid w:val="00360838"/>
  </w:style>
  <w:style w:type="character" w:customStyle="1" w:styleId="ThirdnumberingiChar">
    <w:name w:val="Third numbering i) Char"/>
    <w:basedOn w:val="SecondnumberingChar"/>
    <w:link w:val="Thirdnumberingi"/>
    <w:qFormat/>
    <w:rsid w:val="00360838"/>
  </w:style>
  <w:style w:type="character" w:customStyle="1" w:styleId="FourthnumberingAChar">
    <w:name w:val="Fourth numbering A. Char"/>
    <w:basedOn w:val="ThirdnumberingiChar"/>
    <w:link w:val="FourthnumberingA"/>
    <w:qFormat/>
    <w:rsid w:val="00360838"/>
  </w:style>
  <w:style w:type="character" w:customStyle="1" w:styleId="TITLEChar">
    <w:name w:val="TITLE Char"/>
    <w:basedOn w:val="DefaultParagraphFont"/>
    <w:link w:val="Title1"/>
    <w:qFormat/>
    <w:rsid w:val="004B7071"/>
    <w:rPr>
      <w:rFonts w:eastAsia="Times New Roman" w:cs="Arial"/>
      <w:b/>
      <w:caps/>
    </w:rPr>
  </w:style>
  <w:style w:type="character" w:styleId="Hyperlink">
    <w:name w:val="Hyperlink"/>
    <w:basedOn w:val="DefaultParagraphFont"/>
    <w:uiPriority w:val="99"/>
    <w:unhideWhenUsed/>
    <w:rsid w:val="00386A37"/>
    <w:rPr>
      <w:color w:val="0563C1" w:themeColor="hyperlink"/>
      <w:u w:val="single"/>
    </w:rPr>
  </w:style>
  <w:style w:type="character" w:styleId="UnresolvedMention">
    <w:name w:val="Unresolved Mention"/>
    <w:basedOn w:val="DefaultParagraphFont"/>
    <w:uiPriority w:val="99"/>
    <w:unhideWhenUsed/>
    <w:qFormat/>
    <w:rsid w:val="00386A37"/>
    <w:rPr>
      <w:color w:val="605E5C"/>
      <w:shd w:val="clear" w:color="auto" w:fill="E1DFDD"/>
    </w:rPr>
  </w:style>
  <w:style w:type="character" w:styleId="CommentReference">
    <w:name w:val="annotation reference"/>
    <w:basedOn w:val="DefaultParagraphFont"/>
    <w:uiPriority w:val="99"/>
    <w:semiHidden/>
    <w:unhideWhenUsed/>
    <w:qFormat/>
    <w:rsid w:val="000E0AD7"/>
    <w:rPr>
      <w:sz w:val="16"/>
      <w:szCs w:val="16"/>
    </w:rPr>
  </w:style>
  <w:style w:type="character" w:customStyle="1" w:styleId="CommentTextChar">
    <w:name w:val="Comment Text Char"/>
    <w:basedOn w:val="DefaultParagraphFont"/>
    <w:link w:val="CommentText"/>
    <w:uiPriority w:val="99"/>
    <w:qFormat/>
    <w:rsid w:val="000E0AD7"/>
    <w:rPr>
      <w:sz w:val="20"/>
      <w:szCs w:val="20"/>
    </w:rPr>
  </w:style>
  <w:style w:type="character" w:customStyle="1" w:styleId="CommentSubjectChar">
    <w:name w:val="Comment Subject Char"/>
    <w:basedOn w:val="CommentTextChar"/>
    <w:link w:val="CommentSubject"/>
    <w:uiPriority w:val="99"/>
    <w:semiHidden/>
    <w:qFormat/>
    <w:rsid w:val="000E0AD7"/>
    <w:rPr>
      <w:b/>
      <w:bCs/>
      <w:sz w:val="20"/>
      <w:szCs w:val="20"/>
    </w:rPr>
  </w:style>
  <w:style w:type="character" w:styleId="Mention">
    <w:name w:val="Mention"/>
    <w:basedOn w:val="DefaultParagraphFont"/>
    <w:uiPriority w:val="99"/>
    <w:unhideWhenUsed/>
    <w:qFormat/>
    <w:rsid w:val="000E0AD7"/>
    <w:rPr>
      <w:color w:val="2B579A"/>
      <w:shd w:val="clear" w:color="auto" w:fill="E1DFDD"/>
    </w:rPr>
  </w:style>
  <w:style w:type="character" w:styleId="Emphasis">
    <w:name w:val="Emphasis"/>
    <w:qFormat/>
    <w:rsid w:val="007B52B7"/>
    <w:rPr>
      <w:i/>
      <w:iCs/>
    </w:rPr>
  </w:style>
  <w:style w:type="character" w:customStyle="1" w:styleId="Heading3Char">
    <w:name w:val="Heading 3 Char"/>
    <w:basedOn w:val="DefaultParagraphFont"/>
    <w:link w:val="Heading3"/>
    <w:uiPriority w:val="9"/>
    <w:qFormat/>
    <w:rsid w:val="00F902C8"/>
    <w:rPr>
      <w:rFonts w:ascii="Times New Roman" w:eastAsia="Times New Roman" w:hAnsi="Times New Roman" w:cs="Times New Roman"/>
      <w:b/>
      <w:bCs/>
      <w:sz w:val="27"/>
      <w:szCs w:val="27"/>
    </w:rPr>
  </w:style>
  <w:style w:type="character" w:styleId="Strong">
    <w:name w:val="Strong"/>
    <w:basedOn w:val="DefaultParagraphFont"/>
    <w:uiPriority w:val="22"/>
    <w:qFormat/>
    <w:rsid w:val="00F902C8"/>
    <w:rPr>
      <w:b/>
      <w:bCs/>
    </w:rPr>
  </w:style>
  <w:style w:type="character" w:customStyle="1" w:styleId="field-content">
    <w:name w:val="field-content"/>
    <w:basedOn w:val="DefaultParagraphFont"/>
    <w:qFormat/>
    <w:rsid w:val="00F902C8"/>
  </w:style>
  <w:style w:type="character" w:customStyle="1" w:styleId="FootnoteTextChar">
    <w:name w:val="Footnote Text Char"/>
    <w:basedOn w:val="DefaultParagraphFont"/>
    <w:link w:val="FootnoteText"/>
    <w:uiPriority w:val="99"/>
    <w:semiHidden/>
    <w:qFormat/>
    <w:rsid w:val="00CA0103"/>
    <w:rPr>
      <w:sz w:val="20"/>
      <w:szCs w:val="20"/>
    </w:rPr>
  </w:style>
  <w:style w:type="character" w:customStyle="1" w:styleId="FootnoteCharacters">
    <w:name w:val="Footnote Characters"/>
    <w:basedOn w:val="DefaultParagraphFont"/>
    <w:uiPriority w:val="99"/>
    <w:semiHidden/>
    <w:unhideWhenUsed/>
    <w:qFormat/>
    <w:rsid w:val="00CA0103"/>
    <w:rPr>
      <w:vertAlign w:val="superscript"/>
    </w:rPr>
  </w:style>
  <w:style w:type="character" w:styleId="FootnoteReference">
    <w:name w:val="footnote reference"/>
    <w:rPr>
      <w:vertAlign w:val="superscript"/>
    </w:rPr>
  </w:style>
  <w:style w:type="character" w:styleId="LineNumber">
    <w:name w:val="line numbe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C6EE1"/>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paragraph" w:customStyle="1" w:styleId="Thirdnumberingi">
    <w:name w:val="Third numbering i)"/>
    <w:basedOn w:val="Secondnumbering"/>
    <w:link w:val="ThirdnumberingiChar"/>
    <w:qFormat/>
    <w:rsid w:val="00360838"/>
    <w:pPr>
      <w:numPr>
        <w:numId w:val="4"/>
      </w:numPr>
      <w:ind w:left="1701" w:hanging="283"/>
    </w:pPr>
  </w:style>
  <w:style w:type="paragraph" w:customStyle="1" w:styleId="FourthnumberingA">
    <w:name w:val="Fourth numbering A."/>
    <w:basedOn w:val="Thirdnumberingi"/>
    <w:link w:val="FourthnumberingAChar"/>
    <w:qFormat/>
    <w:rsid w:val="00360838"/>
    <w:pPr>
      <w:numPr>
        <w:numId w:val="5"/>
      </w:numPr>
      <w:ind w:left="2268" w:hanging="283"/>
    </w:p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pacing w:after="0" w:line="240" w:lineRule="auto"/>
      <w:jc w:val="center"/>
      <w:textAlignment w:val="baseline"/>
      <w:outlineLvl w:val="1"/>
    </w:pPr>
    <w:rPr>
      <w:rFonts w:eastAsia="Times New Roman" w:cs="Arial"/>
      <w:b/>
      <w:caps/>
    </w:rPr>
  </w:style>
  <w:style w:type="paragraph" w:styleId="Revision">
    <w:name w:val="Revision"/>
    <w:uiPriority w:val="99"/>
    <w:semiHidden/>
    <w:qFormat/>
    <w:rsid w:val="00BE0EA7"/>
  </w:style>
  <w:style w:type="paragraph" w:styleId="CommentText">
    <w:name w:val="annotation text"/>
    <w:basedOn w:val="Normal"/>
    <w:link w:val="CommentTextChar"/>
    <w:uiPriority w:val="99"/>
    <w:unhideWhenUsed/>
    <w:qFormat/>
    <w:rsid w:val="000E0AD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E0AD7"/>
    <w:rPr>
      <w:b/>
      <w:bCs/>
    </w:rPr>
  </w:style>
  <w:style w:type="paragraph" w:customStyle="1" w:styleId="Bulletlist">
    <w:name w:val="Bullet list"/>
    <w:basedOn w:val="Normal"/>
    <w:qFormat/>
    <w:rsid w:val="00B41BC2"/>
    <w:pPr>
      <w:widowControl w:val="0"/>
      <w:numPr>
        <w:numId w:val="15"/>
      </w:numPr>
      <w:spacing w:after="0" w:line="240" w:lineRule="auto"/>
      <w:ind w:left="964" w:hanging="567"/>
    </w:pPr>
    <w:rPr>
      <w:rFonts w:ascii="Georgia" w:eastAsia="Segoe UI" w:hAnsi="Georgia" w:cs="Georgia"/>
      <w:szCs w:val="20"/>
    </w:rPr>
  </w:style>
  <w:style w:type="paragraph" w:styleId="NormalWeb">
    <w:name w:val="Normal (Web)"/>
    <w:basedOn w:val="Normal"/>
    <w:uiPriority w:val="99"/>
    <w:semiHidden/>
    <w:unhideWhenUsed/>
    <w:qFormat/>
    <w:rsid w:val="00F902C8"/>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F0CA7"/>
    <w:rPr>
      <w:rFonts w:ascii="Lato" w:eastAsia="Calibri" w:hAnsi="Lato" w:cs="Lato"/>
      <w:color w:val="000000"/>
      <w:sz w:val="24"/>
      <w:szCs w:val="24"/>
    </w:rPr>
  </w:style>
  <w:style w:type="paragraph" w:styleId="FootnoteText">
    <w:name w:val="footnote text"/>
    <w:basedOn w:val="Normal"/>
    <w:link w:val="FootnoteTextChar"/>
    <w:uiPriority w:val="99"/>
    <w:semiHidden/>
    <w:unhideWhenUsed/>
    <w:rsid w:val="00CA0103"/>
    <w:pPr>
      <w:spacing w:after="0" w:line="240" w:lineRule="auto"/>
    </w:pPr>
    <w:rPr>
      <w:sz w:val="20"/>
      <w:szCs w:val="20"/>
    </w:rPr>
  </w:style>
  <w:style w:type="paragraph" w:customStyle="1" w:styleId="FrameContents">
    <w:name w:val="Frame Contents"/>
    <w:basedOn w:val="Normal"/>
    <w:qFormat/>
  </w:style>
  <w:style w:type="paragraph" w:customStyle="1" w:styleId="HeaderLeft">
    <w:name w:val="Header Left"/>
    <w:basedOn w:val="Header"/>
    <w:qFormat/>
  </w:style>
  <w:style w:type="table" w:styleId="TableGrid">
    <w:name w:val="Table Grid"/>
    <w:basedOn w:val="TableNormal"/>
    <w:uiPriority w:val="39"/>
    <w:rsid w:val="0099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4AB3"/>
    <w:rPr>
      <w:color w:val="954F72" w:themeColor="followedHyperlink"/>
      <w:u w:val="single"/>
    </w:rPr>
  </w:style>
  <w:style w:type="character" w:customStyle="1" w:styleId="cf01">
    <w:name w:val="cf01"/>
    <w:basedOn w:val="DefaultParagraphFont"/>
    <w:rsid w:val="00465C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cms.int/en/document/aquatic-wild-meat-5" TargetMode="External"/><Relationship Id="rId26" Type="http://schemas.openxmlformats.org/officeDocument/2006/relationships/hyperlink" Target="https://www.cms.int/en/document/review-support-development-second-cms-cetacean-programme-work-2024-2035" TargetMode="External"/><Relationship Id="rId39" Type="http://schemas.openxmlformats.org/officeDocument/2006/relationships/footer" Target="footer2.xml"/><Relationship Id="rId21" Type="http://schemas.openxmlformats.org/officeDocument/2006/relationships/hyperlink" Target="https://www.cms.int/en/document/important-marine-mammal-areas" TargetMode="External"/><Relationship Id="rId34" Type="http://schemas.openxmlformats.org/officeDocument/2006/relationships/hyperlink" Target="https://www.cms.int/en/document/review-support-development-second-cms-cetacean-programme-work-2024-2035" TargetMode="External"/><Relationship Id="rId42" Type="http://schemas.openxmlformats.org/officeDocument/2006/relationships/hyperlink" Target="https://www.cms.int/en/document/review-support-development-second-cms-cetacean-programme-work-2024-2035" TargetMode="Externa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header" Target="header1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cms.int/en/document/conservation-implications-animal-culture" TargetMode="External"/><Relationship Id="rId29" Type="http://schemas.openxmlformats.org/officeDocument/2006/relationships/hyperlink" Target="https://www.cms.int/en/document/vessel-strikes" TargetMode="External"/><Relationship Id="rId11" Type="http://schemas.openxmlformats.org/officeDocument/2006/relationships/footnotes" Target="footnotes.xml"/><Relationship Id="rId24" Type="http://schemas.openxmlformats.org/officeDocument/2006/relationships/hyperlink" Target="https://www.cms.int/en/document/review-support-development-second-cms-cetacean-programme-work-2024-2035" TargetMode="External"/><Relationship Id="rId32" Type="http://schemas.openxmlformats.org/officeDocument/2006/relationships/hyperlink" Target="https://www.cms.int/en/document/review-support-development-second-cms-cetacean-programme-work-2024-2035"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footer" Target="footer4.xml"/><Relationship Id="rId53" Type="http://schemas.openxmlformats.org/officeDocument/2006/relationships/header" Target="header10.xml"/><Relationship Id="rId58" Type="http://schemas.openxmlformats.org/officeDocument/2006/relationships/footer" Target="footer1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cms.int/en/document/live-capture-cetaceans-wild-commercial-purposes-0" TargetMode="External"/><Relationship Id="rId14" Type="http://schemas.openxmlformats.org/officeDocument/2006/relationships/header" Target="header1.xml"/><Relationship Id="rId22" Type="http://schemas.openxmlformats.org/officeDocument/2006/relationships/hyperlink" Target="https://archive.iwc.int/pages/view.php?ref=19252&amp;k=" TargetMode="External"/><Relationship Id="rId27" Type="http://schemas.openxmlformats.org/officeDocument/2006/relationships/hyperlink" Target="https://www.cms.int/en/document/compilation-recommendations-could-be-directed-scientific-council-cop14-and-future-cops" TargetMode="External"/><Relationship Id="rId30" Type="http://schemas.openxmlformats.org/officeDocument/2006/relationships/hyperlink" Target="https://www.cms.int/en/document/recreational-water-interactions" TargetMode="External"/><Relationship Id="rId35" Type="http://schemas.openxmlformats.org/officeDocument/2006/relationships/hyperlink" Target="https://www.cms.int/en/document/compilation-recommendations-could-be-directed-scientific-council-cop14-and-future-cops" TargetMode="External"/><Relationship Id="rId43" Type="http://schemas.openxmlformats.org/officeDocument/2006/relationships/header" Target="header5.xml"/><Relationship Id="rId48" Type="http://schemas.openxmlformats.org/officeDocument/2006/relationships/footer" Target="footer6.xml"/><Relationship Id="rId56" Type="http://schemas.openxmlformats.org/officeDocument/2006/relationships/header" Target="header12.xml"/><Relationship Id="rId8" Type="http://schemas.openxmlformats.org/officeDocument/2006/relationships/styles" Target="style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cms.int/en/document/recreational-water-interactions" TargetMode="External"/><Relationship Id="rId25" Type="http://schemas.openxmlformats.org/officeDocument/2006/relationships/hyperlink" Target="https://www.cms.int/en/document/review-support-development-second-cms-cetacean-programme-work-2024-2035" TargetMode="External"/><Relationship Id="rId33" Type="http://schemas.openxmlformats.org/officeDocument/2006/relationships/hyperlink" Target="https://www.cms.int/en/document/review-support-development-second-cms-cetacean-programme-work-2024-2035" TargetMode="External"/><Relationship Id="rId38" Type="http://schemas.openxmlformats.org/officeDocument/2006/relationships/footer" Target="footer1.xml"/><Relationship Id="rId46" Type="http://schemas.openxmlformats.org/officeDocument/2006/relationships/footer" Target="footer5.xml"/><Relationship Id="rId59" Type="http://schemas.openxmlformats.org/officeDocument/2006/relationships/header" Target="header13.xml"/><Relationship Id="rId20" Type="http://schemas.openxmlformats.org/officeDocument/2006/relationships/hyperlink" Target="https://www.cms.int/en/document/sirenians-pinnipeds-and-otters" TargetMode="External"/><Relationship Id="rId41" Type="http://schemas.openxmlformats.org/officeDocument/2006/relationships/footer" Target="footer3.xml"/><Relationship Id="rId54" Type="http://schemas.openxmlformats.org/officeDocument/2006/relationships/footer" Target="foot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cms.int/en/document/marine-noise-3" TargetMode="External"/><Relationship Id="rId23" Type="http://schemas.openxmlformats.org/officeDocument/2006/relationships/hyperlink" Target="https://archive.iwc.int/pages/view.php?search=&amp;k=bf6b849977&amp;modal=&amp;display=list&amp;order_by=resourceid&amp;offset=8336&amp;per_page=240&amp;archive=0&amp;sort=ASC&amp;restypes=&amp;recentdaylimit=&amp;foredit=&amp;noreload=true&amp;access=&amp;ref=19617" TargetMode="External"/><Relationship Id="rId28" Type="http://schemas.openxmlformats.org/officeDocument/2006/relationships/hyperlink" Target="https://www.cms.int/en/document/marine-noise-3" TargetMode="External"/><Relationship Id="rId36" Type="http://schemas.openxmlformats.org/officeDocument/2006/relationships/header" Target="header2.xml"/><Relationship Id="rId49" Type="http://schemas.openxmlformats.org/officeDocument/2006/relationships/header" Target="header8.xml"/><Relationship Id="rId57" Type="http://schemas.openxmlformats.org/officeDocument/2006/relationships/footer" Target="footer10.xml"/><Relationship Id="rId10" Type="http://schemas.openxmlformats.org/officeDocument/2006/relationships/webSettings" Target="webSettings.xml"/><Relationship Id="rId31" Type="http://schemas.openxmlformats.org/officeDocument/2006/relationships/hyperlink" Target="https://www.cms.int/en/document/deep-sea-mining" TargetMode="External"/><Relationship Id="rId44" Type="http://schemas.openxmlformats.org/officeDocument/2006/relationships/header" Target="header6.xml"/><Relationship Id="rId52" Type="http://schemas.openxmlformats.org/officeDocument/2006/relationships/footer" Target="footer8.xml"/><Relationship Id="rId60"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archive.iwc.int/pages/view.php?ref=19252&amp;k=" TargetMode="External"/><Relationship Id="rId1" Type="http://schemas.openxmlformats.org/officeDocument/2006/relationships/hyperlink" Target="https://archive.iwc.int/pages/view.php?ref=19252&amp;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Heidrun Frisch-Nwakanma</DisplayName>
        <AccountId>28</AccountId>
        <AccountType/>
      </UserInfo>
      <UserInfo>
        <DisplayName>Melanie Virtue</DisplayName>
        <AccountId>24</AccountId>
        <AccountType/>
      </UserInfo>
      <UserInfo>
        <DisplayName>Aydin Bahramlouian</DisplayName>
        <AccountId>29</AccountId>
        <AccountType/>
      </UserInfo>
    </SharedWithUsers>
    <MediaLengthInSeconds xmlns="a7b50396-0b06-45c1-b28e-46f86d566a10" xsi:nil="true"/>
    <MariaJoseOrtiz xmlns="a7b50396-0b06-45c1-b28e-46f86d566a10" xsi:nil="true"/>
    <Notes xmlns="a7b50396-0b06-45c1-b28e-46f86d566a1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8C14E-B155-457B-A721-3243FD2348E0}">
  <ds:schemaRefs>
    <ds:schemaRef ds:uri="http://schemas.microsoft.com/sharepoint/v3/contenttype/forms"/>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13941981-3F5F-4A67-9BA0-3E41E6410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68C51-6D13-42C1-955A-4357D1D2C5C8}">
  <ds:schemaRefs>
    <ds:schemaRef ds:uri="http://schemas.microsoft.com/sharepoint/v3/contenttype/forms"/>
  </ds:schemaRefs>
</ds:datastoreItem>
</file>

<file path=customXml/itemProps5.xml><?xml version="1.0" encoding="utf-8"?>
<ds:datastoreItem xmlns:ds="http://schemas.openxmlformats.org/officeDocument/2006/customXml" ds:itemID="{F4D6B2E0-A983-4E00-92A5-9590D8E32781}">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c15478a5-0be8-4f5d-8383-b307d5ba8bf6"/>
    <ds:schemaRef ds:uri="985ec44e-1bab-4c0b-9df0-6ba128686fc9"/>
    <ds:schemaRef ds:uri="a7b50396-0b06-45c1-b28e-46f86d566a10"/>
    <ds:schemaRef ds:uri="http://purl.org/dc/term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7BA36AB3-A43E-4EEC-8373-FB4775BC0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6401</Words>
  <Characters>36488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42804</CharactersWithSpaces>
  <SharedDoc>false</SharedDoc>
  <HLinks>
    <vt:vector size="156" baseType="variant">
      <vt:variant>
        <vt:i4>2555952</vt:i4>
      </vt:variant>
      <vt:variant>
        <vt:i4>63</vt:i4>
      </vt:variant>
      <vt:variant>
        <vt:i4>0</vt:i4>
      </vt:variant>
      <vt:variant>
        <vt:i4>5</vt:i4>
      </vt:variant>
      <vt:variant>
        <vt:lpwstr>https://www.cms.int/en/document/review-support-development-second-cms-cetacean-programme-work-2024-2035</vt:lpwstr>
      </vt:variant>
      <vt:variant>
        <vt:lpwstr/>
      </vt:variant>
      <vt:variant>
        <vt:i4>6488163</vt:i4>
      </vt:variant>
      <vt:variant>
        <vt:i4>60</vt:i4>
      </vt:variant>
      <vt:variant>
        <vt:i4>0</vt:i4>
      </vt:variant>
      <vt:variant>
        <vt:i4>5</vt:i4>
      </vt:variant>
      <vt:variant>
        <vt:lpwstr>https://www.cms.int/en/document/compilation-recommendations-could-be-directed-scientific-council-cop14-and-future-cops</vt:lpwstr>
      </vt:variant>
      <vt:variant>
        <vt:lpwstr/>
      </vt:variant>
      <vt:variant>
        <vt:i4>2555952</vt:i4>
      </vt:variant>
      <vt:variant>
        <vt:i4>57</vt:i4>
      </vt:variant>
      <vt:variant>
        <vt:i4>0</vt:i4>
      </vt:variant>
      <vt:variant>
        <vt:i4>5</vt:i4>
      </vt:variant>
      <vt:variant>
        <vt:lpwstr>https://www.cms.int/en/document/review-support-development-second-cms-cetacean-programme-work-2024-2035</vt:lpwstr>
      </vt:variant>
      <vt:variant>
        <vt:lpwstr/>
      </vt:variant>
      <vt:variant>
        <vt:i4>2555952</vt:i4>
      </vt:variant>
      <vt:variant>
        <vt:i4>54</vt:i4>
      </vt:variant>
      <vt:variant>
        <vt:i4>0</vt:i4>
      </vt:variant>
      <vt:variant>
        <vt:i4>5</vt:i4>
      </vt:variant>
      <vt:variant>
        <vt:lpwstr>https://www.cms.int/en/document/review-support-development-second-cms-cetacean-programme-work-2024-2035</vt:lpwstr>
      </vt:variant>
      <vt:variant>
        <vt:lpwstr/>
      </vt:variant>
      <vt:variant>
        <vt:i4>2555952</vt:i4>
      </vt:variant>
      <vt:variant>
        <vt:i4>51</vt:i4>
      </vt:variant>
      <vt:variant>
        <vt:i4>0</vt:i4>
      </vt:variant>
      <vt:variant>
        <vt:i4>5</vt:i4>
      </vt:variant>
      <vt:variant>
        <vt:lpwstr>https://www.cms.int/en/document/review-support-development-second-cms-cetacean-programme-work-2024-2035</vt:lpwstr>
      </vt:variant>
      <vt:variant>
        <vt:lpwstr/>
      </vt:variant>
      <vt:variant>
        <vt:i4>6619240</vt:i4>
      </vt:variant>
      <vt:variant>
        <vt:i4>48</vt:i4>
      </vt:variant>
      <vt:variant>
        <vt:i4>0</vt:i4>
      </vt:variant>
      <vt:variant>
        <vt:i4>5</vt:i4>
      </vt:variant>
      <vt:variant>
        <vt:lpwstr>https://www.cms.int/en/document/deep-sea-mining</vt:lpwstr>
      </vt:variant>
      <vt:variant>
        <vt:lpwstr/>
      </vt:variant>
      <vt:variant>
        <vt:i4>6815863</vt:i4>
      </vt:variant>
      <vt:variant>
        <vt:i4>45</vt:i4>
      </vt:variant>
      <vt:variant>
        <vt:i4>0</vt:i4>
      </vt:variant>
      <vt:variant>
        <vt:i4>5</vt:i4>
      </vt:variant>
      <vt:variant>
        <vt:lpwstr>https://www.cms.int/en/document/recreational-water-interactions</vt:lpwstr>
      </vt:variant>
      <vt:variant>
        <vt:lpwstr/>
      </vt:variant>
      <vt:variant>
        <vt:i4>7077945</vt:i4>
      </vt:variant>
      <vt:variant>
        <vt:i4>42</vt:i4>
      </vt:variant>
      <vt:variant>
        <vt:i4>0</vt:i4>
      </vt:variant>
      <vt:variant>
        <vt:i4>5</vt:i4>
      </vt:variant>
      <vt:variant>
        <vt:lpwstr>https://www.cms.int/en/document/vessel-strikes</vt:lpwstr>
      </vt:variant>
      <vt:variant>
        <vt:lpwstr/>
      </vt:variant>
      <vt:variant>
        <vt:i4>3342433</vt:i4>
      </vt:variant>
      <vt:variant>
        <vt:i4>39</vt:i4>
      </vt:variant>
      <vt:variant>
        <vt:i4>0</vt:i4>
      </vt:variant>
      <vt:variant>
        <vt:i4>5</vt:i4>
      </vt:variant>
      <vt:variant>
        <vt:lpwstr>https://www.cms.int/en/document/marine-noise-3</vt:lpwstr>
      </vt:variant>
      <vt:variant>
        <vt:lpwstr/>
      </vt:variant>
      <vt:variant>
        <vt:i4>6488163</vt:i4>
      </vt:variant>
      <vt:variant>
        <vt:i4>36</vt:i4>
      </vt:variant>
      <vt:variant>
        <vt:i4>0</vt:i4>
      </vt:variant>
      <vt:variant>
        <vt:i4>5</vt:i4>
      </vt:variant>
      <vt:variant>
        <vt:lpwstr>https://www.cms.int/en/document/compilation-recommendations-could-be-directed-scientific-council-cop14-and-future-cops</vt:lpwstr>
      </vt:variant>
      <vt:variant>
        <vt:lpwstr/>
      </vt:variant>
      <vt:variant>
        <vt:i4>2555952</vt:i4>
      </vt:variant>
      <vt:variant>
        <vt:i4>33</vt:i4>
      </vt:variant>
      <vt:variant>
        <vt:i4>0</vt:i4>
      </vt:variant>
      <vt:variant>
        <vt:i4>5</vt:i4>
      </vt:variant>
      <vt:variant>
        <vt:lpwstr>https://www.cms.int/en/document/review-support-development-second-cms-cetacean-programme-work-2024-2035</vt:lpwstr>
      </vt:variant>
      <vt:variant>
        <vt:lpwstr/>
      </vt:variant>
      <vt:variant>
        <vt:i4>2555952</vt:i4>
      </vt:variant>
      <vt:variant>
        <vt:i4>30</vt:i4>
      </vt:variant>
      <vt:variant>
        <vt:i4>0</vt:i4>
      </vt:variant>
      <vt:variant>
        <vt:i4>5</vt:i4>
      </vt:variant>
      <vt:variant>
        <vt:lpwstr>https://www.cms.int/en/document/review-support-development-second-cms-cetacean-programme-work-2024-2035</vt:lpwstr>
      </vt:variant>
      <vt:variant>
        <vt:lpwstr/>
      </vt:variant>
      <vt:variant>
        <vt:i4>2555952</vt:i4>
      </vt:variant>
      <vt:variant>
        <vt:i4>27</vt:i4>
      </vt:variant>
      <vt:variant>
        <vt:i4>0</vt:i4>
      </vt:variant>
      <vt:variant>
        <vt:i4>5</vt:i4>
      </vt:variant>
      <vt:variant>
        <vt:lpwstr>https://www.cms.int/en/document/review-support-development-second-cms-cetacean-programme-work-2024-2035</vt:lpwstr>
      </vt:variant>
      <vt:variant>
        <vt:lpwstr/>
      </vt:variant>
      <vt:variant>
        <vt:i4>2359345</vt:i4>
      </vt:variant>
      <vt:variant>
        <vt:i4>24</vt:i4>
      </vt:variant>
      <vt:variant>
        <vt:i4>0</vt:i4>
      </vt:variant>
      <vt:variant>
        <vt:i4>5</vt:i4>
      </vt:variant>
      <vt:variant>
        <vt:lpwstr>https://archive.iwc.int/pages/view.php?search=&amp;k=bf6b849977&amp;modal=&amp;display=list&amp;order_by=resourceid&amp;offset=8336&amp;per_page=240&amp;archive=0&amp;sort=ASC&amp;restypes=&amp;recentdaylimit=&amp;foredit=&amp;noreload=true&amp;access=&amp;ref=19617</vt:lpwstr>
      </vt:variant>
      <vt:variant>
        <vt:lpwstr/>
      </vt:variant>
      <vt:variant>
        <vt:i4>3145765</vt:i4>
      </vt:variant>
      <vt:variant>
        <vt:i4>21</vt:i4>
      </vt:variant>
      <vt:variant>
        <vt:i4>0</vt:i4>
      </vt:variant>
      <vt:variant>
        <vt:i4>5</vt:i4>
      </vt:variant>
      <vt:variant>
        <vt:lpwstr>https://archive.iwc.int/pages/view.php?ref=19252&amp;k=</vt:lpwstr>
      </vt:variant>
      <vt:variant>
        <vt:lpwstr/>
      </vt:variant>
      <vt:variant>
        <vt:i4>524362</vt:i4>
      </vt:variant>
      <vt:variant>
        <vt:i4>18</vt:i4>
      </vt:variant>
      <vt:variant>
        <vt:i4>0</vt:i4>
      </vt:variant>
      <vt:variant>
        <vt:i4>5</vt:i4>
      </vt:variant>
      <vt:variant>
        <vt:lpwstr>https://www.cms.int/en/document/important-marine-mammal-areas</vt:lpwstr>
      </vt:variant>
      <vt:variant>
        <vt:lpwstr/>
      </vt:variant>
      <vt:variant>
        <vt:i4>3539068</vt:i4>
      </vt:variant>
      <vt:variant>
        <vt:i4>15</vt:i4>
      </vt:variant>
      <vt:variant>
        <vt:i4>0</vt:i4>
      </vt:variant>
      <vt:variant>
        <vt:i4>5</vt:i4>
      </vt:variant>
      <vt:variant>
        <vt:lpwstr>https://www.cms.int/en/document/sirenians-pinnipeds-and-otters</vt:lpwstr>
      </vt:variant>
      <vt:variant>
        <vt:lpwstr/>
      </vt:variant>
      <vt:variant>
        <vt:i4>31</vt:i4>
      </vt:variant>
      <vt:variant>
        <vt:i4>12</vt:i4>
      </vt:variant>
      <vt:variant>
        <vt:i4>0</vt:i4>
      </vt:variant>
      <vt:variant>
        <vt:i4>5</vt:i4>
      </vt:variant>
      <vt:variant>
        <vt:lpwstr>https://www.cms.int/en/document/live-capture-cetaceans-wild-commercial-purposes-0</vt:lpwstr>
      </vt:variant>
      <vt:variant>
        <vt:lpwstr/>
      </vt:variant>
      <vt:variant>
        <vt:i4>7798824</vt:i4>
      </vt:variant>
      <vt:variant>
        <vt:i4>9</vt:i4>
      </vt:variant>
      <vt:variant>
        <vt:i4>0</vt:i4>
      </vt:variant>
      <vt:variant>
        <vt:i4>5</vt:i4>
      </vt:variant>
      <vt:variant>
        <vt:lpwstr>https://www.cms.int/en/document/aquatic-wild-meat-5</vt:lpwstr>
      </vt:variant>
      <vt:variant>
        <vt:lpwstr/>
      </vt:variant>
      <vt:variant>
        <vt:i4>6815863</vt:i4>
      </vt:variant>
      <vt:variant>
        <vt:i4>6</vt:i4>
      </vt:variant>
      <vt:variant>
        <vt:i4>0</vt:i4>
      </vt:variant>
      <vt:variant>
        <vt:i4>5</vt:i4>
      </vt:variant>
      <vt:variant>
        <vt:lpwstr>https://www.cms.int/en/document/recreational-water-interactions</vt:lpwstr>
      </vt:variant>
      <vt:variant>
        <vt:lpwstr/>
      </vt:variant>
      <vt:variant>
        <vt:i4>4980761</vt:i4>
      </vt:variant>
      <vt:variant>
        <vt:i4>3</vt:i4>
      </vt:variant>
      <vt:variant>
        <vt:i4>0</vt:i4>
      </vt:variant>
      <vt:variant>
        <vt:i4>5</vt:i4>
      </vt:variant>
      <vt:variant>
        <vt:lpwstr>https://www.cms.int/en/document/conservation-implications-animal-culture</vt:lpwstr>
      </vt:variant>
      <vt:variant>
        <vt:lpwstr/>
      </vt:variant>
      <vt:variant>
        <vt:i4>3342433</vt:i4>
      </vt:variant>
      <vt:variant>
        <vt:i4>0</vt:i4>
      </vt:variant>
      <vt:variant>
        <vt:i4>0</vt:i4>
      </vt:variant>
      <vt:variant>
        <vt:i4>5</vt:i4>
      </vt:variant>
      <vt:variant>
        <vt:lpwstr>https://www.cms.int/en/document/marine-noise-3</vt:lpwstr>
      </vt:variant>
      <vt:variant>
        <vt:lpwstr/>
      </vt:variant>
      <vt:variant>
        <vt:i4>3145765</vt:i4>
      </vt:variant>
      <vt:variant>
        <vt:i4>3</vt:i4>
      </vt:variant>
      <vt:variant>
        <vt:i4>0</vt:i4>
      </vt:variant>
      <vt:variant>
        <vt:i4>5</vt:i4>
      </vt:variant>
      <vt:variant>
        <vt:lpwstr>https://archive.iwc.int/pages/view.php?ref=19252&amp;k=</vt:lpwstr>
      </vt:variant>
      <vt:variant>
        <vt:lpwstr/>
      </vt:variant>
      <vt:variant>
        <vt:i4>3145765</vt:i4>
      </vt:variant>
      <vt:variant>
        <vt:i4>0</vt:i4>
      </vt:variant>
      <vt:variant>
        <vt:i4>0</vt:i4>
      </vt:variant>
      <vt:variant>
        <vt:i4>5</vt:i4>
      </vt:variant>
      <vt:variant>
        <vt:lpwstr>https://archive.iwc.int/pages/view.php?ref=19252&amp;k=</vt:lpwstr>
      </vt:variant>
      <vt:variant>
        <vt:lpwstr/>
      </vt:variant>
      <vt:variant>
        <vt:i4>4784170</vt:i4>
      </vt:variant>
      <vt:variant>
        <vt:i4>3</vt:i4>
      </vt:variant>
      <vt:variant>
        <vt:i4>0</vt:i4>
      </vt:variant>
      <vt:variant>
        <vt:i4>5</vt:i4>
      </vt:variant>
      <vt:variant>
        <vt:lpwstr>mailto:jenny.renell@un.org</vt:lpwstr>
      </vt:variant>
      <vt:variant>
        <vt:lpwstr/>
      </vt:variant>
      <vt:variant>
        <vt:i4>4128856</vt:i4>
      </vt:variant>
      <vt:variant>
        <vt:i4>0</vt:i4>
      </vt:variant>
      <vt:variant>
        <vt:i4>0</vt:i4>
      </vt:variant>
      <vt:variant>
        <vt:i4>5</vt:i4>
      </vt:variant>
      <vt:variant>
        <vt:lpwstr>mailto:melanie.virtue@un.org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2019-09-20T05:54:00Z</cp:lastPrinted>
  <dcterms:created xsi:type="dcterms:W3CDTF">2023-10-13T07:04:00Z</dcterms:created>
  <dcterms:modified xsi:type="dcterms:W3CDTF">2023-10-13T07:04:00Z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GrammarlyDocumentId">
    <vt:lpwstr>05bc49294cfdd6bcb19e861dd6bbfaf8b0152488cac6a0cfe63811c813a85bae</vt:lpwstr>
  </property>
  <property fmtid="{D5CDD505-2E9C-101B-9397-08002B2CF9AE}" pid="4" name="MediaServiceImageTags">
    <vt:lpwstr/>
  </property>
  <property fmtid="{D5CDD505-2E9C-101B-9397-08002B2CF9AE}" pid="5" name="TaxKeyword">
    <vt:lpwstr/>
  </property>
  <property fmtid="{D5CDD505-2E9C-101B-9397-08002B2CF9AE}" pid="6" name="Order">
    <vt:r8>86900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RecordPoint_WorkflowType">
    <vt:lpwstr>ActiveSubmitStub</vt:lpwstr>
  </property>
  <property fmtid="{D5CDD505-2E9C-101B-9397-08002B2CF9AE}" pid="14" name="RecordPoint_ActiveItemListId">
    <vt:lpwstr>{8f8e95cd-75f6-408e-927c-77860946c209}</vt:lpwstr>
  </property>
  <property fmtid="{D5CDD505-2E9C-101B-9397-08002B2CF9AE}" pid="15" name="RecordPoint_ActiveItemUniqueId">
    <vt:lpwstr>{e6de5556-cf1c-49cc-ba8f-30f2d4a8eaa6}</vt:lpwstr>
  </property>
  <property fmtid="{D5CDD505-2E9C-101B-9397-08002B2CF9AE}" pid="16" name="RecordPoint_ActiveItemWebId">
    <vt:lpwstr>{344c6e69-c594-4ca4-b341-09ae9dfc1422}</vt:lpwstr>
  </property>
  <property fmtid="{D5CDD505-2E9C-101B-9397-08002B2CF9AE}" pid="17" name="RecordPoint_ActiveItemSiteId">
    <vt:lpwstr>{8003c3b3-d20c-4e9a-bee9-0e2243d810ee}</vt:lpwstr>
  </property>
  <property fmtid="{D5CDD505-2E9C-101B-9397-08002B2CF9AE}" pid="18" name="lae2bfa7b6474897ab4a53f76ea236c7">
    <vt:lpwstr/>
  </property>
  <property fmtid="{D5CDD505-2E9C-101B-9397-08002B2CF9AE}" pid="19" name="InformationType">
    <vt:lpwstr/>
  </property>
  <property fmtid="{D5CDD505-2E9C-101B-9397-08002B2CF9AE}" pid="20" name="fe59e9859d6a491389c5b03567f5dda5">
    <vt:lpwstr/>
  </property>
  <property fmtid="{D5CDD505-2E9C-101B-9397-08002B2CF9AE}" pid="21" name="k85d23755b3a46b5a51451cf336b2e9b">
    <vt:lpwstr/>
  </property>
  <property fmtid="{D5CDD505-2E9C-101B-9397-08002B2CF9AE}" pid="22" name="Distribution">
    <vt:lpwstr/>
  </property>
  <property fmtid="{D5CDD505-2E9C-101B-9397-08002B2CF9AE}" pid="23" name="cf401361b24e474cb011be6eb76c0e76">
    <vt:lpwstr/>
  </property>
  <property fmtid="{D5CDD505-2E9C-101B-9397-08002B2CF9AE}" pid="24" name="SecurityClassification">
    <vt:lpwstr/>
  </property>
  <property fmtid="{D5CDD505-2E9C-101B-9397-08002B2CF9AE}" pid="25" name="HOCopyrightLevel">
    <vt:lpwstr/>
  </property>
  <property fmtid="{D5CDD505-2E9C-101B-9397-08002B2CF9AE}" pid="26" name="HOGovernmentSecurityClassification">
    <vt:lpwstr/>
  </property>
  <property fmtid="{D5CDD505-2E9C-101B-9397-08002B2CF9AE}" pid="27" name="OrganisationalUnit">
    <vt:lpwstr/>
  </property>
  <property fmtid="{D5CDD505-2E9C-101B-9397-08002B2CF9AE}" pid="28" name="n7493b4506bf40e28c373b1e51a33445">
    <vt:lpwstr/>
  </property>
  <property fmtid="{D5CDD505-2E9C-101B-9397-08002B2CF9AE}" pid="29" name="Directorate">
    <vt:lpwstr/>
  </property>
  <property fmtid="{D5CDD505-2E9C-101B-9397-08002B2CF9AE}" pid="30" name="HOSiteType">
    <vt:lpwstr/>
  </property>
  <property fmtid="{D5CDD505-2E9C-101B-9397-08002B2CF9AE}" pid="31" name="ddeb1fd0a9ad4436a96525d34737dc44">
    <vt:lpwstr/>
  </property>
</Properties>
</file>