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2E0DE9" w14:paraId="17BE037A" w14:textId="7777777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CD4F5E6" w14:textId="77777777" w:rsidR="002E0DE9" w:rsidRPr="002E0DE9" w:rsidRDefault="002E0DE9" w:rsidP="0099516E">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rPr>
              <w:drawing>
                <wp:inline distT="0" distB="0" distL="0" distR="0" wp14:anchorId="580EDBD3" wp14:editId="4D14034B">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40EA72EA" w14:textId="77777777" w:rsidR="002E0DE9" w:rsidRPr="002E0DE9" w:rsidRDefault="002E0DE9" w:rsidP="0099516E">
            <w:pPr>
              <w:keepNext/>
              <w:widowControl w:val="0"/>
              <w:suppressAutoHyphens/>
              <w:autoSpaceDE w:val="0"/>
              <w:autoSpaceDN w:val="0"/>
              <w:spacing w:after="0" w:line="240" w:lineRule="auto"/>
              <w:textAlignment w:val="baseline"/>
              <w:outlineLvl w:val="1"/>
              <w:rPr>
                <w:rFonts w:eastAsia="Times New Roman" w:cs="Arial"/>
                <w:sz w:val="12"/>
                <w:szCs w:val="12"/>
              </w:rPr>
            </w:pPr>
          </w:p>
          <w:p w14:paraId="7D47464F" w14:textId="77777777" w:rsidR="002E0DE9" w:rsidRPr="002E0DE9" w:rsidRDefault="002E0DE9" w:rsidP="0099516E">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CONVENTION ON</w:t>
            </w:r>
          </w:p>
          <w:p w14:paraId="32613398" w14:textId="77777777" w:rsidR="002E0DE9" w:rsidRPr="002E0DE9" w:rsidRDefault="002E0DE9" w:rsidP="0099516E">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MIGRATORY</w:t>
            </w:r>
          </w:p>
          <w:p w14:paraId="56052177" w14:textId="77777777" w:rsidR="002E0DE9" w:rsidRPr="002E0DE9" w:rsidRDefault="002E0DE9" w:rsidP="0099516E">
            <w:pPr>
              <w:keepNext/>
              <w:widowControl w:val="0"/>
              <w:suppressAutoHyphens/>
              <w:autoSpaceDE w:val="0"/>
              <w:autoSpaceDN w:val="0"/>
              <w:spacing w:after="0" w:line="240" w:lineRule="auto"/>
              <w:ind w:left="-108"/>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1DE1A481" w14:textId="1074B4F7" w:rsidR="00A34291" w:rsidRPr="00CC71C9" w:rsidRDefault="002E0DE9" w:rsidP="00231B3D">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rPr>
            </w:pPr>
            <w:r w:rsidRPr="00CC71C9">
              <w:rPr>
                <w:rFonts w:eastAsia="Times New Roman" w:cs="Arial"/>
              </w:rPr>
              <w:t>UNEP/CMS/COP1</w:t>
            </w:r>
            <w:r w:rsidR="00FE00E5" w:rsidRPr="00CC71C9">
              <w:rPr>
                <w:rFonts w:eastAsia="Times New Roman" w:cs="Arial"/>
              </w:rPr>
              <w:t>4</w:t>
            </w:r>
            <w:r w:rsidRPr="00CC71C9">
              <w:rPr>
                <w:rFonts w:eastAsia="Times New Roman" w:cs="Arial"/>
              </w:rPr>
              <w:t>/Doc.</w:t>
            </w:r>
            <w:r w:rsidR="00FF00E1">
              <w:rPr>
                <w:rFonts w:eastAsia="Times New Roman" w:cs="Arial"/>
              </w:rPr>
              <w:t>27.6.1</w:t>
            </w:r>
            <w:r w:rsidR="00B46EFD">
              <w:rPr>
                <w:rFonts w:eastAsia="Times New Roman" w:cs="Arial"/>
              </w:rPr>
              <w:t>/Rev.1</w:t>
            </w:r>
          </w:p>
          <w:p w14:paraId="7470AD45" w14:textId="2AFD02D7" w:rsidR="002E0DE9" w:rsidRPr="00CC71C9" w:rsidRDefault="00B46EFD" w:rsidP="00231B3D">
            <w:pPr>
              <w:tabs>
                <w:tab w:val="left" w:pos="5040"/>
                <w:tab w:val="left" w:pos="5760"/>
                <w:tab w:val="left" w:pos="6008"/>
                <w:tab w:val="left" w:pos="6480"/>
                <w:tab w:val="left" w:pos="7200"/>
                <w:tab w:val="left" w:pos="7920"/>
                <w:tab w:val="left" w:pos="8640"/>
              </w:tabs>
              <w:spacing w:after="120" w:line="240" w:lineRule="auto"/>
              <w:rPr>
                <w:rFonts w:cs="Arial"/>
                <w:i/>
              </w:rPr>
            </w:pPr>
            <w:r>
              <w:rPr>
                <w:rFonts w:eastAsia="Times New Roman" w:cs="Arial"/>
              </w:rPr>
              <w:t>28 September 2023</w:t>
            </w:r>
          </w:p>
          <w:p w14:paraId="21B42A0D" w14:textId="77777777" w:rsidR="002E0DE9" w:rsidRPr="00CC71C9" w:rsidRDefault="002E0DE9" w:rsidP="0099516E">
            <w:pPr>
              <w:widowControl w:val="0"/>
              <w:suppressAutoHyphens/>
              <w:autoSpaceDE w:val="0"/>
              <w:autoSpaceDN w:val="0"/>
              <w:spacing w:after="0" w:line="240" w:lineRule="auto"/>
              <w:textAlignment w:val="baseline"/>
              <w:rPr>
                <w:rFonts w:eastAsia="Times New Roman" w:cs="Arial"/>
              </w:rPr>
            </w:pPr>
            <w:r w:rsidRPr="00CC71C9">
              <w:rPr>
                <w:rFonts w:eastAsia="Times New Roman" w:cs="Arial"/>
              </w:rPr>
              <w:t>Original: English</w:t>
            </w:r>
          </w:p>
        </w:tc>
      </w:tr>
    </w:tbl>
    <w:p w14:paraId="6F980F1F" w14:textId="77777777" w:rsidR="002E0DE9" w:rsidRPr="002E0DE9" w:rsidRDefault="002E0DE9" w:rsidP="0099516E">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rPr>
      </w:pPr>
    </w:p>
    <w:p w14:paraId="3789141E" w14:textId="0BB3A031" w:rsidR="002E0DE9" w:rsidRPr="002E0DE9" w:rsidRDefault="002E0DE9" w:rsidP="0099516E">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rPr>
        <w:t>1</w:t>
      </w:r>
      <w:r w:rsidR="00FE00E5">
        <w:rPr>
          <w:rFonts w:eastAsia="Times New Roman" w:cs="Arial"/>
        </w:rPr>
        <w:t>4</w:t>
      </w:r>
      <w:r w:rsidRPr="002E0DE9">
        <w:rPr>
          <w:rFonts w:eastAsia="Times New Roman" w:cs="Arial"/>
          <w:vertAlign w:val="superscript"/>
        </w:rPr>
        <w:t>th</w:t>
      </w:r>
      <w:r w:rsidRPr="002E0DE9">
        <w:rPr>
          <w:rFonts w:eastAsia="Times New Roman" w:cs="Arial"/>
        </w:rPr>
        <w:t xml:space="preserve"> MEETING OF THE CONFERENCE OF THE PARTIES</w:t>
      </w:r>
    </w:p>
    <w:p w14:paraId="20D5A67B" w14:textId="6053FAF8" w:rsidR="002E0DE9" w:rsidRPr="002E0DE9" w:rsidRDefault="005A2951" w:rsidP="0099516E">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5A2951">
        <w:rPr>
          <w:rFonts w:eastAsia="Times New Roman" w:cs="Arial"/>
          <w:bCs/>
        </w:rPr>
        <w:t>Samarkand</w:t>
      </w:r>
      <w:r w:rsidR="002E0DE9" w:rsidRPr="005A2951">
        <w:rPr>
          <w:rFonts w:eastAsia="Times New Roman" w:cs="Arial"/>
          <w:bCs/>
        </w:rPr>
        <w:t xml:space="preserve">, </w:t>
      </w:r>
      <w:r w:rsidR="00FE00E5" w:rsidRPr="005A2951">
        <w:rPr>
          <w:rFonts w:eastAsia="Times New Roman" w:cs="Arial"/>
          <w:bCs/>
        </w:rPr>
        <w:t>Uzbekistan</w:t>
      </w:r>
      <w:r w:rsidR="002E0DE9" w:rsidRPr="005A2951">
        <w:rPr>
          <w:rFonts w:eastAsia="Times New Roman" w:cs="Arial"/>
          <w:bCs/>
          <w:lang w:val="en-US"/>
        </w:rPr>
        <w:t xml:space="preserve">, </w:t>
      </w:r>
      <w:r w:rsidR="00B46EFD">
        <w:rPr>
          <w:rFonts w:eastAsia="Times New Roman" w:cs="Arial"/>
          <w:bCs/>
          <w:lang w:val="en-US"/>
        </w:rPr>
        <w:t>12 – 17 February 2024</w:t>
      </w:r>
    </w:p>
    <w:p w14:paraId="3F607F85" w14:textId="660D512B" w:rsidR="002E0DE9" w:rsidRPr="00CC71C9" w:rsidRDefault="002E0DE9" w:rsidP="0099516E">
      <w:pPr>
        <w:tabs>
          <w:tab w:val="left" w:pos="7020"/>
        </w:tabs>
        <w:spacing w:after="0" w:line="240" w:lineRule="auto"/>
        <w:rPr>
          <w:rFonts w:cs="Arial"/>
        </w:rPr>
      </w:pPr>
      <w:r w:rsidRPr="00CC71C9">
        <w:rPr>
          <w:lang w:val="en-US"/>
        </w:rPr>
        <w:t xml:space="preserve">Agenda Item </w:t>
      </w:r>
      <w:r w:rsidR="00762F9A">
        <w:rPr>
          <w:lang w:val="en-US"/>
        </w:rPr>
        <w:t>27.6</w:t>
      </w:r>
    </w:p>
    <w:p w14:paraId="7408EC0D" w14:textId="77777777" w:rsidR="002E0DE9" w:rsidRPr="002E0DE9" w:rsidRDefault="002E0DE9" w:rsidP="0099516E">
      <w:pPr>
        <w:widowControl w:val="0"/>
        <w:suppressAutoHyphens/>
        <w:autoSpaceDE w:val="0"/>
        <w:autoSpaceDN w:val="0"/>
        <w:spacing w:after="0" w:line="240" w:lineRule="auto"/>
        <w:textAlignment w:val="baseline"/>
        <w:rPr>
          <w:rFonts w:eastAsia="Times New Roman" w:cs="Arial"/>
        </w:rPr>
      </w:pPr>
    </w:p>
    <w:p w14:paraId="1554ADA7" w14:textId="77777777" w:rsidR="002E0DE9" w:rsidRPr="002E0DE9" w:rsidRDefault="002E0DE9" w:rsidP="0099516E">
      <w:pPr>
        <w:widowControl w:val="0"/>
        <w:suppressAutoHyphens/>
        <w:autoSpaceDE w:val="0"/>
        <w:autoSpaceDN w:val="0"/>
        <w:spacing w:after="0" w:line="240" w:lineRule="auto"/>
        <w:textAlignment w:val="baseline"/>
        <w:rPr>
          <w:rFonts w:eastAsia="Times New Roman" w:cs="Arial"/>
        </w:rPr>
      </w:pPr>
    </w:p>
    <w:p w14:paraId="6C96AE1E" w14:textId="7C17D947" w:rsidR="002E0DE9" w:rsidRDefault="000B6178" w:rsidP="741E7FF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5" w:right="-357"/>
        <w:jc w:val="center"/>
        <w:textAlignment w:val="baseline"/>
        <w:outlineLvl w:val="1"/>
        <w:rPr>
          <w:rFonts w:eastAsia="Times New Roman" w:cs="Arial"/>
          <w:b/>
          <w:bCs/>
        </w:rPr>
      </w:pPr>
      <w:r w:rsidRPr="741E7FFD">
        <w:rPr>
          <w:rFonts w:eastAsia="Times New Roman" w:cs="Arial"/>
          <w:b/>
          <w:bCs/>
        </w:rPr>
        <w:t>MARINE TURTLES</w:t>
      </w:r>
    </w:p>
    <w:p w14:paraId="57504EB6" w14:textId="243E823C" w:rsidR="002E0DE9" w:rsidRPr="00F81B4A" w:rsidRDefault="008B0AC3" w:rsidP="0099516E">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rPr>
        <w:t xml:space="preserve">(Prepared by </w:t>
      </w:r>
      <w:r w:rsidR="000B6178">
        <w:rPr>
          <w:rFonts w:eastAsia="Times New Roman" w:cs="Arial"/>
          <w:i/>
        </w:rPr>
        <w:t>the Secretariat</w:t>
      </w:r>
      <w:r>
        <w:rPr>
          <w:rFonts w:eastAsia="Times New Roman" w:cs="Arial"/>
          <w:i/>
        </w:rPr>
        <w:t>)</w:t>
      </w:r>
    </w:p>
    <w:p w14:paraId="7A54E364" w14:textId="77777777" w:rsidR="002E0DE9" w:rsidRPr="002E0DE9" w:rsidRDefault="002E0DE9" w:rsidP="0099516E">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25A47AE0" w14:textId="77777777" w:rsidR="002E0DE9" w:rsidRPr="002E0DE9" w:rsidRDefault="00661875" w:rsidP="0099516E">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sz w:val="21"/>
          <w:szCs w:val="21"/>
        </w:rPr>
        <mc:AlternateContent>
          <mc:Choice Requires="wps">
            <w:drawing>
              <wp:anchor distT="0" distB="0" distL="114300" distR="114300" simplePos="0" relativeHeight="251658240" behindDoc="0" locked="0" layoutInCell="1" allowOverlap="1" wp14:anchorId="13CF45B1" wp14:editId="23B70B52">
                <wp:simplePos x="0" y="0"/>
                <wp:positionH relativeFrom="column">
                  <wp:posOffset>1266825</wp:posOffset>
                </wp:positionH>
                <wp:positionV relativeFrom="paragraph">
                  <wp:posOffset>109855</wp:posOffset>
                </wp:positionV>
                <wp:extent cx="3838575" cy="14668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838575" cy="1466850"/>
                        </a:xfrm>
                        <a:prstGeom prst="rect">
                          <a:avLst/>
                        </a:prstGeom>
                        <a:solidFill>
                          <a:srgbClr val="FFFFFF"/>
                        </a:solidFill>
                        <a:ln w="3172">
                          <a:solidFill>
                            <a:srgbClr val="000000"/>
                          </a:solidFill>
                          <a:prstDash val="solid"/>
                        </a:ln>
                      </wps:spPr>
                      <wps:txbx>
                        <w:txbxContent>
                          <w:p w14:paraId="69DC25A9" w14:textId="77777777" w:rsidR="002E0DE9" w:rsidRDefault="002E0DE9" w:rsidP="002E0DE9">
                            <w:pPr>
                              <w:spacing w:after="0"/>
                              <w:rPr>
                                <w:rFonts w:cs="Arial"/>
                              </w:rPr>
                            </w:pPr>
                            <w:r>
                              <w:rPr>
                                <w:rFonts w:cs="Arial"/>
                              </w:rPr>
                              <w:t>Summary:</w:t>
                            </w:r>
                          </w:p>
                          <w:p w14:paraId="3D9DADAB" w14:textId="77777777" w:rsidR="002E0DE9" w:rsidRPr="008874CB" w:rsidRDefault="002E0DE9" w:rsidP="002E0DE9">
                            <w:pPr>
                              <w:spacing w:after="0"/>
                              <w:rPr>
                                <w:rFonts w:cs="Arial"/>
                              </w:rPr>
                            </w:pPr>
                          </w:p>
                          <w:p w14:paraId="0D4AD284" w14:textId="30CFBC3B" w:rsidR="00661875" w:rsidRDefault="00661875" w:rsidP="009060E0">
                            <w:pPr>
                              <w:spacing w:after="0" w:line="240" w:lineRule="auto"/>
                              <w:jc w:val="both"/>
                              <w:rPr>
                                <w:rFonts w:cs="Arial"/>
                              </w:rPr>
                            </w:pPr>
                            <w:r w:rsidRPr="008874CB">
                              <w:rPr>
                                <w:rFonts w:cs="Arial"/>
                              </w:rPr>
                              <w:t xml:space="preserve">This document reports on progress to implement </w:t>
                            </w:r>
                            <w:r w:rsidR="000D546D" w:rsidRPr="008874CB">
                              <w:rPr>
                                <w:rFonts w:cs="Arial"/>
                              </w:rPr>
                              <w:t>Decisio</w:t>
                            </w:r>
                            <w:r w:rsidR="000D546D">
                              <w:rPr>
                                <w:rFonts w:cs="Arial"/>
                              </w:rPr>
                              <w:t>ns 13.69</w:t>
                            </w:r>
                            <w:r w:rsidR="00B46EFD">
                              <w:rPr>
                                <w:rFonts w:cs="Arial"/>
                              </w:rPr>
                              <w:t xml:space="preserve"> -13.70 and</w:t>
                            </w:r>
                            <w:r w:rsidR="0041645B">
                              <w:rPr>
                                <w:rFonts w:cs="Arial"/>
                                <w:iCs/>
                                <w:color w:val="000000"/>
                              </w:rPr>
                              <w:t xml:space="preserve"> contains draft Decisions for adoption</w:t>
                            </w:r>
                            <w:r w:rsidR="009E6A41">
                              <w:rPr>
                                <w:rFonts w:cs="Arial"/>
                              </w:rPr>
                              <w:t>.</w:t>
                            </w:r>
                          </w:p>
                          <w:p w14:paraId="04CF8A01" w14:textId="77777777" w:rsidR="00B46EFD" w:rsidRDefault="00B46EFD" w:rsidP="009060E0">
                            <w:pPr>
                              <w:spacing w:after="0" w:line="240" w:lineRule="auto"/>
                              <w:jc w:val="both"/>
                              <w:rPr>
                                <w:rFonts w:cs="Arial"/>
                                <w:i/>
                                <w:sz w:val="21"/>
                                <w:szCs w:val="21"/>
                              </w:rPr>
                            </w:pPr>
                          </w:p>
                          <w:p w14:paraId="0CDA8AE0" w14:textId="42001FD9" w:rsidR="00E84635" w:rsidRPr="004C2C44" w:rsidRDefault="004C2C44" w:rsidP="009060E0">
                            <w:pPr>
                              <w:spacing w:after="0" w:line="240" w:lineRule="auto"/>
                              <w:jc w:val="both"/>
                              <w:rPr>
                                <w:rFonts w:cs="Arial"/>
                                <w:iCs/>
                              </w:rPr>
                            </w:pPr>
                            <w:r w:rsidRPr="004C2C44">
                              <w:rPr>
                                <w:rFonts w:cs="Arial"/>
                                <w:iCs/>
                              </w:rPr>
                              <w:t>Rev.</w:t>
                            </w:r>
                            <w:r>
                              <w:rPr>
                                <w:rFonts w:cs="Arial"/>
                                <w:iCs/>
                              </w:rPr>
                              <w:t>1</w:t>
                            </w:r>
                            <w:r w:rsidRPr="004C2C44">
                              <w:rPr>
                                <w:rFonts w:cs="Arial"/>
                                <w:iCs/>
                              </w:rPr>
                              <w:t xml:space="preserve"> makes consistent the language in decisions directed to the Scientific Council.</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99.75pt;margin-top:8.65pt;width:302.2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" strokeweight=".08811mm">
                <v:textbox>
                  <w:txbxContent>
                    <w:p w14:paraId="69DC25A9" w14:textId="77777777" w:rsidR="002E0DE9" w:rsidRDefault="002E0DE9" w:rsidP="002E0DE9">
                      <w:pPr>
                        <w:spacing w:after="0"/>
                        <w:rPr>
                          <w:rFonts w:cs="Arial"/>
                        </w:rPr>
                      </w:pPr>
                      <w:r>
                        <w:rPr>
                          <w:rFonts w:cs="Arial"/>
                        </w:rPr>
                        <w:t>Summary:</w:t>
                      </w:r>
                    </w:p>
                    <w:p w14:paraId="3D9DADAB" w14:textId="77777777" w:rsidR="002E0DE9" w:rsidRPr="008874CB" w:rsidRDefault="002E0DE9" w:rsidP="002E0DE9">
                      <w:pPr>
                        <w:spacing w:after="0"/>
                        <w:rPr>
                          <w:rFonts w:cs="Arial"/>
                        </w:rPr>
                      </w:pPr>
                    </w:p>
                    <w:p w14:paraId="0D4AD284" w14:textId="30CFBC3B" w:rsidR="00661875" w:rsidRDefault="00661875" w:rsidP="009060E0">
                      <w:pPr>
                        <w:spacing w:after="0" w:line="240" w:lineRule="auto"/>
                        <w:jc w:val="both"/>
                        <w:rPr>
                          <w:rFonts w:cs="Arial"/>
                        </w:rPr>
                      </w:pPr>
                      <w:r w:rsidRPr="008874CB">
                        <w:rPr>
                          <w:rFonts w:cs="Arial"/>
                        </w:rPr>
                        <w:t xml:space="preserve">This document reports on progress to implement </w:t>
                      </w:r>
                      <w:r w:rsidR="000D546D" w:rsidRPr="008874CB">
                        <w:rPr>
                          <w:rFonts w:cs="Arial"/>
                        </w:rPr>
                        <w:t>Decisio</w:t>
                      </w:r>
                      <w:r w:rsidR="000D546D">
                        <w:rPr>
                          <w:rFonts w:cs="Arial"/>
                        </w:rPr>
                        <w:t>ns 13.69</w:t>
                      </w:r>
                      <w:r w:rsidR="00B46EFD">
                        <w:rPr>
                          <w:rFonts w:cs="Arial"/>
                        </w:rPr>
                        <w:t xml:space="preserve"> -13.70 and</w:t>
                      </w:r>
                      <w:r w:rsidR="0041645B">
                        <w:rPr>
                          <w:rFonts w:cs="Arial"/>
                          <w:iCs/>
                          <w:color w:val="000000"/>
                        </w:rPr>
                        <w:t xml:space="preserve"> contains draft Decisions for adoption</w:t>
                      </w:r>
                      <w:r w:rsidR="009E6A41">
                        <w:rPr>
                          <w:rFonts w:cs="Arial"/>
                        </w:rPr>
                        <w:t>.</w:t>
                      </w:r>
                    </w:p>
                    <w:p w14:paraId="04CF8A01" w14:textId="77777777" w:rsidR="00B46EFD" w:rsidRDefault="00B46EFD" w:rsidP="009060E0">
                      <w:pPr>
                        <w:spacing w:after="0" w:line="240" w:lineRule="auto"/>
                        <w:jc w:val="both"/>
                        <w:rPr>
                          <w:rFonts w:cs="Arial"/>
                          <w:i/>
                          <w:sz w:val="21"/>
                          <w:szCs w:val="21"/>
                        </w:rPr>
                      </w:pPr>
                    </w:p>
                    <w:p w14:paraId="0CDA8AE0" w14:textId="42001FD9" w:rsidR="00E84635" w:rsidRPr="004C2C44" w:rsidRDefault="004C2C44" w:rsidP="009060E0">
                      <w:pPr>
                        <w:spacing w:after="0" w:line="240" w:lineRule="auto"/>
                        <w:jc w:val="both"/>
                        <w:rPr>
                          <w:rFonts w:cs="Arial"/>
                          <w:iCs/>
                        </w:rPr>
                      </w:pPr>
                      <w:r w:rsidRPr="004C2C44">
                        <w:rPr>
                          <w:rFonts w:cs="Arial"/>
                          <w:iCs/>
                        </w:rPr>
                        <w:t>Rev.</w:t>
                      </w:r>
                      <w:r>
                        <w:rPr>
                          <w:rFonts w:cs="Arial"/>
                          <w:iCs/>
                        </w:rPr>
                        <w:t>1</w:t>
                      </w:r>
                      <w:r w:rsidRPr="004C2C44">
                        <w:rPr>
                          <w:rFonts w:cs="Arial"/>
                          <w:iCs/>
                        </w:rPr>
                        <w:t xml:space="preserve"> makes consistent the language in decisions directed to the Scientific Council.</w:t>
                      </w:r>
                    </w:p>
                  </w:txbxContent>
                </v:textbox>
              </v:shape>
            </w:pict>
          </mc:Fallback>
        </mc:AlternateContent>
      </w:r>
    </w:p>
    <w:p w14:paraId="320AAD7B" w14:textId="77777777" w:rsidR="002E0DE9" w:rsidRPr="002E0DE9" w:rsidRDefault="002E0DE9" w:rsidP="0099516E">
      <w:pPr>
        <w:widowControl w:val="0"/>
        <w:suppressAutoHyphens/>
        <w:autoSpaceDE w:val="0"/>
        <w:autoSpaceDN w:val="0"/>
        <w:spacing w:after="0" w:line="240" w:lineRule="auto"/>
        <w:textAlignment w:val="baseline"/>
        <w:rPr>
          <w:rFonts w:eastAsia="Times New Roman" w:cs="Arial"/>
          <w:sz w:val="21"/>
          <w:szCs w:val="21"/>
        </w:rPr>
      </w:pPr>
    </w:p>
    <w:p w14:paraId="5EAE13CF" w14:textId="77777777" w:rsidR="002E0DE9" w:rsidRPr="002E0DE9" w:rsidRDefault="002E0DE9" w:rsidP="0099516E">
      <w:pPr>
        <w:widowControl w:val="0"/>
        <w:suppressAutoHyphens/>
        <w:autoSpaceDE w:val="0"/>
        <w:autoSpaceDN w:val="0"/>
        <w:spacing w:after="0" w:line="240" w:lineRule="auto"/>
        <w:textAlignment w:val="baseline"/>
        <w:rPr>
          <w:rFonts w:eastAsia="Times New Roman" w:cs="Arial"/>
          <w:sz w:val="21"/>
          <w:szCs w:val="21"/>
        </w:rPr>
      </w:pPr>
    </w:p>
    <w:p w14:paraId="573ADB04" w14:textId="77777777" w:rsidR="002E0DE9" w:rsidRPr="002E0DE9" w:rsidRDefault="002E0DE9" w:rsidP="0099516E">
      <w:pPr>
        <w:widowControl w:val="0"/>
        <w:suppressAutoHyphens/>
        <w:autoSpaceDE w:val="0"/>
        <w:autoSpaceDN w:val="0"/>
        <w:spacing w:after="0" w:line="240" w:lineRule="auto"/>
        <w:textAlignment w:val="baseline"/>
        <w:rPr>
          <w:rFonts w:eastAsia="Times New Roman" w:cs="Arial"/>
          <w:sz w:val="21"/>
          <w:szCs w:val="21"/>
        </w:rPr>
      </w:pPr>
    </w:p>
    <w:p w14:paraId="07F11B19" w14:textId="77777777" w:rsidR="002E0DE9" w:rsidRPr="002E0DE9" w:rsidRDefault="002E0DE9" w:rsidP="0099516E">
      <w:pPr>
        <w:widowControl w:val="0"/>
        <w:suppressAutoHyphens/>
        <w:autoSpaceDE w:val="0"/>
        <w:autoSpaceDN w:val="0"/>
        <w:spacing w:after="0" w:line="240" w:lineRule="auto"/>
        <w:textAlignment w:val="baseline"/>
        <w:rPr>
          <w:rFonts w:eastAsia="Times New Roman" w:cs="Arial"/>
          <w:sz w:val="21"/>
          <w:szCs w:val="21"/>
        </w:rPr>
      </w:pPr>
    </w:p>
    <w:p w14:paraId="47A93E1C" w14:textId="77777777" w:rsidR="002E0DE9" w:rsidRPr="002E0DE9" w:rsidRDefault="002E0DE9" w:rsidP="0099516E">
      <w:pPr>
        <w:widowControl w:val="0"/>
        <w:suppressAutoHyphens/>
        <w:autoSpaceDE w:val="0"/>
        <w:autoSpaceDN w:val="0"/>
        <w:spacing w:after="0" w:line="240" w:lineRule="auto"/>
        <w:textAlignment w:val="baseline"/>
        <w:rPr>
          <w:rFonts w:eastAsia="Times New Roman" w:cs="Arial"/>
          <w:sz w:val="21"/>
          <w:szCs w:val="21"/>
        </w:rPr>
      </w:pPr>
    </w:p>
    <w:p w14:paraId="42C0A292" w14:textId="77777777" w:rsidR="002E0DE9" w:rsidRPr="002E0DE9" w:rsidRDefault="002E0DE9" w:rsidP="0099516E">
      <w:pPr>
        <w:widowControl w:val="0"/>
        <w:suppressAutoHyphens/>
        <w:autoSpaceDE w:val="0"/>
        <w:autoSpaceDN w:val="0"/>
        <w:spacing w:after="0" w:line="240" w:lineRule="auto"/>
        <w:textAlignment w:val="baseline"/>
        <w:rPr>
          <w:rFonts w:eastAsia="Times New Roman" w:cs="Arial"/>
          <w:sz w:val="21"/>
          <w:szCs w:val="21"/>
        </w:rPr>
      </w:pPr>
    </w:p>
    <w:p w14:paraId="7329922E" w14:textId="77777777" w:rsidR="002E0DE9" w:rsidRPr="002E0DE9" w:rsidRDefault="002E0DE9" w:rsidP="0099516E">
      <w:pPr>
        <w:widowControl w:val="0"/>
        <w:suppressAutoHyphens/>
        <w:autoSpaceDE w:val="0"/>
        <w:autoSpaceDN w:val="0"/>
        <w:spacing w:after="0" w:line="240" w:lineRule="auto"/>
        <w:textAlignment w:val="baseline"/>
        <w:rPr>
          <w:rFonts w:eastAsia="Times New Roman" w:cs="Arial"/>
          <w:sz w:val="21"/>
          <w:szCs w:val="21"/>
        </w:rPr>
      </w:pPr>
    </w:p>
    <w:p w14:paraId="1CD9D211" w14:textId="77777777" w:rsidR="002E0DE9" w:rsidRPr="002E0DE9" w:rsidRDefault="002E0DE9" w:rsidP="0099516E">
      <w:pPr>
        <w:widowControl w:val="0"/>
        <w:suppressAutoHyphens/>
        <w:autoSpaceDE w:val="0"/>
        <w:autoSpaceDN w:val="0"/>
        <w:spacing w:after="0" w:line="240" w:lineRule="auto"/>
        <w:textAlignment w:val="baseline"/>
        <w:rPr>
          <w:rFonts w:eastAsia="Times New Roman" w:cs="Arial"/>
          <w:sz w:val="21"/>
          <w:szCs w:val="21"/>
        </w:rPr>
      </w:pPr>
    </w:p>
    <w:p w14:paraId="6B5CAA9E" w14:textId="09533FAB" w:rsidR="002E0DE9" w:rsidRPr="002E0DE9" w:rsidRDefault="002E0DE9" w:rsidP="0099516E">
      <w:pPr>
        <w:widowControl w:val="0"/>
        <w:suppressAutoHyphens/>
        <w:autoSpaceDE w:val="0"/>
        <w:autoSpaceDN w:val="0"/>
        <w:spacing w:after="0" w:line="240" w:lineRule="auto"/>
        <w:textAlignment w:val="baseline"/>
        <w:rPr>
          <w:rFonts w:eastAsia="Times New Roman" w:cs="Arial"/>
          <w:sz w:val="21"/>
          <w:szCs w:val="21"/>
        </w:rPr>
      </w:pPr>
    </w:p>
    <w:p w14:paraId="5D0A646F" w14:textId="77777777" w:rsidR="002E0DE9" w:rsidRPr="002E0DE9" w:rsidRDefault="002E0DE9" w:rsidP="0099516E">
      <w:pPr>
        <w:widowControl w:val="0"/>
        <w:suppressAutoHyphens/>
        <w:autoSpaceDE w:val="0"/>
        <w:autoSpaceDN w:val="0"/>
        <w:spacing w:after="0" w:line="240" w:lineRule="auto"/>
        <w:textAlignment w:val="baseline"/>
        <w:rPr>
          <w:rFonts w:eastAsia="Times New Roman" w:cs="Arial"/>
          <w:sz w:val="21"/>
          <w:szCs w:val="21"/>
        </w:rPr>
      </w:pPr>
    </w:p>
    <w:p w14:paraId="72BBEC09" w14:textId="77777777" w:rsidR="002E0DE9" w:rsidRPr="002E0DE9" w:rsidRDefault="002E0DE9" w:rsidP="0099516E">
      <w:pPr>
        <w:widowControl w:val="0"/>
        <w:suppressAutoHyphens/>
        <w:autoSpaceDE w:val="0"/>
        <w:autoSpaceDN w:val="0"/>
        <w:spacing w:after="0" w:line="240" w:lineRule="auto"/>
        <w:textAlignment w:val="baseline"/>
        <w:rPr>
          <w:rFonts w:eastAsia="Times New Roman" w:cs="Arial"/>
          <w:sz w:val="21"/>
          <w:szCs w:val="21"/>
        </w:rPr>
      </w:pPr>
    </w:p>
    <w:p w14:paraId="2E5AFCD2" w14:textId="77777777" w:rsidR="002E0DE9" w:rsidRPr="002E0DE9" w:rsidRDefault="002E0DE9" w:rsidP="0099516E">
      <w:pPr>
        <w:widowControl w:val="0"/>
        <w:suppressAutoHyphens/>
        <w:autoSpaceDE w:val="0"/>
        <w:autoSpaceDN w:val="0"/>
        <w:spacing w:after="0" w:line="240" w:lineRule="auto"/>
        <w:textAlignment w:val="baseline"/>
        <w:rPr>
          <w:rFonts w:eastAsia="Times New Roman" w:cs="Arial"/>
          <w:sz w:val="21"/>
          <w:szCs w:val="21"/>
        </w:rPr>
      </w:pPr>
    </w:p>
    <w:p w14:paraId="73A1DF53" w14:textId="77777777" w:rsidR="002E0DE9" w:rsidRPr="002E0DE9" w:rsidRDefault="002E0DE9" w:rsidP="0099516E">
      <w:pPr>
        <w:widowControl w:val="0"/>
        <w:suppressAutoHyphens/>
        <w:autoSpaceDE w:val="0"/>
        <w:autoSpaceDN w:val="0"/>
        <w:spacing w:after="0" w:line="240" w:lineRule="auto"/>
        <w:textAlignment w:val="baseline"/>
        <w:rPr>
          <w:rFonts w:eastAsia="Times New Roman" w:cs="Arial"/>
          <w:sz w:val="21"/>
          <w:szCs w:val="21"/>
        </w:rPr>
      </w:pPr>
    </w:p>
    <w:p w14:paraId="24016798" w14:textId="77777777" w:rsidR="002E0DE9" w:rsidRPr="002E0DE9" w:rsidRDefault="002E0DE9" w:rsidP="0099516E">
      <w:pPr>
        <w:widowControl w:val="0"/>
        <w:suppressAutoHyphens/>
        <w:autoSpaceDE w:val="0"/>
        <w:autoSpaceDN w:val="0"/>
        <w:spacing w:after="0" w:line="240" w:lineRule="auto"/>
        <w:textAlignment w:val="baseline"/>
        <w:rPr>
          <w:rFonts w:eastAsia="Times New Roman" w:cs="Arial"/>
          <w:sz w:val="21"/>
          <w:szCs w:val="21"/>
        </w:rPr>
      </w:pPr>
    </w:p>
    <w:p w14:paraId="64EFF02F" w14:textId="77777777" w:rsidR="002E0DE9" w:rsidRPr="002E0DE9" w:rsidRDefault="002E0DE9" w:rsidP="0099516E">
      <w:pPr>
        <w:widowControl w:val="0"/>
        <w:suppressAutoHyphens/>
        <w:autoSpaceDE w:val="0"/>
        <w:autoSpaceDN w:val="0"/>
        <w:spacing w:after="0" w:line="240" w:lineRule="auto"/>
        <w:textAlignment w:val="baseline"/>
        <w:rPr>
          <w:rFonts w:eastAsia="Times New Roman" w:cs="Arial"/>
          <w:sz w:val="21"/>
          <w:szCs w:val="21"/>
        </w:rPr>
      </w:pPr>
    </w:p>
    <w:p w14:paraId="63DE1D3A" w14:textId="77777777" w:rsidR="002E0DE9" w:rsidRPr="002E0DE9" w:rsidRDefault="002E0DE9" w:rsidP="0099516E">
      <w:pPr>
        <w:widowControl w:val="0"/>
        <w:suppressAutoHyphens/>
        <w:autoSpaceDE w:val="0"/>
        <w:autoSpaceDN w:val="0"/>
        <w:spacing w:after="0" w:line="240" w:lineRule="auto"/>
        <w:textAlignment w:val="baseline"/>
        <w:rPr>
          <w:rFonts w:eastAsia="Times New Roman" w:cs="Arial"/>
          <w:sz w:val="21"/>
          <w:szCs w:val="21"/>
        </w:rPr>
      </w:pPr>
    </w:p>
    <w:p w14:paraId="5B143853" w14:textId="77777777" w:rsidR="002E0DE9" w:rsidRPr="002E0DE9" w:rsidRDefault="002E0DE9" w:rsidP="0099516E">
      <w:pPr>
        <w:widowControl w:val="0"/>
        <w:suppressAutoHyphens/>
        <w:autoSpaceDE w:val="0"/>
        <w:autoSpaceDN w:val="0"/>
        <w:spacing w:after="0" w:line="240" w:lineRule="auto"/>
        <w:textAlignment w:val="baseline"/>
        <w:rPr>
          <w:rFonts w:eastAsia="Times New Roman" w:cs="Arial"/>
          <w:sz w:val="21"/>
          <w:szCs w:val="21"/>
        </w:rPr>
      </w:pPr>
    </w:p>
    <w:p w14:paraId="31C1A477" w14:textId="77777777" w:rsidR="002E0DE9" w:rsidRPr="002E0DE9" w:rsidRDefault="002E0DE9" w:rsidP="0099516E">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6CCF3AAD" w14:textId="77777777" w:rsidR="002E0DE9" w:rsidRPr="002E0DE9" w:rsidRDefault="002E0DE9" w:rsidP="0099516E">
      <w:pPr>
        <w:widowControl w:val="0"/>
        <w:suppressAutoHyphens/>
        <w:autoSpaceDE w:val="0"/>
        <w:autoSpaceDN w:val="0"/>
        <w:spacing w:after="0" w:line="240" w:lineRule="auto"/>
        <w:textAlignment w:val="baseline"/>
        <w:rPr>
          <w:rFonts w:eastAsia="Times New Roman" w:cs="Arial"/>
        </w:rPr>
      </w:pPr>
    </w:p>
    <w:p w14:paraId="650AE9B2" w14:textId="77777777" w:rsidR="002E0DE9" w:rsidRPr="002E0DE9" w:rsidRDefault="002E0DE9" w:rsidP="0099516E">
      <w:pPr>
        <w:widowControl w:val="0"/>
        <w:suppressAutoHyphens/>
        <w:autoSpaceDE w:val="0"/>
        <w:autoSpaceDN w:val="0"/>
        <w:spacing w:after="0" w:line="240" w:lineRule="auto"/>
        <w:textAlignment w:val="baseline"/>
        <w:rPr>
          <w:rFonts w:eastAsia="Times New Roman" w:cs="Arial"/>
        </w:rPr>
      </w:pPr>
    </w:p>
    <w:p w14:paraId="6EB42C66" w14:textId="77777777" w:rsidR="005330F7" w:rsidRDefault="005330F7" w:rsidP="0099516E">
      <w:pPr>
        <w:spacing w:after="0" w:line="240" w:lineRule="auto"/>
      </w:pPr>
    </w:p>
    <w:p w14:paraId="111843FD" w14:textId="77777777" w:rsidR="002E0DE9" w:rsidRDefault="002E0DE9" w:rsidP="0099516E">
      <w:pPr>
        <w:spacing w:after="0" w:line="240" w:lineRule="auto"/>
      </w:pPr>
    </w:p>
    <w:p w14:paraId="6AF4E8FF" w14:textId="77777777" w:rsidR="002E0DE9" w:rsidRDefault="002E0DE9" w:rsidP="0099516E">
      <w:pPr>
        <w:spacing w:after="0" w:line="240" w:lineRule="auto"/>
      </w:pPr>
    </w:p>
    <w:p w14:paraId="509B5F4B" w14:textId="77777777" w:rsidR="002E0DE9" w:rsidRDefault="002E0DE9" w:rsidP="0099516E">
      <w:pPr>
        <w:spacing w:after="0" w:line="240" w:lineRule="auto"/>
      </w:pPr>
    </w:p>
    <w:p w14:paraId="73A3A65F" w14:textId="77777777" w:rsidR="00661875" w:rsidRDefault="00661875" w:rsidP="0099516E">
      <w:pPr>
        <w:spacing w:after="0" w:line="240" w:lineRule="auto"/>
        <w:sectPr w:rsidR="00661875" w:rsidSect="00067774">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73909C5D" w14:textId="6A93813F" w:rsidR="002E0DE9" w:rsidRPr="002E0DE9" w:rsidRDefault="000B6178" w:rsidP="0099516E">
      <w:pPr>
        <w:pStyle w:val="Title1"/>
      </w:pPr>
      <w:r>
        <w:lastRenderedPageBreak/>
        <w:t>Marine Turtles</w:t>
      </w:r>
    </w:p>
    <w:p w14:paraId="0DCB8F07" w14:textId="77777777" w:rsidR="002E0DE9" w:rsidRDefault="002E0DE9" w:rsidP="0099516E">
      <w:pPr>
        <w:suppressAutoHyphens/>
        <w:autoSpaceDN w:val="0"/>
        <w:spacing w:after="0" w:line="240" w:lineRule="auto"/>
        <w:textAlignment w:val="baseline"/>
        <w:rPr>
          <w:rFonts w:eastAsia="Calibri" w:cs="Arial"/>
        </w:rPr>
      </w:pPr>
    </w:p>
    <w:p w14:paraId="4A0F002D" w14:textId="77777777" w:rsidR="00661875" w:rsidRPr="002E0DE9" w:rsidRDefault="00661875" w:rsidP="0099516E">
      <w:pPr>
        <w:suppressAutoHyphens/>
        <w:autoSpaceDN w:val="0"/>
        <w:spacing w:after="0" w:line="240" w:lineRule="auto"/>
        <w:textAlignment w:val="baseline"/>
        <w:rPr>
          <w:rFonts w:eastAsia="Calibri" w:cs="Arial"/>
        </w:rPr>
      </w:pPr>
    </w:p>
    <w:p w14:paraId="3C86903F" w14:textId="530B505D" w:rsidR="002E0DE9" w:rsidRPr="002E0DE9" w:rsidRDefault="002E0DE9" w:rsidP="0099516E">
      <w:pPr>
        <w:suppressAutoHyphens/>
        <w:autoSpaceDN w:val="0"/>
        <w:spacing w:after="0" w:line="240" w:lineRule="auto"/>
        <w:textAlignment w:val="baseline"/>
        <w:rPr>
          <w:rFonts w:eastAsia="Calibri" w:cs="Arial"/>
          <w:u w:val="single"/>
        </w:rPr>
      </w:pPr>
      <w:r w:rsidRPr="002E0DE9">
        <w:rPr>
          <w:rFonts w:eastAsia="Calibri" w:cs="Arial"/>
          <w:u w:val="single"/>
        </w:rPr>
        <w:t>Background</w:t>
      </w:r>
    </w:p>
    <w:p w14:paraId="115888D2" w14:textId="77777777" w:rsidR="002E0DE9" w:rsidRDefault="002E0DE9" w:rsidP="0099516E">
      <w:pPr>
        <w:spacing w:after="0" w:line="240" w:lineRule="auto"/>
      </w:pPr>
    </w:p>
    <w:p w14:paraId="03231847" w14:textId="71AA2717" w:rsidR="00510036" w:rsidRPr="006616B0" w:rsidRDefault="26828F4B" w:rsidP="004C3704">
      <w:pPr>
        <w:widowControl w:val="0"/>
        <w:numPr>
          <w:ilvl w:val="0"/>
          <w:numId w:val="21"/>
        </w:numPr>
        <w:autoSpaceDE w:val="0"/>
        <w:autoSpaceDN w:val="0"/>
        <w:adjustRightInd w:val="0"/>
        <w:spacing w:after="0" w:line="240" w:lineRule="auto"/>
        <w:ind w:left="567" w:hanging="567"/>
        <w:jc w:val="both"/>
        <w:rPr>
          <w:rFonts w:cs="Arial"/>
        </w:rPr>
      </w:pPr>
      <w:r w:rsidRPr="006616B0">
        <w:rPr>
          <w:rFonts w:cs="Arial"/>
        </w:rPr>
        <w:t xml:space="preserve">Six of </w:t>
      </w:r>
      <w:r w:rsidR="004A5A7E" w:rsidRPr="006616B0">
        <w:rPr>
          <w:rFonts w:cs="Arial"/>
        </w:rPr>
        <w:t xml:space="preserve">seven globally recognized </w:t>
      </w:r>
      <w:r w:rsidR="00D54F88" w:rsidRPr="006616B0">
        <w:rPr>
          <w:rFonts w:cs="Arial"/>
        </w:rPr>
        <w:t>species of marine turtles are listed on CMS Appendi</w:t>
      </w:r>
      <w:r w:rsidR="00AC3F13">
        <w:rPr>
          <w:rFonts w:cs="Arial"/>
        </w:rPr>
        <w:t>x</w:t>
      </w:r>
      <w:r w:rsidR="00AD7940">
        <w:rPr>
          <w:rFonts w:cs="Arial"/>
        </w:rPr>
        <w:t xml:space="preserve"> I</w:t>
      </w:r>
      <w:r w:rsidR="5C7BE3DB">
        <w:rPr>
          <w:rFonts w:cs="Arial"/>
        </w:rPr>
        <w:t>, and all seven on CMS Appendix</w:t>
      </w:r>
      <w:r w:rsidR="00AD7940">
        <w:rPr>
          <w:rFonts w:cs="Arial"/>
        </w:rPr>
        <w:t xml:space="preserve"> II</w:t>
      </w:r>
      <w:r w:rsidR="77D70586">
        <w:rPr>
          <w:rFonts w:cs="Arial"/>
        </w:rPr>
        <w:t xml:space="preserve">. The </w:t>
      </w:r>
      <w:r w:rsidR="00510036" w:rsidRPr="006616B0">
        <w:rPr>
          <w:rFonts w:cs="Arial"/>
        </w:rPr>
        <w:t xml:space="preserve">conservation status </w:t>
      </w:r>
      <w:r w:rsidR="69048171" w:rsidRPr="006616B0">
        <w:rPr>
          <w:rFonts w:cs="Arial"/>
        </w:rPr>
        <w:t xml:space="preserve">of all seven species </w:t>
      </w:r>
      <w:r w:rsidR="00510036" w:rsidRPr="006616B0">
        <w:rPr>
          <w:rFonts w:cs="Arial"/>
        </w:rPr>
        <w:t xml:space="preserve">remains of </w:t>
      </w:r>
      <w:r w:rsidR="003F0294" w:rsidRPr="006616B0">
        <w:rPr>
          <w:rFonts w:cs="Arial"/>
        </w:rPr>
        <w:t xml:space="preserve">serious </w:t>
      </w:r>
      <w:r w:rsidR="00510036" w:rsidRPr="006616B0">
        <w:rPr>
          <w:rFonts w:cs="Arial"/>
        </w:rPr>
        <w:t>concern</w:t>
      </w:r>
      <w:r w:rsidR="71F4A144" w:rsidRPr="006616B0">
        <w:rPr>
          <w:rFonts w:cs="Arial"/>
        </w:rPr>
        <w:t xml:space="preserve">, with </w:t>
      </w:r>
      <w:r w:rsidR="00AD7940">
        <w:rPr>
          <w:rFonts w:cs="Arial"/>
        </w:rPr>
        <w:t xml:space="preserve">Hawksbill and Kemps </w:t>
      </w:r>
      <w:r w:rsidR="002757F6">
        <w:rPr>
          <w:rFonts w:cs="Arial"/>
        </w:rPr>
        <w:t xml:space="preserve">Ridley turtles </w:t>
      </w:r>
      <w:r w:rsidR="4A3509ED">
        <w:rPr>
          <w:rFonts w:cs="Arial"/>
        </w:rPr>
        <w:t xml:space="preserve">categorized </w:t>
      </w:r>
      <w:r w:rsidR="509BA051">
        <w:rPr>
          <w:rFonts w:cs="Arial"/>
        </w:rPr>
        <w:t xml:space="preserve">by </w:t>
      </w:r>
      <w:r w:rsidR="005724D5">
        <w:rPr>
          <w:rFonts w:cs="Arial"/>
        </w:rPr>
        <w:t xml:space="preserve">IUCN as </w:t>
      </w:r>
      <w:r w:rsidR="006A5340">
        <w:rPr>
          <w:rFonts w:cs="Arial"/>
        </w:rPr>
        <w:t>C</w:t>
      </w:r>
      <w:r w:rsidR="005724D5">
        <w:rPr>
          <w:rFonts w:cs="Arial"/>
        </w:rPr>
        <w:t xml:space="preserve">ritically </w:t>
      </w:r>
      <w:r w:rsidR="006A5340">
        <w:rPr>
          <w:rFonts w:cs="Arial"/>
        </w:rPr>
        <w:t>E</w:t>
      </w:r>
      <w:r w:rsidR="005724D5">
        <w:rPr>
          <w:rFonts w:cs="Arial"/>
        </w:rPr>
        <w:t>ndangered</w:t>
      </w:r>
      <w:r w:rsidR="00AC3F13">
        <w:rPr>
          <w:rStyle w:val="FootnoteReference"/>
          <w:rFonts w:cs="Arial"/>
        </w:rPr>
        <w:footnoteReference w:id="2"/>
      </w:r>
      <w:r w:rsidR="005724D5">
        <w:rPr>
          <w:rFonts w:cs="Arial"/>
        </w:rPr>
        <w:t>.</w:t>
      </w:r>
    </w:p>
    <w:p w14:paraId="2FD8C638" w14:textId="77777777" w:rsidR="00510036" w:rsidRDefault="00510036" w:rsidP="00510036">
      <w:pPr>
        <w:widowControl w:val="0"/>
        <w:autoSpaceDE w:val="0"/>
        <w:autoSpaceDN w:val="0"/>
        <w:adjustRightInd w:val="0"/>
        <w:spacing w:after="0" w:line="240" w:lineRule="auto"/>
        <w:ind w:left="567"/>
        <w:jc w:val="both"/>
        <w:rPr>
          <w:rFonts w:cs="Arial"/>
        </w:rPr>
      </w:pPr>
    </w:p>
    <w:p w14:paraId="604A1971" w14:textId="591644D6" w:rsidR="00ED0E28" w:rsidRDefault="00ED0E28" w:rsidP="00D54F88">
      <w:pPr>
        <w:widowControl w:val="0"/>
        <w:numPr>
          <w:ilvl w:val="0"/>
          <w:numId w:val="21"/>
        </w:numPr>
        <w:autoSpaceDE w:val="0"/>
        <w:autoSpaceDN w:val="0"/>
        <w:adjustRightInd w:val="0"/>
        <w:spacing w:after="0" w:line="240" w:lineRule="auto"/>
        <w:ind w:left="567" w:hanging="567"/>
        <w:jc w:val="both"/>
        <w:rPr>
          <w:rFonts w:cs="Arial"/>
        </w:rPr>
      </w:pPr>
      <w:r w:rsidRPr="741E7FFD">
        <w:rPr>
          <w:rFonts w:cs="Arial"/>
        </w:rPr>
        <w:t xml:space="preserve">Two Memoranda of Understanding were concluded under CMS to address conservation needs of marine turtles in a regional context, namely the </w:t>
      </w:r>
      <w:hyperlink r:id="rId16">
        <w:r w:rsidR="00D41CDB" w:rsidRPr="741E7FFD">
          <w:rPr>
            <w:rStyle w:val="Hyperlink"/>
            <w:rFonts w:cs="Arial"/>
          </w:rPr>
          <w:t>Memorandum of Understanding concerning Conservation Measures for Marine Turtles of the Atlantic Coast of Africa</w:t>
        </w:r>
      </w:hyperlink>
      <w:r w:rsidR="00D41CDB" w:rsidRPr="741E7FFD">
        <w:rPr>
          <w:rFonts w:cs="Arial"/>
        </w:rPr>
        <w:t xml:space="preserve"> (</w:t>
      </w:r>
      <w:r w:rsidR="007A2F9E" w:rsidRPr="741E7FFD">
        <w:rPr>
          <w:rFonts w:cs="Arial"/>
        </w:rPr>
        <w:t xml:space="preserve">1999), and the </w:t>
      </w:r>
      <w:hyperlink r:id="rId17">
        <w:r w:rsidR="005042A6" w:rsidRPr="741E7FFD">
          <w:rPr>
            <w:rStyle w:val="Hyperlink"/>
            <w:rFonts w:cs="Arial"/>
          </w:rPr>
          <w:t>Memorandum of Understanding on the Conservation and Management of Marine Turtles and their Habitats of the Indian Ocean and South-East Asia</w:t>
        </w:r>
      </w:hyperlink>
      <w:r w:rsidR="0051546B" w:rsidRPr="741E7FFD">
        <w:rPr>
          <w:rFonts w:cs="Arial"/>
        </w:rPr>
        <w:t xml:space="preserve"> (2001).</w:t>
      </w:r>
      <w:r w:rsidR="00EB1C18" w:rsidRPr="741E7FFD">
        <w:rPr>
          <w:rFonts w:cs="Arial"/>
        </w:rPr>
        <w:t xml:space="preserve"> In addition, two Single Species Action Plans have been developed, the </w:t>
      </w:r>
      <w:hyperlink r:id="rId18">
        <w:r w:rsidR="001509B5" w:rsidRPr="741E7FFD">
          <w:rPr>
            <w:rStyle w:val="Hyperlink"/>
            <w:rFonts w:cs="Arial"/>
          </w:rPr>
          <w:t>Single Species Action Plan for the Loggerhead Turtle (</w:t>
        </w:r>
        <w:r w:rsidR="001509B5" w:rsidRPr="741E7FFD">
          <w:rPr>
            <w:rStyle w:val="Hyperlink"/>
            <w:rFonts w:cs="Arial"/>
            <w:i/>
            <w:iCs/>
          </w:rPr>
          <w:t>Caretta caretta</w:t>
        </w:r>
        <w:r w:rsidR="001509B5" w:rsidRPr="741E7FFD">
          <w:rPr>
            <w:rStyle w:val="Hyperlink"/>
            <w:rFonts w:cs="Arial"/>
          </w:rPr>
          <w:t>) in the South Pacific Ocean</w:t>
        </w:r>
      </w:hyperlink>
      <w:r w:rsidR="0083038B" w:rsidRPr="741E7FFD">
        <w:rPr>
          <w:rFonts w:cs="Arial"/>
        </w:rPr>
        <w:t xml:space="preserve"> (</w:t>
      </w:r>
      <w:r w:rsidR="00804832" w:rsidRPr="741E7FFD">
        <w:rPr>
          <w:rFonts w:cs="Arial"/>
        </w:rPr>
        <w:t xml:space="preserve">adopted in </w:t>
      </w:r>
      <w:r w:rsidR="0083038B" w:rsidRPr="741E7FFD">
        <w:rPr>
          <w:rFonts w:cs="Arial"/>
        </w:rPr>
        <w:t>2014</w:t>
      </w:r>
      <w:r w:rsidR="00762F9A">
        <w:rPr>
          <w:rFonts w:cs="Arial"/>
        </w:rPr>
        <w:t>)</w:t>
      </w:r>
      <w:r w:rsidR="0083038B" w:rsidRPr="741E7FFD">
        <w:rPr>
          <w:rFonts w:cs="Arial"/>
        </w:rPr>
        <w:t xml:space="preserve"> and the </w:t>
      </w:r>
      <w:hyperlink r:id="rId19">
        <w:r w:rsidR="000C7737" w:rsidRPr="741E7FFD">
          <w:rPr>
            <w:rStyle w:val="Hyperlink"/>
            <w:rFonts w:cs="Arial"/>
          </w:rPr>
          <w:t>Single Species Action Plan for the Hawksbill Turtle (</w:t>
        </w:r>
        <w:r w:rsidR="000C7737" w:rsidRPr="741E7FFD">
          <w:rPr>
            <w:rStyle w:val="Hyperlink"/>
            <w:rFonts w:cs="Arial"/>
            <w:i/>
            <w:iCs/>
          </w:rPr>
          <w:t>Eretmochelys imbricata</w:t>
        </w:r>
        <w:r w:rsidR="000C7737" w:rsidRPr="741E7FFD">
          <w:rPr>
            <w:rStyle w:val="Hyperlink"/>
            <w:rFonts w:cs="Arial"/>
          </w:rPr>
          <w:t>) in South-East Asia and the Western Pacific Ocean Region</w:t>
        </w:r>
      </w:hyperlink>
      <w:r w:rsidR="000C7737" w:rsidRPr="741E7FFD">
        <w:rPr>
          <w:rFonts w:cs="Arial"/>
        </w:rPr>
        <w:t xml:space="preserve"> (</w:t>
      </w:r>
      <w:r w:rsidR="00804832" w:rsidRPr="741E7FFD">
        <w:rPr>
          <w:rFonts w:cs="Arial"/>
        </w:rPr>
        <w:t xml:space="preserve">adopted in </w:t>
      </w:r>
      <w:r w:rsidR="000C7737" w:rsidRPr="741E7FFD">
        <w:rPr>
          <w:rFonts w:cs="Arial"/>
        </w:rPr>
        <w:t>2022; see</w:t>
      </w:r>
      <w:r w:rsidR="00D127A7" w:rsidRPr="00D127A7">
        <w:t xml:space="preserve"> </w:t>
      </w:r>
      <w:hyperlink r:id="rId20" w:history="1">
        <w:r w:rsidR="00D127A7" w:rsidRPr="00D7664D">
          <w:rPr>
            <w:rStyle w:val="Hyperlink"/>
            <w:rFonts w:cs="Arial"/>
          </w:rPr>
          <w:t>UNEP/CMS/COP14/Doc.27.6.2</w:t>
        </w:r>
      </w:hyperlink>
      <w:r w:rsidR="000C7737" w:rsidRPr="741E7FFD">
        <w:rPr>
          <w:rFonts w:cs="Arial"/>
        </w:rPr>
        <w:t>).</w:t>
      </w:r>
    </w:p>
    <w:p w14:paraId="572ADBCD" w14:textId="58960647" w:rsidR="00ED0E28" w:rsidRDefault="00ED0E28" w:rsidP="00D7664D">
      <w:pPr>
        <w:widowControl w:val="0"/>
        <w:autoSpaceDE w:val="0"/>
        <w:autoSpaceDN w:val="0"/>
        <w:adjustRightInd w:val="0"/>
        <w:spacing w:after="0" w:line="240" w:lineRule="auto"/>
        <w:ind w:left="567"/>
        <w:jc w:val="both"/>
        <w:rPr>
          <w:rFonts w:cs="Arial"/>
        </w:rPr>
      </w:pPr>
    </w:p>
    <w:p w14:paraId="42711096" w14:textId="641F753B" w:rsidR="6CE1BEAD" w:rsidRPr="008E61AF" w:rsidRDefault="6594A0B7" w:rsidP="00D7664D">
      <w:pPr>
        <w:widowControl w:val="0"/>
        <w:numPr>
          <w:ilvl w:val="0"/>
          <w:numId w:val="21"/>
        </w:numPr>
        <w:autoSpaceDE w:val="0"/>
        <w:autoSpaceDN w:val="0"/>
        <w:adjustRightInd w:val="0"/>
        <w:spacing w:after="0" w:line="240" w:lineRule="auto"/>
        <w:ind w:left="567" w:hanging="567"/>
        <w:jc w:val="both"/>
        <w:rPr>
          <w:rFonts w:cs="Arial"/>
          <w:i/>
          <w:iCs/>
        </w:rPr>
      </w:pPr>
      <w:r w:rsidRPr="741E7FFD">
        <w:rPr>
          <w:rFonts w:cs="Arial"/>
        </w:rPr>
        <w:t>N</w:t>
      </w:r>
      <w:r w:rsidR="6CE1BEAD" w:rsidRPr="741E7FFD">
        <w:rPr>
          <w:rFonts w:cs="Arial"/>
        </w:rPr>
        <w:t>o</w:t>
      </w:r>
      <w:r w:rsidR="00661875" w:rsidRPr="741E7FFD">
        <w:rPr>
          <w:rFonts w:cs="Arial"/>
        </w:rPr>
        <w:t xml:space="preserve"> </w:t>
      </w:r>
      <w:r w:rsidR="7B6CA35B" w:rsidRPr="741E7FFD">
        <w:rPr>
          <w:rFonts w:cs="Arial"/>
        </w:rPr>
        <w:t xml:space="preserve">CMS </w:t>
      </w:r>
      <w:r w:rsidR="6CE1BEAD" w:rsidRPr="741E7FFD">
        <w:rPr>
          <w:rFonts w:cs="Arial"/>
        </w:rPr>
        <w:t>Resolution</w:t>
      </w:r>
      <w:r w:rsidR="00C374B6" w:rsidRPr="741E7FFD">
        <w:rPr>
          <w:rFonts w:cs="Arial"/>
        </w:rPr>
        <w:t xml:space="preserve"> specifically on marine turtles is </w:t>
      </w:r>
      <w:r w:rsidR="3AB962E9" w:rsidRPr="741E7FFD">
        <w:rPr>
          <w:rFonts w:cs="Arial"/>
        </w:rPr>
        <w:t xml:space="preserve">currently </w:t>
      </w:r>
      <w:r w:rsidR="00C374B6" w:rsidRPr="741E7FFD">
        <w:rPr>
          <w:rFonts w:cs="Arial"/>
        </w:rPr>
        <w:t>in force</w:t>
      </w:r>
      <w:r w:rsidR="6CE1BEAD" w:rsidRPr="741E7FFD">
        <w:rPr>
          <w:rFonts w:cs="Arial"/>
        </w:rPr>
        <w:t>.</w:t>
      </w:r>
      <w:r w:rsidR="009F0BF0" w:rsidRPr="741E7FFD">
        <w:rPr>
          <w:rFonts w:cs="Arial"/>
        </w:rPr>
        <w:t xml:space="preserve"> </w:t>
      </w:r>
      <w:r w:rsidR="00C374B6" w:rsidRPr="741E7FFD">
        <w:rPr>
          <w:rFonts w:cs="Arial"/>
        </w:rPr>
        <w:t xml:space="preserve">COP13 adopted </w:t>
      </w:r>
      <w:r w:rsidR="009F210B" w:rsidRPr="741E7FFD">
        <w:rPr>
          <w:rFonts w:cs="Arial"/>
        </w:rPr>
        <w:t xml:space="preserve">two </w:t>
      </w:r>
      <w:r w:rsidR="6CE1BEAD" w:rsidRPr="741E7FFD">
        <w:rPr>
          <w:rFonts w:cs="Arial"/>
        </w:rPr>
        <w:t xml:space="preserve">Decisions </w:t>
      </w:r>
      <w:r w:rsidR="00466CF8" w:rsidRPr="741E7FFD">
        <w:rPr>
          <w:rFonts w:cs="Arial"/>
        </w:rPr>
        <w:t>on marine turtles</w:t>
      </w:r>
      <w:r w:rsidR="006067F5" w:rsidRPr="741E7FFD">
        <w:rPr>
          <w:rFonts w:cs="Arial"/>
        </w:rPr>
        <w:t>:</w:t>
      </w:r>
    </w:p>
    <w:p w14:paraId="1E1F1028" w14:textId="77777777" w:rsidR="005F1D40" w:rsidRDefault="005F1D40" w:rsidP="00D7664D">
      <w:pPr>
        <w:spacing w:after="0" w:line="240" w:lineRule="auto"/>
        <w:ind w:left="170" w:firstLine="397"/>
        <w:rPr>
          <w:i/>
          <w:iCs/>
        </w:rPr>
      </w:pPr>
    </w:p>
    <w:p w14:paraId="7688B164" w14:textId="69A4C69F" w:rsidR="6CE1BEAD" w:rsidRPr="00D7664D" w:rsidRDefault="6CE1BEAD" w:rsidP="00D7664D">
      <w:pPr>
        <w:spacing w:after="0" w:line="240" w:lineRule="auto"/>
        <w:ind w:left="1080" w:hanging="360"/>
        <w:rPr>
          <w:b/>
          <w:bCs/>
          <w:i/>
          <w:iCs/>
          <w:sz w:val="20"/>
          <w:szCs w:val="20"/>
        </w:rPr>
      </w:pPr>
      <w:r w:rsidRPr="00D7664D">
        <w:rPr>
          <w:b/>
          <w:bCs/>
          <w:i/>
          <w:iCs/>
          <w:sz w:val="20"/>
          <w:szCs w:val="20"/>
        </w:rPr>
        <w:t>13.69</w:t>
      </w:r>
      <w:r w:rsidR="00112F18" w:rsidRPr="00D7664D">
        <w:rPr>
          <w:b/>
          <w:bCs/>
          <w:i/>
          <w:iCs/>
          <w:sz w:val="20"/>
          <w:szCs w:val="20"/>
        </w:rPr>
        <w:t xml:space="preserve"> </w:t>
      </w:r>
      <w:r w:rsidRPr="00D7664D">
        <w:rPr>
          <w:b/>
          <w:bCs/>
          <w:i/>
          <w:iCs/>
          <w:sz w:val="20"/>
          <w:szCs w:val="20"/>
        </w:rPr>
        <w:t>Decision directed to Parties</w:t>
      </w:r>
    </w:p>
    <w:p w14:paraId="65BEF408" w14:textId="77777777" w:rsidR="00D7664D" w:rsidRDefault="00D7664D" w:rsidP="00D7664D">
      <w:pPr>
        <w:spacing w:after="0" w:line="240" w:lineRule="auto"/>
        <w:ind w:left="720"/>
        <w:jc w:val="both"/>
        <w:rPr>
          <w:i/>
          <w:iCs/>
          <w:sz w:val="20"/>
          <w:szCs w:val="20"/>
        </w:rPr>
      </w:pPr>
    </w:p>
    <w:p w14:paraId="61A4DFE6" w14:textId="6F6DE389" w:rsidR="6CE1BEAD" w:rsidRPr="00DE2F23" w:rsidRDefault="6CE1BEAD" w:rsidP="00D7664D">
      <w:pPr>
        <w:spacing w:after="0" w:line="240" w:lineRule="auto"/>
        <w:ind w:left="720"/>
        <w:jc w:val="both"/>
        <w:rPr>
          <w:i/>
          <w:iCs/>
          <w:sz w:val="20"/>
          <w:szCs w:val="20"/>
        </w:rPr>
      </w:pPr>
      <w:r w:rsidRPr="00DE2F23">
        <w:rPr>
          <w:i/>
          <w:iCs/>
          <w:sz w:val="20"/>
          <w:szCs w:val="20"/>
        </w:rPr>
        <w:t>Parties are invited to provide funding to the Secretariat to support the implementation of this Decision.</w:t>
      </w:r>
    </w:p>
    <w:p w14:paraId="7B28F573" w14:textId="28019FE1" w:rsidR="6CE1BEAD" w:rsidRPr="00DE2F23" w:rsidRDefault="6CE1BEAD" w:rsidP="00D7664D">
      <w:pPr>
        <w:spacing w:after="0" w:line="240" w:lineRule="auto"/>
        <w:ind w:left="1080" w:hanging="360"/>
        <w:jc w:val="both"/>
        <w:rPr>
          <w:i/>
          <w:iCs/>
          <w:sz w:val="20"/>
          <w:szCs w:val="20"/>
        </w:rPr>
      </w:pPr>
    </w:p>
    <w:p w14:paraId="51236E6E" w14:textId="11BDFB41" w:rsidR="6CE1BEAD" w:rsidRPr="00D7664D" w:rsidRDefault="6CE1BEAD" w:rsidP="00D7664D">
      <w:pPr>
        <w:spacing w:after="0" w:line="240" w:lineRule="auto"/>
        <w:ind w:left="1080" w:hanging="360"/>
        <w:jc w:val="both"/>
        <w:rPr>
          <w:b/>
          <w:bCs/>
          <w:i/>
          <w:iCs/>
          <w:sz w:val="20"/>
          <w:szCs w:val="20"/>
        </w:rPr>
      </w:pPr>
      <w:r w:rsidRPr="00D7664D">
        <w:rPr>
          <w:b/>
          <w:bCs/>
          <w:i/>
          <w:iCs/>
          <w:sz w:val="20"/>
          <w:szCs w:val="20"/>
        </w:rPr>
        <w:t>13.70</w:t>
      </w:r>
      <w:r w:rsidR="00BF38E1" w:rsidRPr="00D7664D">
        <w:rPr>
          <w:b/>
          <w:bCs/>
          <w:i/>
          <w:iCs/>
          <w:sz w:val="20"/>
          <w:szCs w:val="20"/>
        </w:rPr>
        <w:t xml:space="preserve"> </w:t>
      </w:r>
      <w:r w:rsidRPr="00D7664D">
        <w:rPr>
          <w:b/>
          <w:bCs/>
          <w:i/>
          <w:iCs/>
          <w:sz w:val="20"/>
          <w:szCs w:val="20"/>
        </w:rPr>
        <w:t>Decision directed to Scientific Council</w:t>
      </w:r>
    </w:p>
    <w:p w14:paraId="3AB5F834" w14:textId="77777777" w:rsidR="00D7664D" w:rsidRDefault="00D7664D" w:rsidP="00D7664D">
      <w:pPr>
        <w:spacing w:after="0" w:line="240" w:lineRule="auto"/>
        <w:ind w:left="1080" w:hanging="360"/>
        <w:jc w:val="both"/>
        <w:rPr>
          <w:i/>
          <w:iCs/>
          <w:sz w:val="20"/>
          <w:szCs w:val="20"/>
        </w:rPr>
      </w:pPr>
    </w:p>
    <w:p w14:paraId="7948E5EB" w14:textId="43628A95" w:rsidR="00D7664D" w:rsidRDefault="6CE1BEAD" w:rsidP="00D7664D">
      <w:pPr>
        <w:spacing w:after="0" w:line="240" w:lineRule="auto"/>
        <w:ind w:left="1080" w:hanging="360"/>
        <w:jc w:val="both"/>
        <w:rPr>
          <w:i/>
          <w:iCs/>
          <w:sz w:val="20"/>
          <w:szCs w:val="20"/>
        </w:rPr>
      </w:pPr>
      <w:r w:rsidRPr="00DE2F23">
        <w:rPr>
          <w:i/>
          <w:iCs/>
          <w:sz w:val="20"/>
          <w:szCs w:val="20"/>
        </w:rPr>
        <w:t>The Scientific Council is requested, subject to the availability of resources, to:</w:t>
      </w:r>
    </w:p>
    <w:p w14:paraId="7AFCE2C2" w14:textId="09516751" w:rsidR="6CE1BEAD" w:rsidRPr="00DE2F23" w:rsidRDefault="6CE1BEAD" w:rsidP="00D7664D">
      <w:pPr>
        <w:pStyle w:val="ListParagraph"/>
        <w:numPr>
          <w:ilvl w:val="0"/>
          <w:numId w:val="19"/>
        </w:numPr>
        <w:spacing w:after="0" w:line="240" w:lineRule="auto"/>
        <w:ind w:left="1080"/>
        <w:contextualSpacing w:val="0"/>
        <w:jc w:val="both"/>
        <w:rPr>
          <w:i/>
          <w:iCs/>
          <w:sz w:val="20"/>
          <w:szCs w:val="20"/>
        </w:rPr>
      </w:pPr>
      <w:r w:rsidRPr="00DE2F23">
        <w:rPr>
          <w:i/>
          <w:iCs/>
          <w:sz w:val="20"/>
          <w:szCs w:val="20"/>
        </w:rPr>
        <w:t xml:space="preserve">review, as far as feasible in collaboration with the Memorandum of Understanding on the Conservation and Management of Marine Turtles and their Habitats of the Indian Ocean and South-East Asia (IOSEA Marine Turtle MOU) and the Inter-American Convention for the Protection and Conservation of Sea Turtles, </w:t>
      </w:r>
      <w:bookmarkStart w:id="0" w:name="_Hlk133493201"/>
      <w:r w:rsidRPr="00DE2F23">
        <w:rPr>
          <w:i/>
          <w:iCs/>
          <w:sz w:val="20"/>
          <w:szCs w:val="20"/>
        </w:rPr>
        <w:t>relevant scientific information on conservation and threats to marine turtles</w:t>
      </w:r>
      <w:bookmarkEnd w:id="0"/>
      <w:r w:rsidRPr="00DE2F23">
        <w:rPr>
          <w:i/>
          <w:iCs/>
          <w:sz w:val="20"/>
          <w:szCs w:val="20"/>
        </w:rPr>
        <w:t>, such as climate change;</w:t>
      </w:r>
    </w:p>
    <w:p w14:paraId="41A4B6E6" w14:textId="20C50134" w:rsidR="6CE1BEAD" w:rsidRPr="00DE2F23" w:rsidRDefault="6CE1BEAD" w:rsidP="00D7664D">
      <w:pPr>
        <w:pStyle w:val="ListParagraph"/>
        <w:numPr>
          <w:ilvl w:val="0"/>
          <w:numId w:val="19"/>
        </w:numPr>
        <w:spacing w:after="0" w:line="240" w:lineRule="auto"/>
        <w:ind w:left="1080"/>
        <w:contextualSpacing w:val="0"/>
        <w:jc w:val="both"/>
        <w:rPr>
          <w:i/>
          <w:iCs/>
          <w:sz w:val="20"/>
          <w:szCs w:val="20"/>
        </w:rPr>
      </w:pPr>
      <w:r w:rsidRPr="00DE2F23">
        <w:rPr>
          <w:i/>
          <w:iCs/>
          <w:sz w:val="20"/>
          <w:szCs w:val="20"/>
        </w:rPr>
        <w:t>based on this review, develop new recommendations for the conservation of all species of marine turtle included in Appendix I or II of the Convention including the preservation of the current nesting beaches and the identification of new nesting beaches, for presentation at the 14th meeting of the Conference of the Parties;</w:t>
      </w:r>
    </w:p>
    <w:p w14:paraId="0DF48C57" w14:textId="77777777" w:rsidR="0048181E" w:rsidRDefault="0048181E" w:rsidP="00D7664D">
      <w:pPr>
        <w:pStyle w:val="ListParagraph"/>
        <w:spacing w:after="0" w:line="240" w:lineRule="auto"/>
        <w:ind w:left="1361"/>
        <w:contextualSpacing w:val="0"/>
        <w:jc w:val="both"/>
        <w:rPr>
          <w:i/>
          <w:iCs/>
          <w:sz w:val="20"/>
          <w:szCs w:val="20"/>
        </w:rPr>
      </w:pPr>
    </w:p>
    <w:p w14:paraId="43FEF71D" w14:textId="3C7274B8" w:rsidR="6CE1BEAD" w:rsidRPr="00DE2F23" w:rsidRDefault="6CE1BEAD" w:rsidP="00D7664D">
      <w:pPr>
        <w:pStyle w:val="ListParagraph"/>
        <w:numPr>
          <w:ilvl w:val="0"/>
          <w:numId w:val="19"/>
        </w:numPr>
        <w:spacing w:after="0" w:line="240" w:lineRule="auto"/>
        <w:ind w:left="1080"/>
        <w:contextualSpacing w:val="0"/>
        <w:jc w:val="both"/>
        <w:rPr>
          <w:i/>
          <w:iCs/>
          <w:sz w:val="20"/>
          <w:szCs w:val="20"/>
        </w:rPr>
      </w:pPr>
      <w:r w:rsidRPr="00DE2F23">
        <w:rPr>
          <w:i/>
          <w:iCs/>
          <w:sz w:val="20"/>
          <w:szCs w:val="20"/>
        </w:rPr>
        <w:lastRenderedPageBreak/>
        <w:t>develop, in collaboration with the IOSEA Marine Turtle MOU, CITES, Ramsar Convention and relevant non-governmental organizations and supported by the Secretariat, a draft Single Species Action Plan for the conservation of Hawksbill Turtles to be presented preferably at the 14th meeting of the Conference of the Parties, to address their trade and use in South-East Asia, and the adjacent Western Pacific, and taking into account the 2019 CITES Report on Status, Scope and Trends of the Legal and Illegal International Trade in Marine Turtles, its Conservation Impacts, Management Options and Mitigation Priorities, as well as the Hawksbill Assessment under preparation by the Advisory Committee of the IOSEA Marine Turtle MOU.</w:t>
      </w:r>
    </w:p>
    <w:p w14:paraId="2AADEA2C" w14:textId="77777777" w:rsidR="009B30D2" w:rsidRDefault="009B30D2" w:rsidP="00D7664D">
      <w:pPr>
        <w:spacing w:after="0" w:line="240" w:lineRule="auto"/>
        <w:jc w:val="both"/>
      </w:pPr>
    </w:p>
    <w:p w14:paraId="05124323" w14:textId="3BB689D8" w:rsidR="006A2703" w:rsidRPr="009B30D2" w:rsidRDefault="7D704E8F" w:rsidP="334B9B29">
      <w:pPr>
        <w:spacing w:after="0" w:line="240" w:lineRule="auto"/>
        <w:jc w:val="both"/>
        <w:rPr>
          <w:u w:val="single"/>
        </w:rPr>
      </w:pPr>
      <w:r w:rsidRPr="009B30D2">
        <w:rPr>
          <w:u w:val="single"/>
        </w:rPr>
        <w:t xml:space="preserve">Activities </w:t>
      </w:r>
      <w:r w:rsidR="28381BE3" w:rsidRPr="009B30D2">
        <w:rPr>
          <w:u w:val="single"/>
        </w:rPr>
        <w:t>to implement Decision</w:t>
      </w:r>
      <w:r w:rsidR="30A26B9C" w:rsidRPr="009B30D2">
        <w:rPr>
          <w:u w:val="single"/>
        </w:rPr>
        <w:t xml:space="preserve"> 1</w:t>
      </w:r>
      <w:r w:rsidR="28381BE3" w:rsidRPr="009B30D2">
        <w:rPr>
          <w:u w:val="single"/>
        </w:rPr>
        <w:t>3.70</w:t>
      </w:r>
    </w:p>
    <w:p w14:paraId="7BBA4962" w14:textId="26A31DF1" w:rsidR="00661875" w:rsidRPr="00661875" w:rsidRDefault="00661875" w:rsidP="741E7FFD">
      <w:pPr>
        <w:spacing w:after="0" w:line="240" w:lineRule="auto"/>
        <w:jc w:val="both"/>
        <w:rPr>
          <w:rFonts w:cs="Arial"/>
          <w:u w:val="single"/>
        </w:rPr>
      </w:pPr>
    </w:p>
    <w:p w14:paraId="349E243F" w14:textId="22E6A336" w:rsidR="00661875" w:rsidRPr="00FF37EB" w:rsidRDefault="2A37D321" w:rsidP="009E6A41">
      <w:pPr>
        <w:widowControl w:val="0"/>
        <w:numPr>
          <w:ilvl w:val="0"/>
          <w:numId w:val="21"/>
        </w:numPr>
        <w:autoSpaceDE w:val="0"/>
        <w:autoSpaceDN w:val="0"/>
        <w:adjustRightInd w:val="0"/>
        <w:spacing w:after="0" w:line="240" w:lineRule="auto"/>
        <w:ind w:left="567" w:hanging="567"/>
        <w:jc w:val="both"/>
        <w:rPr>
          <w:rFonts w:cs="Arial"/>
        </w:rPr>
      </w:pPr>
      <w:r>
        <w:rPr>
          <w:rFonts w:cs="Arial"/>
        </w:rPr>
        <w:t xml:space="preserve">Paragraphs a) and b) of Decision 13.70 </w:t>
      </w:r>
      <w:r w:rsidR="00FF37EB">
        <w:rPr>
          <w:rFonts w:cs="Arial"/>
        </w:rPr>
        <w:t xml:space="preserve">could not be addressed in the </w:t>
      </w:r>
      <w:r w:rsidR="0046446B">
        <w:rPr>
          <w:rFonts w:cs="Arial"/>
        </w:rPr>
        <w:t>current triennium due to a lack of funds and capacity</w:t>
      </w:r>
      <w:r w:rsidR="180C7439">
        <w:rPr>
          <w:rFonts w:cs="Arial"/>
        </w:rPr>
        <w:t xml:space="preserve">. In addition, there is </w:t>
      </w:r>
      <w:r w:rsidR="0046446B">
        <w:rPr>
          <w:rFonts w:cs="Arial"/>
        </w:rPr>
        <w:t>a</w:t>
      </w:r>
      <w:r w:rsidR="00500FCA">
        <w:rPr>
          <w:rFonts w:cs="Arial"/>
        </w:rPr>
        <w:t>n ongoing</w:t>
      </w:r>
      <w:r w:rsidR="0046446B">
        <w:rPr>
          <w:rFonts w:cs="Arial"/>
        </w:rPr>
        <w:t xml:space="preserve"> global review of Regional Management Units (RMUs) for marine turtles</w:t>
      </w:r>
      <w:r w:rsidR="007766AD">
        <w:rPr>
          <w:rFonts w:cs="Arial"/>
        </w:rPr>
        <w:t>, based on the work published in</w:t>
      </w:r>
      <w:r w:rsidR="00FF0009">
        <w:rPr>
          <w:rFonts w:cs="Arial"/>
        </w:rPr>
        <w:t xml:space="preserve"> Wallace et al. </w:t>
      </w:r>
      <w:r w:rsidR="007766AD">
        <w:rPr>
          <w:rFonts w:cs="Arial"/>
        </w:rPr>
        <w:t>(</w:t>
      </w:r>
      <w:r w:rsidR="00FF0009">
        <w:rPr>
          <w:rFonts w:cs="Arial"/>
        </w:rPr>
        <w:t>2010</w:t>
      </w:r>
      <w:r w:rsidR="007766AD">
        <w:rPr>
          <w:rFonts w:cs="Arial"/>
        </w:rPr>
        <w:t>)</w:t>
      </w:r>
      <w:r w:rsidR="00FF0009">
        <w:rPr>
          <w:rStyle w:val="FootnoteReference"/>
          <w:rFonts w:cs="Arial"/>
        </w:rPr>
        <w:footnoteReference w:id="3"/>
      </w:r>
      <w:r w:rsidR="0046446B">
        <w:rPr>
          <w:rFonts w:cs="Arial"/>
        </w:rPr>
        <w:t xml:space="preserve">. </w:t>
      </w:r>
      <w:r w:rsidR="00770970">
        <w:rPr>
          <w:rFonts w:cs="Arial"/>
        </w:rPr>
        <w:t>Once th</w:t>
      </w:r>
      <w:r w:rsidR="0002144D">
        <w:rPr>
          <w:rFonts w:cs="Arial"/>
        </w:rPr>
        <w:t xml:space="preserve">e results of this review have been </w:t>
      </w:r>
      <w:r w:rsidR="00CB5402">
        <w:rPr>
          <w:rFonts w:cs="Arial"/>
        </w:rPr>
        <w:t xml:space="preserve">published, it will form an excellent basis for the review </w:t>
      </w:r>
      <w:r w:rsidR="00B919D8">
        <w:rPr>
          <w:rFonts w:cs="Arial"/>
        </w:rPr>
        <w:t xml:space="preserve">of </w:t>
      </w:r>
      <w:r w:rsidR="00B919D8" w:rsidRPr="00B919D8">
        <w:rPr>
          <w:rFonts w:cs="Arial"/>
        </w:rPr>
        <w:t xml:space="preserve">relevant scientific information on conservation and threats to marine turtles </w:t>
      </w:r>
      <w:r w:rsidR="00B919D8">
        <w:rPr>
          <w:rFonts w:cs="Arial"/>
        </w:rPr>
        <w:t>foreseen</w:t>
      </w:r>
      <w:r w:rsidR="00D13D76">
        <w:rPr>
          <w:rFonts w:cs="Arial"/>
        </w:rPr>
        <w:t xml:space="preserve"> in Decision 13.70 a), as well as the development of recommendations </w:t>
      </w:r>
      <w:r w:rsidR="00B67149">
        <w:rPr>
          <w:rFonts w:cs="Arial"/>
        </w:rPr>
        <w:t>as requested in Decision 13.70 b)</w:t>
      </w:r>
      <w:r w:rsidR="00CB5402">
        <w:rPr>
          <w:rFonts w:cs="Arial"/>
        </w:rPr>
        <w:t>.</w:t>
      </w:r>
      <w:r w:rsidR="00F87F94">
        <w:rPr>
          <w:rFonts w:cs="Arial"/>
        </w:rPr>
        <w:t xml:space="preserve"> </w:t>
      </w:r>
      <w:r w:rsidR="00FF0009">
        <w:rPr>
          <w:rFonts w:cs="Arial"/>
        </w:rPr>
        <w:t>Further</w:t>
      </w:r>
      <w:r w:rsidR="001A4350">
        <w:rPr>
          <w:rFonts w:cs="Arial"/>
        </w:rPr>
        <w:t xml:space="preserve">, the </w:t>
      </w:r>
      <w:r w:rsidR="001A4350" w:rsidRPr="001A4350">
        <w:rPr>
          <w:rFonts w:cs="Arial"/>
        </w:rPr>
        <w:t>Protected Species Climate Vulnerability Assessment (PSCVA) methodology</w:t>
      </w:r>
      <w:r w:rsidR="001A4350">
        <w:rPr>
          <w:rFonts w:cs="Arial"/>
        </w:rPr>
        <w:t xml:space="preserve"> </w:t>
      </w:r>
      <w:r w:rsidR="00AD402C">
        <w:rPr>
          <w:rFonts w:cs="Arial"/>
        </w:rPr>
        <w:t xml:space="preserve">recently </w:t>
      </w:r>
      <w:r w:rsidR="001A4350">
        <w:rPr>
          <w:rFonts w:cs="Arial"/>
        </w:rPr>
        <w:t xml:space="preserve">developed by the United States </w:t>
      </w:r>
      <w:r w:rsidR="003B0545" w:rsidRPr="003B0545">
        <w:rPr>
          <w:rFonts w:cs="Arial"/>
        </w:rPr>
        <w:t>N</w:t>
      </w:r>
      <w:r w:rsidR="00261DA8">
        <w:rPr>
          <w:rFonts w:cs="Arial"/>
        </w:rPr>
        <w:t xml:space="preserve">ational, Oceanic and Atmospheric Administration (NOAA Fisheries) </w:t>
      </w:r>
      <w:r w:rsidR="00753D1B">
        <w:rPr>
          <w:rFonts w:cs="Arial"/>
        </w:rPr>
        <w:t xml:space="preserve">provides an excellent tool for evaluating the vulnerability of different turtle stocks and efforts should be made to </w:t>
      </w:r>
      <w:r w:rsidR="00492DE7">
        <w:rPr>
          <w:rFonts w:cs="Arial"/>
        </w:rPr>
        <w:t>integrate this approach into CMS work on the subject.</w:t>
      </w:r>
    </w:p>
    <w:p w14:paraId="31E1513D" w14:textId="77777777" w:rsidR="00661875" w:rsidRPr="00FF37EB" w:rsidRDefault="00661875" w:rsidP="0099516E">
      <w:pPr>
        <w:spacing w:after="0" w:line="240" w:lineRule="auto"/>
        <w:ind w:left="360"/>
        <w:jc w:val="both"/>
        <w:rPr>
          <w:rFonts w:cs="Arial"/>
          <w:i/>
        </w:rPr>
      </w:pPr>
    </w:p>
    <w:p w14:paraId="2BF66E86" w14:textId="041AD01E" w:rsidR="00661875" w:rsidRPr="00FF37EB" w:rsidRDefault="00786548" w:rsidP="009E6A41">
      <w:pPr>
        <w:widowControl w:val="0"/>
        <w:numPr>
          <w:ilvl w:val="0"/>
          <w:numId w:val="21"/>
        </w:numPr>
        <w:autoSpaceDE w:val="0"/>
        <w:autoSpaceDN w:val="0"/>
        <w:adjustRightInd w:val="0"/>
        <w:spacing w:after="0" w:line="240" w:lineRule="auto"/>
        <w:ind w:left="567" w:hanging="567"/>
        <w:jc w:val="both"/>
        <w:rPr>
          <w:rFonts w:cs="Arial"/>
        </w:rPr>
      </w:pPr>
      <w:r w:rsidRPr="741E7FFD">
        <w:rPr>
          <w:rFonts w:cs="Arial"/>
        </w:rPr>
        <w:t xml:space="preserve">It is therefore proposed to renew </w:t>
      </w:r>
      <w:r w:rsidR="61495470" w:rsidRPr="741E7FFD">
        <w:rPr>
          <w:rFonts w:cs="Arial"/>
        </w:rPr>
        <w:t>this</w:t>
      </w:r>
      <w:r w:rsidRPr="741E7FFD">
        <w:rPr>
          <w:rFonts w:cs="Arial"/>
        </w:rPr>
        <w:t xml:space="preserve"> Decision with slightly amended text, as proposed in </w:t>
      </w:r>
      <w:r w:rsidR="00315D97">
        <w:rPr>
          <w:rFonts w:cs="Arial"/>
        </w:rPr>
        <w:t xml:space="preserve">the </w:t>
      </w:r>
      <w:r w:rsidRPr="741E7FFD">
        <w:rPr>
          <w:rFonts w:cs="Arial"/>
        </w:rPr>
        <w:t xml:space="preserve">Annex to this </w:t>
      </w:r>
      <w:r w:rsidR="00F16C8A" w:rsidRPr="741E7FFD">
        <w:rPr>
          <w:rFonts w:cs="Arial"/>
        </w:rPr>
        <w:t>document.</w:t>
      </w:r>
    </w:p>
    <w:p w14:paraId="27FACA98" w14:textId="77777777" w:rsidR="00661875" w:rsidRDefault="00661875" w:rsidP="0099516E">
      <w:pPr>
        <w:spacing w:after="0" w:line="240" w:lineRule="auto"/>
        <w:jc w:val="both"/>
        <w:rPr>
          <w:rFonts w:cs="Arial"/>
        </w:rPr>
      </w:pPr>
    </w:p>
    <w:p w14:paraId="4116340A" w14:textId="41EB694A" w:rsidR="00661875" w:rsidRPr="00F16C8A" w:rsidRDefault="6390C163" w:rsidP="741E7FFD">
      <w:pPr>
        <w:widowControl w:val="0"/>
        <w:numPr>
          <w:ilvl w:val="0"/>
          <w:numId w:val="21"/>
        </w:numPr>
        <w:spacing w:after="0" w:line="240" w:lineRule="auto"/>
        <w:ind w:left="567" w:hanging="567"/>
        <w:jc w:val="both"/>
        <w:rPr>
          <w:rFonts w:cs="Arial"/>
        </w:rPr>
      </w:pPr>
      <w:r w:rsidRPr="741E7FFD">
        <w:rPr>
          <w:rFonts w:cs="Arial"/>
        </w:rPr>
        <w:t>Paragraph c) of Decision 13.70</w:t>
      </w:r>
      <w:r w:rsidR="2AC0075A" w:rsidRPr="741E7FFD">
        <w:rPr>
          <w:rFonts w:cs="Arial"/>
        </w:rPr>
        <w:t xml:space="preserve"> was fully implemented, and a</w:t>
      </w:r>
      <w:r w:rsidR="004F6DD0">
        <w:rPr>
          <w:rFonts w:cs="Arial"/>
        </w:rPr>
        <w:t xml:space="preserve"> </w:t>
      </w:r>
      <w:r w:rsidR="2AC0075A" w:rsidRPr="00590FDF">
        <w:rPr>
          <w:rFonts w:cs="Arial"/>
          <w:i/>
        </w:rPr>
        <w:t>Single Species Action Plan for the Hawksbill Turtle (</w:t>
      </w:r>
      <w:r w:rsidR="2AC0075A" w:rsidRPr="00235BC6">
        <w:rPr>
          <w:rFonts w:cs="Arial"/>
          <w:i/>
          <w:iCs/>
        </w:rPr>
        <w:t>Eretmochelys imbricata</w:t>
      </w:r>
      <w:r w:rsidR="2AC0075A" w:rsidRPr="00590FDF">
        <w:rPr>
          <w:rFonts w:cs="Arial"/>
          <w:i/>
        </w:rPr>
        <w:t>) in South-East Asia and the Western Pacific Ocean Region</w:t>
      </w:r>
      <w:r w:rsidR="2AC0075A" w:rsidRPr="741E7FFD">
        <w:rPr>
          <w:rFonts w:cs="Arial"/>
        </w:rPr>
        <w:t xml:space="preserve"> has been finalized. </w:t>
      </w:r>
      <w:r w:rsidR="00801DEF" w:rsidRPr="741E7FFD">
        <w:rPr>
          <w:rFonts w:cs="Arial"/>
        </w:rPr>
        <w:t xml:space="preserve">Please refer to </w:t>
      </w:r>
      <w:hyperlink r:id="rId21" w:history="1">
        <w:r w:rsidR="001D25E8" w:rsidRPr="00D7664D">
          <w:rPr>
            <w:rStyle w:val="Hyperlink"/>
            <w:rFonts w:cs="Arial"/>
          </w:rPr>
          <w:t>UNEP/CMS/COP14/Doc.27.6.2</w:t>
        </w:r>
      </w:hyperlink>
      <w:r w:rsidR="001A385E">
        <w:rPr>
          <w:rFonts w:cs="Arial"/>
        </w:rPr>
        <w:t>.</w:t>
      </w:r>
      <w:r w:rsidR="409BC709" w:rsidRPr="741E7FFD">
        <w:rPr>
          <w:rFonts w:cs="Arial"/>
        </w:rPr>
        <w:t xml:space="preserve"> It is therefore proposed to delete this paragraph of the Decision.</w:t>
      </w:r>
    </w:p>
    <w:p w14:paraId="4C64BC10" w14:textId="77777777" w:rsidR="006A2703" w:rsidRPr="00F16C8A" w:rsidRDefault="006A2703" w:rsidP="334B9B29">
      <w:pPr>
        <w:spacing w:after="0" w:line="240" w:lineRule="auto"/>
        <w:ind w:left="567" w:hanging="567"/>
        <w:jc w:val="both"/>
        <w:rPr>
          <w:rFonts w:cs="Arial"/>
        </w:rPr>
      </w:pPr>
    </w:p>
    <w:p w14:paraId="6858FDF1" w14:textId="3349A552" w:rsidR="007C1D82" w:rsidRPr="0022706B" w:rsidRDefault="007C1D82" w:rsidP="007C1D82">
      <w:pPr>
        <w:spacing w:after="0" w:line="240" w:lineRule="auto"/>
        <w:jc w:val="both"/>
        <w:rPr>
          <w:rFonts w:cs="Arial"/>
          <w:i/>
          <w:iCs/>
          <w:u w:val="single"/>
        </w:rPr>
      </w:pPr>
      <w:r>
        <w:rPr>
          <w:rFonts w:cs="Arial"/>
          <w:u w:val="single"/>
        </w:rPr>
        <w:t>Turtle Bycatch</w:t>
      </w:r>
      <w:r w:rsidR="00AE77D1">
        <w:rPr>
          <w:rFonts w:cs="Arial"/>
          <w:u w:val="single"/>
        </w:rPr>
        <w:t xml:space="preserve"> Mitigation</w:t>
      </w:r>
      <w:r>
        <w:rPr>
          <w:rFonts w:cs="Arial"/>
          <w:u w:val="single"/>
        </w:rPr>
        <w:t xml:space="preserve"> Initiative</w:t>
      </w:r>
    </w:p>
    <w:p w14:paraId="3912EDBA" w14:textId="77777777" w:rsidR="007C1D82" w:rsidRPr="00CD0FE9" w:rsidRDefault="007C1D82" w:rsidP="334B9B29">
      <w:pPr>
        <w:spacing w:after="0" w:line="240" w:lineRule="auto"/>
        <w:jc w:val="both"/>
        <w:rPr>
          <w:rFonts w:cs="Arial"/>
        </w:rPr>
      </w:pPr>
    </w:p>
    <w:p w14:paraId="2636D6FB" w14:textId="6B91A3AE" w:rsidR="007C1D82" w:rsidRDefault="0073035E" w:rsidP="334B9B29">
      <w:pPr>
        <w:widowControl w:val="0"/>
        <w:numPr>
          <w:ilvl w:val="0"/>
          <w:numId w:val="21"/>
        </w:numPr>
        <w:autoSpaceDE w:val="0"/>
        <w:autoSpaceDN w:val="0"/>
        <w:adjustRightInd w:val="0"/>
        <w:spacing w:after="0" w:line="240" w:lineRule="auto"/>
        <w:ind w:left="567" w:hanging="567"/>
        <w:jc w:val="both"/>
        <w:rPr>
          <w:rFonts w:cs="Arial"/>
        </w:rPr>
      </w:pPr>
      <w:r>
        <w:rPr>
          <w:rFonts w:cs="Arial"/>
        </w:rPr>
        <w:t>T</w:t>
      </w:r>
      <w:r w:rsidR="00D501C9">
        <w:rPr>
          <w:rFonts w:cs="Arial"/>
        </w:rPr>
        <w:t xml:space="preserve">here is </w:t>
      </w:r>
      <w:r w:rsidR="00F30F49">
        <w:rPr>
          <w:rFonts w:cs="Arial"/>
        </w:rPr>
        <w:t xml:space="preserve">no current global overview of available bycatch mitigation measures for marine turtles for all types of fisheries. </w:t>
      </w:r>
      <w:r>
        <w:rPr>
          <w:rFonts w:cs="Arial"/>
        </w:rPr>
        <w:t>Accordingly, t</w:t>
      </w:r>
      <w:r w:rsidR="2B8C16D3" w:rsidRPr="741E7FFD">
        <w:rPr>
          <w:rFonts w:cs="Arial"/>
        </w:rPr>
        <w:t xml:space="preserve">he </w:t>
      </w:r>
      <w:r w:rsidR="00E03AF9" w:rsidRPr="741E7FFD">
        <w:rPr>
          <w:rFonts w:cs="Arial"/>
        </w:rPr>
        <w:t>Advisory Committee of the IOSEA Marine Turtle MOU</w:t>
      </w:r>
      <w:r w:rsidR="6E3465E0" w:rsidRPr="741E7FFD">
        <w:rPr>
          <w:rFonts w:cs="Arial"/>
        </w:rPr>
        <w:t xml:space="preserve"> identified </w:t>
      </w:r>
      <w:r w:rsidR="00E03AF9" w:rsidRPr="741E7FFD">
        <w:rPr>
          <w:rFonts w:cs="Arial"/>
        </w:rPr>
        <w:t xml:space="preserve">the </w:t>
      </w:r>
      <w:r w:rsidR="00E67E86" w:rsidRPr="741E7FFD">
        <w:rPr>
          <w:rFonts w:cs="Arial"/>
        </w:rPr>
        <w:t xml:space="preserve">need for </w:t>
      </w:r>
      <w:r w:rsidR="00CC5359" w:rsidRPr="741E7FFD">
        <w:rPr>
          <w:rFonts w:cs="Arial"/>
        </w:rPr>
        <w:t>more</w:t>
      </w:r>
      <w:r w:rsidR="00E67E86" w:rsidRPr="741E7FFD">
        <w:rPr>
          <w:rFonts w:cs="Arial"/>
        </w:rPr>
        <w:t xml:space="preserve"> focus on </w:t>
      </w:r>
      <w:r w:rsidR="01A93EE2" w:rsidRPr="741E7FFD">
        <w:rPr>
          <w:rFonts w:cs="Arial"/>
        </w:rPr>
        <w:t>this key threat</w:t>
      </w:r>
      <w:r w:rsidR="20D51A2E" w:rsidRPr="741E7FFD">
        <w:rPr>
          <w:rFonts w:cs="Arial"/>
        </w:rPr>
        <w:t xml:space="preserve">, </w:t>
      </w:r>
      <w:r w:rsidR="00D659EA" w:rsidRPr="741E7FFD">
        <w:rPr>
          <w:rFonts w:cs="Arial"/>
        </w:rPr>
        <w:t xml:space="preserve">starting with </w:t>
      </w:r>
      <w:r w:rsidR="00510AA0" w:rsidRPr="741E7FFD">
        <w:rPr>
          <w:rFonts w:cs="Arial"/>
        </w:rPr>
        <w:t>an overview of th</w:t>
      </w:r>
      <w:r w:rsidR="00D00783" w:rsidRPr="741E7FFD">
        <w:rPr>
          <w:rFonts w:cs="Arial"/>
        </w:rPr>
        <w:t>e status of knowledge</w:t>
      </w:r>
      <w:r w:rsidR="00200151">
        <w:rPr>
          <w:rFonts w:cs="Arial"/>
        </w:rPr>
        <w:t xml:space="preserve"> regarding </w:t>
      </w:r>
      <w:r w:rsidR="006C6C40">
        <w:rPr>
          <w:rFonts w:cs="Arial"/>
        </w:rPr>
        <w:t>turtle bycatch mitigation</w:t>
      </w:r>
      <w:r w:rsidR="00D00783" w:rsidRPr="741E7FFD">
        <w:rPr>
          <w:rFonts w:cs="Arial"/>
        </w:rPr>
        <w:t xml:space="preserve">, similar to what had been produced regarding marine mammal bycatch mitigation </w:t>
      </w:r>
      <w:r w:rsidR="00D03772" w:rsidRPr="741E7FFD">
        <w:rPr>
          <w:rFonts w:cs="Arial"/>
        </w:rPr>
        <w:t xml:space="preserve">as presented in </w:t>
      </w:r>
      <w:hyperlink r:id="rId22" w:history="1">
        <w:r w:rsidR="00875307" w:rsidRPr="004B4FBA">
          <w:rPr>
            <w:rStyle w:val="Hyperlink"/>
            <w:rFonts w:cs="Arial"/>
          </w:rPr>
          <w:t>UNEP/</w:t>
        </w:r>
        <w:r w:rsidR="00D03772" w:rsidRPr="004B4FBA">
          <w:rPr>
            <w:rStyle w:val="Hyperlink"/>
            <w:rFonts w:cs="Arial"/>
          </w:rPr>
          <w:t>CMS/COP13/Inf.11</w:t>
        </w:r>
      </w:hyperlink>
      <w:r w:rsidR="003457CE">
        <w:rPr>
          <w:rFonts w:cs="Arial"/>
        </w:rPr>
        <w:t xml:space="preserve">, solo disponible en inglés. </w:t>
      </w:r>
      <w:r w:rsidR="00D03772" w:rsidRPr="741E7FFD">
        <w:rPr>
          <w:rFonts w:cs="Arial"/>
        </w:rPr>
        <w:t xml:space="preserve">Details on </w:t>
      </w:r>
      <w:r w:rsidR="73FAEEF9" w:rsidRPr="741E7FFD">
        <w:rPr>
          <w:rFonts w:cs="Arial"/>
        </w:rPr>
        <w:t xml:space="preserve">a </w:t>
      </w:r>
      <w:r w:rsidR="00D03772" w:rsidRPr="741E7FFD">
        <w:rPr>
          <w:rFonts w:cs="Arial"/>
        </w:rPr>
        <w:t xml:space="preserve">proposed way forward, which foresee this as a joint initiative between CMS and the IOSEA Marine Turtle MOU, </w:t>
      </w:r>
      <w:r w:rsidR="0042463F" w:rsidRPr="741E7FFD">
        <w:rPr>
          <w:rFonts w:cs="Arial"/>
        </w:rPr>
        <w:t xml:space="preserve">are presented in </w:t>
      </w:r>
      <w:hyperlink r:id="rId23" w:history="1">
        <w:r w:rsidR="001A385E" w:rsidRPr="007B6FE6">
          <w:rPr>
            <w:rStyle w:val="Hyperlink"/>
            <w:rFonts w:cs="Arial"/>
          </w:rPr>
          <w:t>UNEP/CMS/COP14/Doc.27.1.1</w:t>
        </w:r>
      </w:hyperlink>
      <w:r w:rsidR="001A385E">
        <w:rPr>
          <w:rFonts w:cs="Arial"/>
        </w:rPr>
        <w:t xml:space="preserve"> </w:t>
      </w:r>
      <w:r w:rsidR="0042463F" w:rsidRPr="00C24740">
        <w:rPr>
          <w:rFonts w:cs="Arial"/>
          <w:i/>
          <w:iCs/>
        </w:rPr>
        <w:t>Bycatch</w:t>
      </w:r>
      <w:r w:rsidR="0042463F" w:rsidRPr="741E7FFD">
        <w:rPr>
          <w:rFonts w:cs="Arial"/>
        </w:rPr>
        <w:t xml:space="preserve"> and the associated draft Decisions.</w:t>
      </w:r>
    </w:p>
    <w:p w14:paraId="3E90428E" w14:textId="2BDB2C72" w:rsidR="00CC5359" w:rsidRDefault="00CC5359" w:rsidP="00905499">
      <w:pPr>
        <w:spacing w:after="0" w:line="240" w:lineRule="auto"/>
        <w:jc w:val="both"/>
        <w:rPr>
          <w:rFonts w:cs="Arial"/>
          <w:u w:val="single"/>
        </w:rPr>
      </w:pPr>
    </w:p>
    <w:p w14:paraId="126F8932" w14:textId="013DE53F" w:rsidR="00661875" w:rsidRPr="00CD0FE9" w:rsidRDefault="00661875" w:rsidP="00905499">
      <w:pPr>
        <w:spacing w:after="0" w:line="240" w:lineRule="auto"/>
        <w:jc w:val="both"/>
        <w:rPr>
          <w:rFonts w:cs="Arial"/>
          <w:u w:val="single"/>
        </w:rPr>
      </w:pPr>
      <w:r w:rsidRPr="00CD0FE9">
        <w:rPr>
          <w:rFonts w:cs="Arial"/>
          <w:u w:val="single"/>
        </w:rPr>
        <w:t>Discussion and analysis</w:t>
      </w:r>
    </w:p>
    <w:p w14:paraId="5BEF0D0B" w14:textId="77777777" w:rsidR="00661875" w:rsidRPr="00CD0FE9" w:rsidRDefault="00661875" w:rsidP="334B9B29">
      <w:pPr>
        <w:spacing w:after="0" w:line="240" w:lineRule="auto"/>
        <w:jc w:val="both"/>
        <w:rPr>
          <w:rFonts w:cs="Arial"/>
        </w:rPr>
      </w:pPr>
    </w:p>
    <w:p w14:paraId="1B871853" w14:textId="2EEDCBFC" w:rsidR="00FB402E" w:rsidRPr="00FD3052" w:rsidRDefault="00712FA7">
      <w:pPr>
        <w:widowControl w:val="0"/>
        <w:numPr>
          <w:ilvl w:val="0"/>
          <w:numId w:val="21"/>
        </w:numPr>
        <w:autoSpaceDE w:val="0"/>
        <w:autoSpaceDN w:val="0"/>
        <w:adjustRightInd w:val="0"/>
        <w:spacing w:after="0" w:line="240" w:lineRule="auto"/>
        <w:ind w:left="567" w:hanging="567"/>
        <w:jc w:val="both"/>
        <w:rPr>
          <w:rFonts w:cs="Arial"/>
        </w:rPr>
      </w:pPr>
      <w:r w:rsidRPr="65D3F9D9">
        <w:rPr>
          <w:rFonts w:cs="Arial"/>
        </w:rPr>
        <w:t xml:space="preserve">Given the </w:t>
      </w:r>
      <w:r w:rsidR="00D258C7" w:rsidRPr="65D3F9D9">
        <w:rPr>
          <w:rFonts w:cs="Arial"/>
        </w:rPr>
        <w:t xml:space="preserve">concerning conservation status of all marine turtle species, developing science-based </w:t>
      </w:r>
      <w:r w:rsidR="00A51014" w:rsidRPr="65D3F9D9">
        <w:rPr>
          <w:rFonts w:cs="Arial"/>
        </w:rPr>
        <w:t>and region- and species-specific recommendations for conservation measures</w:t>
      </w:r>
      <w:r w:rsidR="000B7600" w:rsidRPr="65D3F9D9">
        <w:rPr>
          <w:rFonts w:cs="Arial"/>
        </w:rPr>
        <w:t>,</w:t>
      </w:r>
      <w:r w:rsidR="00A51014" w:rsidRPr="65D3F9D9">
        <w:rPr>
          <w:rFonts w:cs="Arial"/>
        </w:rPr>
        <w:t xml:space="preserve"> and addressing critical knowledge gaps</w:t>
      </w:r>
      <w:r w:rsidR="00E01808" w:rsidRPr="65D3F9D9">
        <w:rPr>
          <w:rFonts w:cs="Arial"/>
        </w:rPr>
        <w:t>,</w:t>
      </w:r>
      <w:r w:rsidR="00A51014" w:rsidRPr="65D3F9D9">
        <w:rPr>
          <w:rFonts w:cs="Arial"/>
        </w:rPr>
        <w:t xml:space="preserve"> remain priorit</w:t>
      </w:r>
      <w:r w:rsidR="00E01808" w:rsidRPr="65D3F9D9">
        <w:rPr>
          <w:rFonts w:cs="Arial"/>
        </w:rPr>
        <w:t>ies</w:t>
      </w:r>
      <w:r w:rsidR="00A51014" w:rsidRPr="65D3F9D9">
        <w:rPr>
          <w:rFonts w:cs="Arial"/>
        </w:rPr>
        <w:t xml:space="preserve">. </w:t>
      </w:r>
      <w:r w:rsidR="46E80A13" w:rsidRPr="65D3F9D9">
        <w:rPr>
          <w:rFonts w:cs="Arial"/>
        </w:rPr>
        <w:t>Therefore</w:t>
      </w:r>
      <w:r w:rsidR="007D694B">
        <w:rPr>
          <w:rFonts w:cs="Arial"/>
        </w:rPr>
        <w:t>,</w:t>
      </w:r>
      <w:r w:rsidR="46E80A13" w:rsidRPr="65D3F9D9">
        <w:rPr>
          <w:rFonts w:cs="Arial"/>
        </w:rPr>
        <w:t xml:space="preserve"> the </w:t>
      </w:r>
      <w:r w:rsidR="001E38D5" w:rsidRPr="65D3F9D9">
        <w:rPr>
          <w:rFonts w:cs="Arial"/>
        </w:rPr>
        <w:t xml:space="preserve">review foreseen in </w:t>
      </w:r>
      <w:r w:rsidR="00A87533" w:rsidRPr="65D3F9D9">
        <w:rPr>
          <w:rFonts w:cs="Arial"/>
        </w:rPr>
        <w:t xml:space="preserve">Decision </w:t>
      </w:r>
      <w:r w:rsidR="002A4C0A" w:rsidRPr="65D3F9D9">
        <w:rPr>
          <w:rFonts w:cs="Arial"/>
        </w:rPr>
        <w:t>13.70</w:t>
      </w:r>
      <w:r w:rsidR="6A9199D0" w:rsidRPr="65D3F9D9">
        <w:rPr>
          <w:rFonts w:cs="Arial"/>
        </w:rPr>
        <w:t xml:space="preserve"> a) and b) is still warranted. </w:t>
      </w:r>
    </w:p>
    <w:p w14:paraId="3228D341" w14:textId="77777777" w:rsidR="00D85B3E" w:rsidRDefault="00D85B3E">
      <w:pPr>
        <w:rPr>
          <w:rFonts w:cs="Arial"/>
          <w:u w:val="single"/>
        </w:rPr>
      </w:pPr>
      <w:r>
        <w:rPr>
          <w:rFonts w:cs="Arial"/>
          <w:u w:val="single"/>
        </w:rPr>
        <w:br w:type="page"/>
      </w:r>
    </w:p>
    <w:p w14:paraId="25D5D96F" w14:textId="620342DC" w:rsidR="00661875" w:rsidRDefault="00661875" w:rsidP="334B9B29">
      <w:pPr>
        <w:spacing w:after="0" w:line="240" w:lineRule="auto"/>
        <w:jc w:val="both"/>
        <w:rPr>
          <w:rFonts w:cs="Arial"/>
          <w:u w:val="single"/>
        </w:rPr>
      </w:pPr>
      <w:r w:rsidRPr="00CD0FE9">
        <w:rPr>
          <w:rFonts w:cs="Arial"/>
          <w:u w:val="single"/>
        </w:rPr>
        <w:lastRenderedPageBreak/>
        <w:t>Recommended actions</w:t>
      </w:r>
    </w:p>
    <w:p w14:paraId="7DCAA405" w14:textId="77777777" w:rsidR="00D85B3E" w:rsidRPr="00CD0FE9" w:rsidRDefault="00D85B3E" w:rsidP="334B9B29">
      <w:pPr>
        <w:spacing w:after="0" w:line="240" w:lineRule="auto"/>
        <w:jc w:val="both"/>
        <w:rPr>
          <w:rFonts w:cs="Arial"/>
        </w:rPr>
      </w:pPr>
    </w:p>
    <w:p w14:paraId="4DA1BFBB" w14:textId="77777777" w:rsidR="00661875" w:rsidRPr="00CD0FE9" w:rsidRDefault="00661875" w:rsidP="00950724">
      <w:pPr>
        <w:widowControl w:val="0"/>
        <w:numPr>
          <w:ilvl w:val="0"/>
          <w:numId w:val="21"/>
        </w:numPr>
        <w:autoSpaceDE w:val="0"/>
        <w:autoSpaceDN w:val="0"/>
        <w:adjustRightInd w:val="0"/>
        <w:spacing w:after="0" w:line="240" w:lineRule="auto"/>
        <w:ind w:left="567" w:hanging="567"/>
        <w:jc w:val="both"/>
        <w:rPr>
          <w:rFonts w:cs="Arial"/>
        </w:rPr>
      </w:pPr>
      <w:r w:rsidRPr="741E7FFD">
        <w:rPr>
          <w:rFonts w:cs="Arial"/>
          <w:lang w:eastAsia="en-GB"/>
        </w:rPr>
        <w:t>The Conference of the Parties is recommended to</w:t>
      </w:r>
      <w:r w:rsidRPr="741E7FFD">
        <w:rPr>
          <w:rFonts w:cs="Arial"/>
        </w:rPr>
        <w:t>:</w:t>
      </w:r>
    </w:p>
    <w:p w14:paraId="5731D53E" w14:textId="77777777" w:rsidR="00831DC2" w:rsidRPr="00831DC2" w:rsidRDefault="00831DC2" w:rsidP="00D65CA3">
      <w:pPr>
        <w:pStyle w:val="Secondnumbering"/>
        <w:numPr>
          <w:ilvl w:val="0"/>
          <w:numId w:val="0"/>
        </w:numPr>
        <w:jc w:val="both"/>
      </w:pPr>
    </w:p>
    <w:p w14:paraId="4073E323" w14:textId="6DEAF8BE" w:rsidR="00F96904" w:rsidRDefault="00F96904" w:rsidP="00D85B3E">
      <w:pPr>
        <w:pStyle w:val="Secondnumbering"/>
        <w:ind w:left="1080"/>
        <w:jc w:val="both"/>
      </w:pPr>
      <w:r>
        <w:t xml:space="preserve">Adopt </w:t>
      </w:r>
      <w:r w:rsidR="00815985">
        <w:t>the draft Decision</w:t>
      </w:r>
      <w:r w:rsidR="00150BA7">
        <w:t>s</w:t>
      </w:r>
      <w:r w:rsidR="00DC72DD">
        <w:t xml:space="preserve"> as</w:t>
      </w:r>
      <w:r w:rsidR="00815985">
        <w:t xml:space="preserve"> contained in the Annex</w:t>
      </w:r>
      <w:r w:rsidR="0096370D">
        <w:t xml:space="preserve"> of this document</w:t>
      </w:r>
      <w:r w:rsidR="00150BA7">
        <w:t>;</w:t>
      </w:r>
    </w:p>
    <w:p w14:paraId="061C4B5F" w14:textId="77777777" w:rsidR="007547C6" w:rsidRPr="00695AAD" w:rsidRDefault="007547C6" w:rsidP="00D85B3E">
      <w:pPr>
        <w:pStyle w:val="Secondnumbering"/>
        <w:numPr>
          <w:ilvl w:val="0"/>
          <w:numId w:val="0"/>
        </w:numPr>
        <w:ind w:left="1080" w:hanging="360"/>
        <w:jc w:val="both"/>
      </w:pPr>
    </w:p>
    <w:p w14:paraId="7790D569" w14:textId="05F21FB9" w:rsidR="007547C6" w:rsidRPr="00950724" w:rsidRDefault="007547C6" w:rsidP="00D85B3E">
      <w:pPr>
        <w:pStyle w:val="Secondnumbering"/>
        <w:ind w:left="1080"/>
        <w:jc w:val="both"/>
      </w:pPr>
      <w:r w:rsidRPr="741E7FFD">
        <w:rPr>
          <w:rFonts w:cs="Arial"/>
        </w:rPr>
        <w:t>delete Decision 13.69</w:t>
      </w:r>
      <w:r w:rsidR="004B4FBA">
        <w:rPr>
          <w:rFonts w:cs="Arial"/>
        </w:rPr>
        <w:t xml:space="preserve"> </w:t>
      </w:r>
      <w:r>
        <w:rPr>
          <w:rFonts w:cs="Arial"/>
        </w:rPr>
        <w:t>and 13.70</w:t>
      </w:r>
      <w:r w:rsidR="00150BA7">
        <w:rPr>
          <w:rFonts w:cs="Arial"/>
        </w:rPr>
        <w:t>.</w:t>
      </w:r>
    </w:p>
    <w:p w14:paraId="648DCE6F" w14:textId="71D1D92D" w:rsidR="00C15318" w:rsidRPr="00695AAD" w:rsidRDefault="00C15318" w:rsidP="334B9B29">
      <w:pPr>
        <w:pStyle w:val="ListParagraph"/>
        <w:spacing w:after="0" w:line="240" w:lineRule="auto"/>
        <w:jc w:val="both"/>
        <w:rPr>
          <w:rFonts w:cs="Arial"/>
        </w:rPr>
      </w:pPr>
    </w:p>
    <w:p w14:paraId="3A2BE21F" w14:textId="0E691EDE" w:rsidR="007D77D9" w:rsidRPr="00C15318" w:rsidRDefault="007D77D9" w:rsidP="00DF1A57">
      <w:pPr>
        <w:pStyle w:val="Secondnumbering"/>
        <w:numPr>
          <w:ilvl w:val="0"/>
          <w:numId w:val="0"/>
        </w:numPr>
      </w:pPr>
    </w:p>
    <w:p w14:paraId="408E8878" w14:textId="77777777" w:rsidR="002C6BD6" w:rsidRPr="00392513" w:rsidRDefault="002C6BD6" w:rsidP="0099516E">
      <w:pPr>
        <w:spacing w:after="0" w:line="240" w:lineRule="auto"/>
        <w:rPr>
          <w:rFonts w:cs="Arial"/>
          <w:caps/>
          <w:lang w:val="en-US"/>
        </w:rPr>
        <w:sectPr w:rsidR="002C6BD6" w:rsidRPr="00392513" w:rsidSect="00067774">
          <w:headerReference w:type="even" r:id="rId24"/>
          <w:headerReference w:type="default" r:id="rId25"/>
          <w:footerReference w:type="default" r:id="rId26"/>
          <w:headerReference w:type="first" r:id="rId27"/>
          <w:footerReference w:type="first" r:id="rId28"/>
          <w:pgSz w:w="11906" w:h="16838" w:code="9"/>
          <w:pgMar w:top="1440" w:right="1440" w:bottom="1440" w:left="1440" w:header="720" w:footer="720" w:gutter="0"/>
          <w:cols w:space="720"/>
          <w:titlePg/>
          <w:docGrid w:linePitch="360"/>
        </w:sectPr>
      </w:pPr>
    </w:p>
    <w:p w14:paraId="14291FF7" w14:textId="15942509" w:rsidR="00DD07FD" w:rsidRPr="00CD0FE9" w:rsidRDefault="00DD07FD" w:rsidP="0099516E">
      <w:pPr>
        <w:spacing w:after="0" w:line="240" w:lineRule="auto"/>
        <w:jc w:val="right"/>
        <w:rPr>
          <w:rFonts w:cs="Arial"/>
          <w:b/>
          <w:bCs/>
          <w:caps/>
        </w:rPr>
      </w:pPr>
      <w:r w:rsidRPr="741E7FFD">
        <w:rPr>
          <w:rFonts w:cs="Arial"/>
          <w:b/>
          <w:bCs/>
          <w:caps/>
        </w:rPr>
        <w:lastRenderedPageBreak/>
        <w:t>Annex</w:t>
      </w:r>
    </w:p>
    <w:p w14:paraId="08BBF916" w14:textId="77777777" w:rsidR="00DD07FD" w:rsidRPr="00CD0FE9" w:rsidRDefault="00DD07FD" w:rsidP="0099516E">
      <w:pPr>
        <w:spacing w:after="0" w:line="240" w:lineRule="auto"/>
        <w:rPr>
          <w:rFonts w:cs="Arial"/>
        </w:rPr>
      </w:pPr>
    </w:p>
    <w:p w14:paraId="398FED21" w14:textId="5290DD2E" w:rsidR="00DD07FD" w:rsidRDefault="00DD07FD" w:rsidP="0099516E">
      <w:pPr>
        <w:spacing w:after="0" w:line="240" w:lineRule="auto"/>
        <w:jc w:val="center"/>
        <w:rPr>
          <w:rFonts w:cs="Arial"/>
        </w:rPr>
      </w:pPr>
      <w:r>
        <w:rPr>
          <w:rFonts w:cs="Arial"/>
        </w:rPr>
        <w:t>DRAFT</w:t>
      </w:r>
      <w:r w:rsidRPr="00CD0FE9">
        <w:rPr>
          <w:rFonts w:cs="Arial"/>
        </w:rPr>
        <w:t xml:space="preserve"> DECISION</w:t>
      </w:r>
      <w:r w:rsidR="006A2703">
        <w:rPr>
          <w:rFonts w:cs="Arial"/>
        </w:rPr>
        <w:t>S</w:t>
      </w:r>
    </w:p>
    <w:p w14:paraId="3610FD44" w14:textId="44D0F4BE" w:rsidR="00BE0EA7" w:rsidRDefault="00BE0EA7" w:rsidP="0099516E">
      <w:pPr>
        <w:spacing w:after="0" w:line="240" w:lineRule="auto"/>
        <w:jc w:val="center"/>
        <w:rPr>
          <w:rFonts w:cs="Arial"/>
        </w:rPr>
      </w:pPr>
    </w:p>
    <w:p w14:paraId="6188D398" w14:textId="77777777" w:rsidR="00DD07FD" w:rsidRPr="00CD0FE9" w:rsidRDefault="00DD07FD" w:rsidP="0099516E">
      <w:pPr>
        <w:spacing w:after="0" w:line="240" w:lineRule="auto"/>
        <w:jc w:val="center"/>
        <w:rPr>
          <w:rFonts w:cs="Arial"/>
        </w:rPr>
      </w:pPr>
    </w:p>
    <w:p w14:paraId="592A486E" w14:textId="4D209A14" w:rsidR="00DD07FD" w:rsidRDefault="006A2703" w:rsidP="0099516E">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r>
        <w:rPr>
          <w:rFonts w:cs="Arial"/>
          <w:b/>
          <w:caps/>
        </w:rPr>
        <w:t>MARINE Turtles</w:t>
      </w:r>
    </w:p>
    <w:p w14:paraId="44CB451B" w14:textId="77777777" w:rsidR="00DD07FD" w:rsidRDefault="00DD07FD" w:rsidP="0099516E">
      <w:pPr>
        <w:spacing w:after="0" w:line="240" w:lineRule="auto"/>
        <w:jc w:val="both"/>
        <w:rPr>
          <w:rFonts w:cs="Arial"/>
        </w:rPr>
      </w:pPr>
    </w:p>
    <w:p w14:paraId="117204AD" w14:textId="77777777" w:rsidR="001C009A" w:rsidRDefault="001C009A" w:rsidP="0099516E">
      <w:pPr>
        <w:spacing w:after="0" w:line="240" w:lineRule="auto"/>
        <w:jc w:val="both"/>
        <w:rPr>
          <w:rFonts w:cs="Arial"/>
        </w:rPr>
      </w:pPr>
    </w:p>
    <w:p w14:paraId="5F172726" w14:textId="4493A4F0" w:rsidR="001C009A" w:rsidRPr="00220FA9" w:rsidDel="00ED4C91" w:rsidRDefault="001C009A" w:rsidP="001C009A">
      <w:pPr>
        <w:pStyle w:val="paragraph"/>
        <w:spacing w:before="0" w:beforeAutospacing="0" w:after="0" w:afterAutospacing="0"/>
        <w:jc w:val="both"/>
        <w:textAlignment w:val="baseline"/>
        <w:rPr>
          <w:rFonts w:ascii="Arial" w:hAnsi="Arial" w:cs="Arial"/>
          <w:sz w:val="22"/>
          <w:szCs w:val="22"/>
        </w:rPr>
      </w:pPr>
      <w:r w:rsidDel="00ED4C91">
        <w:rPr>
          <w:rStyle w:val="normaltextrun"/>
          <w:rFonts w:ascii="Arial" w:hAnsi="Arial" w:cs="Arial"/>
          <w:b/>
          <w:bCs/>
          <w:i/>
          <w:iCs/>
          <w:sz w:val="22"/>
          <w:szCs w:val="22"/>
        </w:rPr>
        <w:t>Directed to Parties</w:t>
      </w:r>
    </w:p>
    <w:p w14:paraId="0E6D5120" w14:textId="6F2B6134" w:rsidR="001C009A" w:rsidDel="00ED4C91" w:rsidRDefault="001C009A" w:rsidP="001C009A">
      <w:pPr>
        <w:pStyle w:val="paragraph"/>
        <w:spacing w:before="0" w:beforeAutospacing="0" w:after="0" w:afterAutospacing="0"/>
        <w:ind w:left="840" w:hanging="840"/>
        <w:jc w:val="both"/>
        <w:textAlignment w:val="baseline"/>
        <w:rPr>
          <w:rStyle w:val="eop"/>
          <w:rFonts w:ascii="Arial" w:hAnsi="Arial" w:cs="Arial"/>
          <w:sz w:val="22"/>
          <w:szCs w:val="22"/>
        </w:rPr>
      </w:pPr>
    </w:p>
    <w:p w14:paraId="0CCA1A9D" w14:textId="2FB036D4" w:rsidR="001C009A" w:rsidRPr="00220FA9" w:rsidDel="00ED4C91" w:rsidRDefault="001C009A" w:rsidP="00D85B3E">
      <w:pPr>
        <w:pStyle w:val="paragraph"/>
        <w:spacing w:before="0" w:beforeAutospacing="0" w:after="0" w:afterAutospacing="0"/>
        <w:ind w:left="720" w:hanging="720"/>
        <w:jc w:val="both"/>
        <w:textAlignment w:val="baseline"/>
        <w:rPr>
          <w:rFonts w:ascii="Arial" w:hAnsi="Arial" w:cs="Arial"/>
          <w:sz w:val="22"/>
          <w:szCs w:val="22"/>
        </w:rPr>
      </w:pPr>
      <w:r w:rsidDel="00ED4C91">
        <w:rPr>
          <w:rStyle w:val="normaltextrun"/>
          <w:rFonts w:ascii="Arial" w:hAnsi="Arial" w:cs="Arial"/>
          <w:sz w:val="22"/>
          <w:szCs w:val="22"/>
        </w:rPr>
        <w:t>14.AA</w:t>
      </w:r>
      <w:r w:rsidRPr="00220FA9" w:rsidDel="00ED4C91">
        <w:rPr>
          <w:rStyle w:val="tabchar"/>
          <w:rFonts w:ascii="Arial" w:hAnsi="Arial" w:cs="Arial"/>
          <w:sz w:val="22"/>
          <w:szCs w:val="22"/>
        </w:rPr>
        <w:tab/>
      </w:r>
      <w:r w:rsidDel="00ED4C91">
        <w:rPr>
          <w:rStyle w:val="normaltextrun"/>
          <w:rFonts w:ascii="Arial" w:hAnsi="Arial" w:cs="Arial"/>
          <w:sz w:val="22"/>
          <w:szCs w:val="22"/>
        </w:rPr>
        <w:t xml:space="preserve">(13.69) Parties are </w:t>
      </w:r>
      <w:r w:rsidDel="00ED4C91">
        <w:rPr>
          <w:rStyle w:val="normaltextrun"/>
          <w:rFonts w:ascii="Arial" w:hAnsi="Arial" w:cs="Arial"/>
          <w:sz w:val="22"/>
          <w:szCs w:val="22"/>
          <w:u w:val="single"/>
        </w:rPr>
        <w:t>requested</w:t>
      </w:r>
      <w:r w:rsidDel="00ED4C91">
        <w:rPr>
          <w:rStyle w:val="normaltextrun"/>
          <w:rFonts w:ascii="Arial" w:hAnsi="Arial" w:cs="Arial"/>
          <w:sz w:val="22"/>
          <w:szCs w:val="22"/>
        </w:rPr>
        <w:t xml:space="preserve"> </w:t>
      </w:r>
      <w:r w:rsidDel="00ED4C91">
        <w:rPr>
          <w:rStyle w:val="normaltextrun"/>
          <w:rFonts w:ascii="Arial" w:hAnsi="Arial" w:cs="Arial"/>
          <w:strike/>
          <w:sz w:val="22"/>
          <w:szCs w:val="22"/>
        </w:rPr>
        <w:t>invited</w:t>
      </w:r>
      <w:r w:rsidDel="00ED4C91">
        <w:rPr>
          <w:rStyle w:val="normaltextrun"/>
          <w:rFonts w:ascii="Arial" w:hAnsi="Arial" w:cs="Arial"/>
          <w:sz w:val="22"/>
          <w:szCs w:val="22"/>
        </w:rPr>
        <w:t xml:space="preserve"> to provide funding to the </w:t>
      </w:r>
      <w:r w:rsidRPr="00B6388C" w:rsidDel="00ED4C91">
        <w:rPr>
          <w:rStyle w:val="normaltextrun"/>
          <w:rFonts w:ascii="Arial" w:hAnsi="Arial" w:cs="Arial"/>
          <w:sz w:val="22"/>
          <w:szCs w:val="22"/>
        </w:rPr>
        <w:t xml:space="preserve">Secretariat to </w:t>
      </w:r>
      <w:r w:rsidR="00B6388C" w:rsidRPr="00D802A1">
        <w:rPr>
          <w:rFonts w:ascii="Arial" w:hAnsi="Arial" w:cs="Arial"/>
          <w:strike/>
          <w:sz w:val="22"/>
          <w:szCs w:val="22"/>
          <w:shd w:val="clear" w:color="auto" w:fill="FFFFFF"/>
        </w:rPr>
        <w:t>support the implementation of this Decision</w:t>
      </w:r>
      <w:r w:rsidR="00B6388C" w:rsidRPr="00D802A1">
        <w:rPr>
          <w:rStyle w:val="normaltextrun"/>
          <w:rFonts w:ascii="Arial" w:hAnsi="Arial" w:cs="Arial"/>
          <w:strike/>
          <w:sz w:val="22"/>
          <w:szCs w:val="22"/>
        </w:rPr>
        <w:t xml:space="preserve"> </w:t>
      </w:r>
      <w:r w:rsidR="003F3F31" w:rsidRPr="00D802A1">
        <w:rPr>
          <w:rStyle w:val="normaltextrun"/>
          <w:rFonts w:ascii="Arial" w:hAnsi="Arial" w:cs="Arial"/>
          <w:sz w:val="22"/>
          <w:szCs w:val="22"/>
          <w:u w:val="single"/>
        </w:rPr>
        <w:t xml:space="preserve">secure the external expertise </w:t>
      </w:r>
      <w:r w:rsidR="00A372EF" w:rsidRPr="00D802A1">
        <w:rPr>
          <w:rStyle w:val="normaltextrun"/>
          <w:rFonts w:ascii="Arial" w:hAnsi="Arial" w:cs="Arial"/>
          <w:sz w:val="22"/>
          <w:szCs w:val="22"/>
          <w:u w:val="single"/>
        </w:rPr>
        <w:t xml:space="preserve">required </w:t>
      </w:r>
      <w:r w:rsidR="009815FE" w:rsidRPr="00D802A1">
        <w:rPr>
          <w:rStyle w:val="normaltextrun"/>
          <w:rFonts w:ascii="Arial" w:hAnsi="Arial" w:cs="Arial"/>
          <w:sz w:val="22"/>
          <w:szCs w:val="22"/>
          <w:u w:val="single"/>
        </w:rPr>
        <w:t xml:space="preserve">to </w:t>
      </w:r>
      <w:r w:rsidR="00F37AD9" w:rsidRPr="00D802A1">
        <w:rPr>
          <w:rStyle w:val="normaltextrun"/>
          <w:rFonts w:ascii="Arial" w:hAnsi="Arial" w:cs="Arial"/>
          <w:sz w:val="22"/>
          <w:szCs w:val="22"/>
          <w:u w:val="single"/>
        </w:rPr>
        <w:t xml:space="preserve">develop a draft review and recommendations for the </w:t>
      </w:r>
      <w:r w:rsidR="00461E85" w:rsidRPr="00D802A1">
        <w:rPr>
          <w:rStyle w:val="normaltextrun"/>
          <w:rFonts w:ascii="Arial" w:hAnsi="Arial" w:cs="Arial"/>
          <w:sz w:val="22"/>
          <w:szCs w:val="22"/>
          <w:u w:val="single"/>
        </w:rPr>
        <w:t xml:space="preserve">consideration of the Scientific Council </w:t>
      </w:r>
      <w:r w:rsidR="00A1367A" w:rsidRPr="00D802A1">
        <w:rPr>
          <w:rStyle w:val="normaltextrun"/>
          <w:rFonts w:ascii="Arial" w:hAnsi="Arial" w:cs="Arial"/>
          <w:sz w:val="22"/>
          <w:szCs w:val="22"/>
          <w:u w:val="single"/>
        </w:rPr>
        <w:t>as</w:t>
      </w:r>
      <w:r w:rsidR="00131977" w:rsidRPr="00D802A1">
        <w:rPr>
          <w:rStyle w:val="normaltextrun"/>
          <w:rFonts w:ascii="Arial" w:hAnsi="Arial" w:cs="Arial"/>
          <w:sz w:val="22"/>
          <w:szCs w:val="22"/>
          <w:u w:val="single"/>
        </w:rPr>
        <w:t xml:space="preserve"> </w:t>
      </w:r>
      <w:r w:rsidR="0023480E" w:rsidRPr="00D802A1">
        <w:rPr>
          <w:rStyle w:val="normaltextrun"/>
          <w:rFonts w:ascii="Arial" w:hAnsi="Arial" w:cs="Arial"/>
          <w:sz w:val="22"/>
          <w:szCs w:val="22"/>
          <w:u w:val="single"/>
        </w:rPr>
        <w:t xml:space="preserve">foreseen </w:t>
      </w:r>
      <w:r w:rsidR="008C54E1" w:rsidRPr="00D802A1">
        <w:rPr>
          <w:rStyle w:val="normaltextrun"/>
          <w:rFonts w:ascii="Arial" w:hAnsi="Arial" w:cs="Arial"/>
          <w:sz w:val="22"/>
          <w:szCs w:val="22"/>
          <w:u w:val="single"/>
        </w:rPr>
        <w:t xml:space="preserve">in </w:t>
      </w:r>
      <w:r w:rsidRPr="00D802A1" w:rsidDel="00ED4C91">
        <w:rPr>
          <w:rStyle w:val="normaltextrun"/>
          <w:rFonts w:ascii="Arial" w:hAnsi="Arial" w:cs="Arial"/>
          <w:sz w:val="22"/>
          <w:szCs w:val="22"/>
          <w:u w:val="single"/>
        </w:rPr>
        <w:t>Decision</w:t>
      </w:r>
      <w:r w:rsidR="00220FA9" w:rsidRPr="00D802A1">
        <w:rPr>
          <w:rStyle w:val="normaltextrun"/>
          <w:rFonts w:ascii="Arial" w:hAnsi="Arial" w:cs="Arial"/>
          <w:sz w:val="22"/>
          <w:szCs w:val="22"/>
          <w:u w:val="single"/>
        </w:rPr>
        <w:t xml:space="preserve"> </w:t>
      </w:r>
      <w:r w:rsidR="00620B70" w:rsidRPr="00D802A1">
        <w:rPr>
          <w:rStyle w:val="normaltextrun"/>
          <w:rFonts w:ascii="Arial" w:hAnsi="Arial" w:cs="Arial"/>
          <w:sz w:val="22"/>
          <w:szCs w:val="22"/>
          <w:u w:val="single"/>
        </w:rPr>
        <w:t>14.</w:t>
      </w:r>
      <w:r w:rsidR="00912F65" w:rsidRPr="00D802A1">
        <w:rPr>
          <w:rStyle w:val="normaltextrun"/>
          <w:rFonts w:ascii="Arial" w:hAnsi="Arial" w:cs="Arial"/>
          <w:sz w:val="22"/>
          <w:szCs w:val="22"/>
          <w:u w:val="single"/>
        </w:rPr>
        <w:t>BB</w:t>
      </w:r>
      <w:r w:rsidDel="00ED4C91">
        <w:rPr>
          <w:rStyle w:val="normaltextrun"/>
          <w:rFonts w:ascii="Arial" w:hAnsi="Arial" w:cs="Arial"/>
          <w:sz w:val="22"/>
          <w:szCs w:val="22"/>
        </w:rPr>
        <w:t>.</w:t>
      </w:r>
    </w:p>
    <w:p w14:paraId="53199C89" w14:textId="01DF7A84" w:rsidR="006A2703" w:rsidRPr="00CD0FE9" w:rsidRDefault="006A2703" w:rsidP="0099516E">
      <w:pPr>
        <w:spacing w:after="0" w:line="240" w:lineRule="auto"/>
        <w:jc w:val="both"/>
        <w:rPr>
          <w:rFonts w:cs="Arial"/>
        </w:rPr>
      </w:pPr>
    </w:p>
    <w:p w14:paraId="016F646F" w14:textId="77777777" w:rsidR="00DD07FD" w:rsidRPr="00CD0FE9" w:rsidRDefault="00DD07FD" w:rsidP="0099516E">
      <w:pPr>
        <w:spacing w:after="0" w:line="240" w:lineRule="auto"/>
        <w:jc w:val="both"/>
        <w:rPr>
          <w:rFonts w:cs="Arial"/>
        </w:rPr>
      </w:pPr>
      <w:r w:rsidRPr="00CD0FE9">
        <w:rPr>
          <w:rFonts w:cs="Arial"/>
          <w:b/>
          <w:i/>
        </w:rPr>
        <w:t xml:space="preserve">Directed to the Scientific Council </w:t>
      </w:r>
    </w:p>
    <w:p w14:paraId="296C97F8" w14:textId="77777777" w:rsidR="00DD07FD" w:rsidRPr="00CD0FE9" w:rsidRDefault="00DD07FD" w:rsidP="00D85B3E">
      <w:pPr>
        <w:spacing w:after="0" w:line="240" w:lineRule="auto"/>
        <w:ind w:left="720" w:hanging="720"/>
        <w:jc w:val="both"/>
        <w:rPr>
          <w:rFonts w:cs="Arial"/>
        </w:rPr>
      </w:pPr>
    </w:p>
    <w:p w14:paraId="460ECDED" w14:textId="3C817B41" w:rsidR="00DD07FD" w:rsidRPr="00CD0FE9" w:rsidRDefault="00DD07FD" w:rsidP="00D85B3E">
      <w:pPr>
        <w:spacing w:after="0" w:line="240" w:lineRule="auto"/>
        <w:ind w:left="720" w:hanging="720"/>
        <w:jc w:val="both"/>
        <w:rPr>
          <w:rFonts w:cs="Arial"/>
        </w:rPr>
      </w:pPr>
      <w:r w:rsidRPr="00CD0FE9">
        <w:rPr>
          <w:rFonts w:cs="Arial"/>
        </w:rPr>
        <w:t>1</w:t>
      </w:r>
      <w:r w:rsidR="00F25E90">
        <w:rPr>
          <w:rFonts w:cs="Arial"/>
        </w:rPr>
        <w:t>4</w:t>
      </w:r>
      <w:r w:rsidRPr="00CD0FE9">
        <w:rPr>
          <w:rFonts w:cs="Arial"/>
        </w:rPr>
        <w:t>.</w:t>
      </w:r>
      <w:r w:rsidR="00620B70">
        <w:rPr>
          <w:rFonts w:cs="Arial"/>
        </w:rPr>
        <w:t>BB</w:t>
      </w:r>
      <w:r w:rsidRPr="00CD0FE9">
        <w:rPr>
          <w:rFonts w:cs="Arial"/>
        </w:rPr>
        <w:tab/>
      </w:r>
      <w:r w:rsidR="007E3F1B">
        <w:rPr>
          <w:rFonts w:cs="Arial"/>
        </w:rPr>
        <w:t xml:space="preserve">(13.70) </w:t>
      </w:r>
      <w:r w:rsidRPr="00CD0FE9">
        <w:rPr>
          <w:rFonts w:cs="Arial"/>
        </w:rPr>
        <w:t xml:space="preserve">The Scientific Council </w:t>
      </w:r>
      <w:r w:rsidR="001F7654" w:rsidRPr="00203E94">
        <w:rPr>
          <w:rFonts w:cs="Arial"/>
        </w:rPr>
        <w:t>is requested</w:t>
      </w:r>
      <w:r w:rsidR="00FC4486">
        <w:rPr>
          <w:rFonts w:cs="Arial"/>
        </w:rPr>
        <w:t xml:space="preserve"> to</w:t>
      </w:r>
      <w:r w:rsidR="00770CFE">
        <w:rPr>
          <w:rFonts w:cs="Arial"/>
        </w:rPr>
        <w:t>, subject to the availability of external resources</w:t>
      </w:r>
      <w:r w:rsidRPr="00CD0FE9">
        <w:rPr>
          <w:rFonts w:cs="Arial"/>
        </w:rPr>
        <w:t>:</w:t>
      </w:r>
    </w:p>
    <w:p w14:paraId="40FED15B" w14:textId="77777777" w:rsidR="00DD07FD" w:rsidRPr="00CD0FE9" w:rsidRDefault="00DD07FD" w:rsidP="0099516E">
      <w:pPr>
        <w:spacing w:after="0" w:line="240" w:lineRule="auto"/>
        <w:ind w:left="720" w:hanging="720"/>
        <w:jc w:val="both"/>
        <w:rPr>
          <w:rFonts w:cs="Arial"/>
        </w:rPr>
      </w:pPr>
    </w:p>
    <w:p w14:paraId="59E82101" w14:textId="77777777" w:rsidR="00E543CD" w:rsidRPr="00E543CD" w:rsidRDefault="00581B67" w:rsidP="00D85B3E">
      <w:pPr>
        <w:pStyle w:val="ListParagraph"/>
        <w:widowControl w:val="0"/>
        <w:numPr>
          <w:ilvl w:val="0"/>
          <w:numId w:val="23"/>
        </w:numPr>
        <w:autoSpaceDE w:val="0"/>
        <w:autoSpaceDN w:val="0"/>
        <w:adjustRightInd w:val="0"/>
        <w:spacing w:after="0" w:line="240" w:lineRule="auto"/>
        <w:ind w:left="1080"/>
        <w:jc w:val="both"/>
        <w:rPr>
          <w:rFonts w:cs="Arial"/>
        </w:rPr>
      </w:pPr>
      <w:r w:rsidRPr="00141D3F">
        <w:rPr>
          <w:rFonts w:cs="Arial"/>
        </w:rPr>
        <w:t>review, as far as feasible in collaboration with the Memorandum of Understanding on the Conservation and Management of Marine Turtles and their Habitats of the Indian Ocean and South-East Asia (IOSEA Marine Turtle MOU) and the Inter-American Convention for the Protection and Conservation of Sea Turtles, relevant scientific information on conservation and threats to marine turtles</w:t>
      </w:r>
      <w:r w:rsidR="00DA0D02" w:rsidRPr="00141D3F">
        <w:rPr>
          <w:rFonts w:cs="Arial"/>
        </w:rPr>
        <w:t xml:space="preserve"> </w:t>
      </w:r>
      <w:r w:rsidR="00DA0D02" w:rsidRPr="00141D3F">
        <w:rPr>
          <w:rFonts w:cs="Arial"/>
          <w:u w:val="single"/>
        </w:rPr>
        <w:t>in a region- and species-specific context</w:t>
      </w:r>
      <w:r w:rsidRPr="00141D3F">
        <w:rPr>
          <w:rFonts w:cs="Arial"/>
        </w:rPr>
        <w:t xml:space="preserve">, </w:t>
      </w:r>
      <w:r w:rsidRPr="00141D3F">
        <w:rPr>
          <w:rFonts w:cs="Arial"/>
          <w:strike/>
        </w:rPr>
        <w:t xml:space="preserve">such as </w:t>
      </w:r>
      <w:r w:rsidR="003E3880" w:rsidRPr="00141D3F">
        <w:rPr>
          <w:rFonts w:cs="Arial"/>
          <w:u w:val="single"/>
        </w:rPr>
        <w:t>including</w:t>
      </w:r>
      <w:r w:rsidR="00DA0D02" w:rsidRPr="00141D3F">
        <w:rPr>
          <w:rFonts w:cs="Arial"/>
          <w:u w:val="single"/>
        </w:rPr>
        <w:t xml:space="preserve"> their vulner</w:t>
      </w:r>
      <w:r w:rsidR="000764F1" w:rsidRPr="00141D3F">
        <w:rPr>
          <w:rFonts w:cs="Arial"/>
          <w:u w:val="single"/>
        </w:rPr>
        <w:t>ability to</w:t>
      </w:r>
      <w:r w:rsidR="003E3880" w:rsidRPr="00141D3F">
        <w:rPr>
          <w:rFonts w:cs="Arial"/>
        </w:rPr>
        <w:t xml:space="preserve"> </w:t>
      </w:r>
      <w:r w:rsidRPr="00141D3F">
        <w:rPr>
          <w:rFonts w:cs="Arial"/>
        </w:rPr>
        <w:t>climate change</w:t>
      </w:r>
      <w:r w:rsidR="00141D3F">
        <w:rPr>
          <w:rFonts w:cs="Arial"/>
        </w:rPr>
        <w:t xml:space="preserve">; </w:t>
      </w:r>
      <w:r w:rsidR="00540908" w:rsidRPr="00141D3F">
        <w:rPr>
          <w:rFonts w:cs="Arial"/>
          <w:u w:val="single"/>
        </w:rPr>
        <w:t xml:space="preserve">and </w:t>
      </w:r>
    </w:p>
    <w:p w14:paraId="7571EE48" w14:textId="77777777" w:rsidR="00E543CD" w:rsidRPr="00E543CD" w:rsidRDefault="00E543CD" w:rsidP="00D85B3E">
      <w:pPr>
        <w:pStyle w:val="ListParagraph"/>
        <w:widowControl w:val="0"/>
        <w:autoSpaceDE w:val="0"/>
        <w:autoSpaceDN w:val="0"/>
        <w:adjustRightInd w:val="0"/>
        <w:spacing w:after="0" w:line="240" w:lineRule="auto"/>
        <w:ind w:left="1080" w:hanging="360"/>
        <w:jc w:val="both"/>
        <w:rPr>
          <w:rFonts w:cs="Arial"/>
        </w:rPr>
      </w:pPr>
    </w:p>
    <w:p w14:paraId="1FFEAE22" w14:textId="6F3CCBAA" w:rsidR="00141A92" w:rsidRDefault="00581B67" w:rsidP="00D85B3E">
      <w:pPr>
        <w:pStyle w:val="ListParagraph"/>
        <w:widowControl w:val="0"/>
        <w:numPr>
          <w:ilvl w:val="0"/>
          <w:numId w:val="23"/>
        </w:numPr>
        <w:autoSpaceDE w:val="0"/>
        <w:autoSpaceDN w:val="0"/>
        <w:adjustRightInd w:val="0"/>
        <w:spacing w:after="0" w:line="240" w:lineRule="auto"/>
        <w:ind w:left="1080"/>
        <w:jc w:val="both"/>
        <w:rPr>
          <w:rFonts w:cs="Arial"/>
        </w:rPr>
      </w:pPr>
      <w:r w:rsidRPr="00141D3F">
        <w:rPr>
          <w:rFonts w:cs="Arial"/>
        </w:rPr>
        <w:t xml:space="preserve">based on this review, develop new recommendations for the conservation of all species of marine turtle included in Appendix I or II of the Convention including the preservation of the current nesting beaches and the identification of new nesting beaches, for presentation at the </w:t>
      </w:r>
      <w:r w:rsidRPr="00141D3F">
        <w:rPr>
          <w:rFonts w:cs="Arial"/>
          <w:strike/>
          <w:u w:val="single"/>
        </w:rPr>
        <w:t>14</w:t>
      </w:r>
      <w:r w:rsidR="00DD2C18" w:rsidRPr="00141D3F">
        <w:rPr>
          <w:rFonts w:cs="Arial"/>
          <w:u w:val="single"/>
        </w:rPr>
        <w:t>15</w:t>
      </w:r>
      <w:r w:rsidRPr="00141D3F">
        <w:rPr>
          <w:rFonts w:cs="Arial"/>
          <w:u w:val="single"/>
        </w:rPr>
        <w:t>th</w:t>
      </w:r>
      <w:r w:rsidRPr="00141D3F">
        <w:rPr>
          <w:rFonts w:cs="Arial"/>
        </w:rPr>
        <w:t xml:space="preserve"> meeting of the Conference of the Parties</w:t>
      </w:r>
      <w:r w:rsidR="00141A92" w:rsidRPr="005D41F7">
        <w:rPr>
          <w:rFonts w:cs="Arial"/>
          <w:strike/>
        </w:rPr>
        <w:t>;</w:t>
      </w:r>
      <w:r w:rsidR="005F0731">
        <w:rPr>
          <w:rFonts w:cs="Arial"/>
          <w:u w:val="single"/>
        </w:rPr>
        <w:t>.</w:t>
      </w:r>
    </w:p>
    <w:p w14:paraId="086B0CFF" w14:textId="77777777" w:rsidR="00141A92" w:rsidRPr="00141A92" w:rsidRDefault="00141A92" w:rsidP="00D85B3E">
      <w:pPr>
        <w:pStyle w:val="ListParagraph"/>
        <w:ind w:left="1080" w:hanging="360"/>
        <w:rPr>
          <w:rFonts w:cs="Arial"/>
        </w:rPr>
      </w:pPr>
    </w:p>
    <w:p w14:paraId="7F63C640" w14:textId="49ACEF42" w:rsidR="00581B67" w:rsidRPr="005F0731" w:rsidRDefault="005F0731" w:rsidP="00D85B3E">
      <w:pPr>
        <w:pStyle w:val="ListParagraph"/>
        <w:widowControl w:val="0"/>
        <w:numPr>
          <w:ilvl w:val="0"/>
          <w:numId w:val="23"/>
        </w:numPr>
        <w:autoSpaceDE w:val="0"/>
        <w:autoSpaceDN w:val="0"/>
        <w:adjustRightInd w:val="0"/>
        <w:spacing w:after="0" w:line="240" w:lineRule="auto"/>
        <w:ind w:left="1080"/>
        <w:jc w:val="both"/>
        <w:rPr>
          <w:rFonts w:cs="Arial"/>
          <w:strike/>
        </w:rPr>
      </w:pPr>
      <w:r w:rsidRPr="005F0731">
        <w:rPr>
          <w:rFonts w:cs="Arial"/>
          <w:strike/>
        </w:rPr>
        <w:t>develop, in collaboration with the IOSEA Marine Turtle MOU, CITES, Ramsar Convention and relevant non-governmental organizations and supported by the Secretariat, a draft Single Species Action Plan for the conservation of Hawksbill Turtles to be presented preferably at the 14th meeting of the Conference of the Parties, to address their trade and use in South-East Asia, and the adjacent Western Pacific, and taking into account the 2019 CITES Report on Status, Scope and Trends of the Legal and Illegal International Trade in Marine Turtles, its Conservation Impacts, Management Options and Mitigation Priorities, as well as the Hawksbill Assessment under preparation by the Advisory Committee of the IOSEA Marine Turtle MOU.</w:t>
      </w:r>
    </w:p>
    <w:p w14:paraId="5F17AF2B" w14:textId="77777777" w:rsidR="006A2703" w:rsidRDefault="006A2703" w:rsidP="0099516E">
      <w:pPr>
        <w:spacing w:after="0" w:line="240" w:lineRule="auto"/>
        <w:jc w:val="both"/>
        <w:rPr>
          <w:rFonts w:cs="Arial"/>
          <w:b/>
          <w:i/>
        </w:rPr>
      </w:pPr>
    </w:p>
    <w:p w14:paraId="50B23BA1" w14:textId="77777777" w:rsidR="00DD07FD" w:rsidRPr="00CD0FE9" w:rsidRDefault="00DD07FD" w:rsidP="0099516E">
      <w:pPr>
        <w:spacing w:after="0" w:line="240" w:lineRule="auto"/>
        <w:jc w:val="both"/>
        <w:rPr>
          <w:rFonts w:cs="Arial"/>
          <w:b/>
          <w:i/>
        </w:rPr>
      </w:pPr>
      <w:r w:rsidRPr="00CD0FE9">
        <w:rPr>
          <w:rFonts w:cs="Arial"/>
          <w:b/>
          <w:i/>
        </w:rPr>
        <w:t>Directed to the Secretariat</w:t>
      </w:r>
    </w:p>
    <w:p w14:paraId="60A66C66" w14:textId="77777777" w:rsidR="00DD07FD" w:rsidRPr="00CD0FE9" w:rsidRDefault="00DD07FD" w:rsidP="0099516E">
      <w:pPr>
        <w:spacing w:after="0" w:line="240" w:lineRule="auto"/>
        <w:jc w:val="both"/>
        <w:rPr>
          <w:rFonts w:cs="Arial"/>
        </w:rPr>
      </w:pPr>
    </w:p>
    <w:p w14:paraId="6B9967E2" w14:textId="444DEF6D" w:rsidR="00DD07FD" w:rsidRPr="0048181E" w:rsidRDefault="00DD07FD" w:rsidP="00D85B3E">
      <w:pPr>
        <w:spacing w:after="0" w:line="240" w:lineRule="auto"/>
        <w:ind w:left="720" w:hanging="720"/>
        <w:jc w:val="both"/>
        <w:rPr>
          <w:rFonts w:cs="Arial"/>
          <w:iCs/>
        </w:rPr>
      </w:pPr>
      <w:r w:rsidRPr="0048181E">
        <w:rPr>
          <w:rFonts w:cs="Arial"/>
        </w:rPr>
        <w:t>1</w:t>
      </w:r>
      <w:r w:rsidR="00F25E90" w:rsidRPr="0048181E">
        <w:rPr>
          <w:rFonts w:cs="Arial"/>
        </w:rPr>
        <w:t>4</w:t>
      </w:r>
      <w:r w:rsidRPr="0048181E">
        <w:rPr>
          <w:rFonts w:cs="Arial"/>
        </w:rPr>
        <w:t>.</w:t>
      </w:r>
      <w:r w:rsidR="00620B70">
        <w:rPr>
          <w:rFonts w:cs="Arial"/>
        </w:rPr>
        <w:t>CC</w:t>
      </w:r>
      <w:r w:rsidRPr="0048181E">
        <w:rPr>
          <w:rFonts w:cs="Arial"/>
        </w:rPr>
        <w:tab/>
        <w:t>The Secretariat shall, subject to the availability of external resources</w:t>
      </w:r>
      <w:r w:rsidR="005455D1" w:rsidRPr="0048181E">
        <w:rPr>
          <w:rFonts w:cs="Arial"/>
        </w:rPr>
        <w:t>:</w:t>
      </w:r>
    </w:p>
    <w:p w14:paraId="77333957" w14:textId="77777777" w:rsidR="00DD07FD" w:rsidRPr="0048181E" w:rsidRDefault="00DD07FD" w:rsidP="0099516E">
      <w:pPr>
        <w:spacing w:after="0" w:line="240" w:lineRule="auto"/>
        <w:ind w:left="720" w:hanging="720"/>
        <w:jc w:val="both"/>
        <w:rPr>
          <w:rFonts w:cs="Arial"/>
          <w:iCs/>
        </w:rPr>
      </w:pPr>
    </w:p>
    <w:p w14:paraId="032BC2B5" w14:textId="5BBD8298" w:rsidR="00DD07FD" w:rsidRPr="0048181E" w:rsidRDefault="005455D1" w:rsidP="00D85B3E">
      <w:pPr>
        <w:widowControl w:val="0"/>
        <w:numPr>
          <w:ilvl w:val="0"/>
          <w:numId w:val="16"/>
        </w:numPr>
        <w:autoSpaceDE w:val="0"/>
        <w:autoSpaceDN w:val="0"/>
        <w:adjustRightInd w:val="0"/>
        <w:spacing w:after="0" w:line="240" w:lineRule="auto"/>
        <w:ind w:left="1080"/>
        <w:jc w:val="both"/>
        <w:rPr>
          <w:rFonts w:cs="Arial"/>
        </w:rPr>
      </w:pPr>
      <w:r w:rsidRPr="0048181E">
        <w:rPr>
          <w:rFonts w:cs="Arial"/>
        </w:rPr>
        <w:t xml:space="preserve">facilitate the review to be undertaken by the Scientific Council </w:t>
      </w:r>
      <w:r w:rsidR="00E01282" w:rsidRPr="0048181E">
        <w:rPr>
          <w:rFonts w:cs="Arial"/>
        </w:rPr>
        <w:t xml:space="preserve">by securing necessary </w:t>
      </w:r>
      <w:r w:rsidR="003C0EC0" w:rsidDel="003C0EC0">
        <w:rPr>
          <w:rFonts w:cs="Arial"/>
        </w:rPr>
        <w:t xml:space="preserve">funding and </w:t>
      </w:r>
      <w:r w:rsidR="00E01282" w:rsidRPr="0048181E">
        <w:rPr>
          <w:rFonts w:cs="Arial"/>
        </w:rPr>
        <w:t>external expertise</w:t>
      </w:r>
      <w:r w:rsidR="00B46C0D" w:rsidRPr="0048181E">
        <w:rPr>
          <w:rFonts w:cs="Arial"/>
        </w:rPr>
        <w:t xml:space="preserve"> to develop drafts for review by the Scientific Council;</w:t>
      </w:r>
      <w:r w:rsidR="00D659EA" w:rsidRPr="0048181E">
        <w:rPr>
          <w:rFonts w:cs="Arial"/>
        </w:rPr>
        <w:t xml:space="preserve"> and</w:t>
      </w:r>
    </w:p>
    <w:p w14:paraId="40D95639" w14:textId="77777777" w:rsidR="00DD07FD" w:rsidRPr="0048181E" w:rsidRDefault="00DD07FD" w:rsidP="00D85B3E">
      <w:pPr>
        <w:spacing w:after="0" w:line="240" w:lineRule="auto"/>
        <w:ind w:left="1080" w:hanging="360"/>
        <w:jc w:val="both"/>
        <w:rPr>
          <w:rFonts w:cs="Arial"/>
        </w:rPr>
      </w:pPr>
    </w:p>
    <w:p w14:paraId="6CCD9296" w14:textId="6936B72F" w:rsidR="00DD07FD" w:rsidRPr="0048181E" w:rsidRDefault="008F5738" w:rsidP="00D85B3E">
      <w:pPr>
        <w:widowControl w:val="0"/>
        <w:numPr>
          <w:ilvl w:val="0"/>
          <w:numId w:val="16"/>
        </w:numPr>
        <w:autoSpaceDE w:val="0"/>
        <w:autoSpaceDN w:val="0"/>
        <w:adjustRightInd w:val="0"/>
        <w:spacing w:after="0" w:line="240" w:lineRule="auto"/>
        <w:ind w:left="1080"/>
        <w:jc w:val="both"/>
        <w:rPr>
          <w:rFonts w:cs="Arial"/>
        </w:rPr>
      </w:pPr>
      <w:r w:rsidRPr="0048181E">
        <w:rPr>
          <w:rFonts w:cs="Arial"/>
        </w:rPr>
        <w:t>r</w:t>
      </w:r>
      <w:r w:rsidR="00DD07FD" w:rsidRPr="0048181E">
        <w:rPr>
          <w:rFonts w:cs="Arial"/>
        </w:rPr>
        <w:t xml:space="preserve">eport to the </w:t>
      </w:r>
      <w:r w:rsidRPr="0048181E">
        <w:rPr>
          <w:rFonts w:cs="Arial"/>
        </w:rPr>
        <w:t>S</w:t>
      </w:r>
      <w:r w:rsidR="00DD07FD" w:rsidRPr="0048181E">
        <w:rPr>
          <w:rFonts w:cs="Arial"/>
        </w:rPr>
        <w:t xml:space="preserve">cientific Council at </w:t>
      </w:r>
      <w:r w:rsidRPr="0048181E">
        <w:rPr>
          <w:rFonts w:cs="Arial"/>
        </w:rPr>
        <w:t>the 7</w:t>
      </w:r>
      <w:r w:rsidRPr="0048181E">
        <w:rPr>
          <w:rFonts w:cs="Arial"/>
          <w:vertAlign w:val="superscript"/>
        </w:rPr>
        <w:t>th</w:t>
      </w:r>
      <w:r w:rsidRPr="0048181E">
        <w:rPr>
          <w:rFonts w:cs="Arial"/>
        </w:rPr>
        <w:t xml:space="preserve"> meeting of its Sessional Committee</w:t>
      </w:r>
      <w:r w:rsidR="00DD07FD" w:rsidRPr="0048181E">
        <w:rPr>
          <w:rFonts w:cs="Arial"/>
        </w:rPr>
        <w:t xml:space="preserve"> on the progress in implementing this decision.</w:t>
      </w:r>
    </w:p>
    <w:sectPr w:rsidR="00DD07FD" w:rsidRPr="0048181E" w:rsidSect="00067774">
      <w:headerReference w:type="even" r:id="rId29"/>
      <w:headerReference w:type="first" r:id="rId3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371D" w14:textId="77777777" w:rsidR="00680384" w:rsidRDefault="00680384" w:rsidP="002E0DE9">
      <w:pPr>
        <w:spacing w:after="0" w:line="240" w:lineRule="auto"/>
      </w:pPr>
      <w:r>
        <w:separator/>
      </w:r>
    </w:p>
  </w:endnote>
  <w:endnote w:type="continuationSeparator" w:id="0">
    <w:p w14:paraId="0631C886" w14:textId="77777777" w:rsidR="00680384" w:rsidRDefault="00680384" w:rsidP="002E0DE9">
      <w:pPr>
        <w:spacing w:after="0" w:line="240" w:lineRule="auto"/>
      </w:pPr>
      <w:r>
        <w:continuationSeparator/>
      </w:r>
    </w:p>
  </w:endnote>
  <w:endnote w:type="continuationNotice" w:id="1">
    <w:p w14:paraId="29414204" w14:textId="77777777" w:rsidR="00680384" w:rsidRDefault="006803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4960E279"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664C" w14:textId="77777777" w:rsidR="00680384" w:rsidRDefault="00680384" w:rsidP="002E0DE9">
      <w:pPr>
        <w:spacing w:after="0" w:line="240" w:lineRule="auto"/>
      </w:pPr>
      <w:r>
        <w:separator/>
      </w:r>
    </w:p>
  </w:footnote>
  <w:footnote w:type="continuationSeparator" w:id="0">
    <w:p w14:paraId="5441A692" w14:textId="77777777" w:rsidR="00680384" w:rsidRDefault="00680384" w:rsidP="002E0DE9">
      <w:pPr>
        <w:spacing w:after="0" w:line="240" w:lineRule="auto"/>
      </w:pPr>
      <w:r>
        <w:continuationSeparator/>
      </w:r>
    </w:p>
  </w:footnote>
  <w:footnote w:type="continuationNotice" w:id="1">
    <w:p w14:paraId="1B7543E4" w14:textId="77777777" w:rsidR="00680384" w:rsidRDefault="00680384">
      <w:pPr>
        <w:spacing w:after="0" w:line="240" w:lineRule="auto"/>
      </w:pPr>
    </w:p>
  </w:footnote>
  <w:footnote w:id="2">
    <w:p w14:paraId="022AF049" w14:textId="77777777" w:rsidR="00AC3F13" w:rsidRPr="00D85B3E" w:rsidRDefault="00AC3F13" w:rsidP="00AC3F13">
      <w:pPr>
        <w:pStyle w:val="FootnoteText"/>
        <w:rPr>
          <w:sz w:val="16"/>
          <w:szCs w:val="16"/>
          <w:lang w:val="en-US"/>
        </w:rPr>
      </w:pPr>
      <w:r w:rsidRPr="00D85B3E">
        <w:rPr>
          <w:rStyle w:val="FootnoteReference"/>
          <w:sz w:val="16"/>
          <w:szCs w:val="16"/>
        </w:rPr>
        <w:footnoteRef/>
      </w:r>
      <w:r w:rsidRPr="00D85B3E">
        <w:rPr>
          <w:sz w:val="16"/>
          <w:szCs w:val="16"/>
        </w:rPr>
        <w:t xml:space="preserve"> Overview of CMS listing status and IUCN Red List status of marine turtles:</w:t>
      </w:r>
    </w:p>
    <w:tbl>
      <w:tblPr>
        <w:tblStyle w:val="TableGrid"/>
        <w:tblW w:w="0" w:type="auto"/>
        <w:tblInd w:w="562" w:type="dxa"/>
        <w:tblLook w:val="04A0" w:firstRow="1" w:lastRow="0" w:firstColumn="1" w:lastColumn="0" w:noHBand="0" w:noVBand="1"/>
      </w:tblPr>
      <w:tblGrid>
        <w:gridCol w:w="1415"/>
        <w:gridCol w:w="1556"/>
        <w:gridCol w:w="1609"/>
        <w:gridCol w:w="1633"/>
        <w:gridCol w:w="2241"/>
      </w:tblGrid>
      <w:tr w:rsidR="00AC3F13" w:rsidRPr="00D85B3E" w14:paraId="578658F2" w14:textId="77777777">
        <w:tc>
          <w:tcPr>
            <w:tcW w:w="0" w:type="auto"/>
          </w:tcPr>
          <w:p w14:paraId="4450D1E6" w14:textId="77777777" w:rsidR="00AC3F13" w:rsidRPr="00D85B3E" w:rsidRDefault="00AC3F13" w:rsidP="00AC3F13">
            <w:pPr>
              <w:pStyle w:val="FootnoteText"/>
              <w:rPr>
                <w:b/>
                <w:bCs/>
                <w:sz w:val="16"/>
                <w:szCs w:val="16"/>
              </w:rPr>
            </w:pPr>
            <w:r w:rsidRPr="00D85B3E">
              <w:rPr>
                <w:b/>
                <w:bCs/>
                <w:sz w:val="16"/>
                <w:szCs w:val="16"/>
              </w:rPr>
              <w:t>Common name</w:t>
            </w:r>
          </w:p>
        </w:tc>
        <w:tc>
          <w:tcPr>
            <w:tcW w:w="0" w:type="auto"/>
          </w:tcPr>
          <w:p w14:paraId="6B9132EE" w14:textId="77777777" w:rsidR="00AC3F13" w:rsidRPr="00D85B3E" w:rsidRDefault="00AC3F13" w:rsidP="00AC3F13">
            <w:pPr>
              <w:pStyle w:val="FootnoteText"/>
              <w:rPr>
                <w:b/>
                <w:bCs/>
                <w:sz w:val="16"/>
                <w:szCs w:val="16"/>
              </w:rPr>
            </w:pPr>
            <w:r w:rsidRPr="00D85B3E">
              <w:rPr>
                <w:b/>
                <w:bCs/>
                <w:sz w:val="16"/>
                <w:szCs w:val="16"/>
              </w:rPr>
              <w:t>Scientific name</w:t>
            </w:r>
          </w:p>
        </w:tc>
        <w:tc>
          <w:tcPr>
            <w:tcW w:w="0" w:type="auto"/>
          </w:tcPr>
          <w:p w14:paraId="3C5BC527" w14:textId="77777777" w:rsidR="00AC3F13" w:rsidRPr="00D85B3E" w:rsidRDefault="00AC3F13" w:rsidP="00AC3F13">
            <w:pPr>
              <w:pStyle w:val="FootnoteText"/>
              <w:rPr>
                <w:b/>
                <w:bCs/>
                <w:sz w:val="16"/>
                <w:szCs w:val="16"/>
              </w:rPr>
            </w:pPr>
            <w:r w:rsidRPr="00D85B3E">
              <w:rPr>
                <w:b/>
                <w:bCs/>
                <w:sz w:val="16"/>
                <w:szCs w:val="16"/>
              </w:rPr>
              <w:t>Year of Appendix I Listing</w:t>
            </w:r>
          </w:p>
        </w:tc>
        <w:tc>
          <w:tcPr>
            <w:tcW w:w="0" w:type="auto"/>
          </w:tcPr>
          <w:p w14:paraId="27A74A34" w14:textId="77777777" w:rsidR="00AC3F13" w:rsidRPr="00D85B3E" w:rsidRDefault="00AC3F13" w:rsidP="00AC3F13">
            <w:pPr>
              <w:pStyle w:val="FootnoteText"/>
              <w:rPr>
                <w:b/>
                <w:bCs/>
                <w:sz w:val="16"/>
                <w:szCs w:val="16"/>
              </w:rPr>
            </w:pPr>
            <w:r w:rsidRPr="00D85B3E">
              <w:rPr>
                <w:b/>
                <w:bCs/>
                <w:sz w:val="16"/>
                <w:szCs w:val="16"/>
              </w:rPr>
              <w:t>Year of Appendix II Listing</w:t>
            </w:r>
          </w:p>
        </w:tc>
        <w:tc>
          <w:tcPr>
            <w:tcW w:w="0" w:type="auto"/>
          </w:tcPr>
          <w:p w14:paraId="57D668FB" w14:textId="77777777" w:rsidR="00AC3F13" w:rsidRPr="00D85B3E" w:rsidRDefault="00AC3F13" w:rsidP="00AC3F13">
            <w:pPr>
              <w:pStyle w:val="FootnoteText"/>
              <w:rPr>
                <w:b/>
                <w:bCs/>
                <w:sz w:val="16"/>
                <w:szCs w:val="16"/>
              </w:rPr>
            </w:pPr>
            <w:r w:rsidRPr="00D85B3E">
              <w:rPr>
                <w:b/>
                <w:bCs/>
                <w:sz w:val="16"/>
                <w:szCs w:val="16"/>
              </w:rPr>
              <w:t>Global IUCN Red List Status and Trend</w:t>
            </w:r>
            <w:r w:rsidRPr="00D85B3E">
              <w:rPr>
                <w:b/>
                <w:bCs/>
                <w:sz w:val="16"/>
                <w:szCs w:val="16"/>
                <w:vertAlign w:val="superscript"/>
              </w:rPr>
              <w:footnoteRef/>
            </w:r>
          </w:p>
        </w:tc>
      </w:tr>
      <w:tr w:rsidR="00AC3F13" w:rsidRPr="00D85B3E" w14:paraId="2B4DC547" w14:textId="77777777">
        <w:tc>
          <w:tcPr>
            <w:tcW w:w="0" w:type="auto"/>
          </w:tcPr>
          <w:p w14:paraId="580F2E1B" w14:textId="77777777" w:rsidR="00AC3F13" w:rsidRPr="00D85B3E" w:rsidRDefault="00AC3F13" w:rsidP="00AC3F13">
            <w:pPr>
              <w:pStyle w:val="FootnoteText"/>
              <w:rPr>
                <w:sz w:val="16"/>
                <w:szCs w:val="16"/>
              </w:rPr>
            </w:pPr>
            <w:r w:rsidRPr="00D85B3E">
              <w:rPr>
                <w:sz w:val="16"/>
                <w:szCs w:val="16"/>
              </w:rPr>
              <w:t>Green Turtle</w:t>
            </w:r>
          </w:p>
        </w:tc>
        <w:tc>
          <w:tcPr>
            <w:tcW w:w="0" w:type="auto"/>
          </w:tcPr>
          <w:p w14:paraId="596894C1" w14:textId="77777777" w:rsidR="00AC3F13" w:rsidRPr="00D85B3E" w:rsidRDefault="00AC3F13" w:rsidP="00AC3F13">
            <w:pPr>
              <w:pStyle w:val="FootnoteText"/>
              <w:rPr>
                <w:i/>
                <w:iCs/>
                <w:sz w:val="16"/>
                <w:szCs w:val="16"/>
              </w:rPr>
            </w:pPr>
            <w:r w:rsidRPr="00D85B3E">
              <w:rPr>
                <w:i/>
                <w:iCs/>
                <w:sz w:val="16"/>
                <w:szCs w:val="16"/>
              </w:rPr>
              <w:t>Chelonia mydas</w:t>
            </w:r>
          </w:p>
        </w:tc>
        <w:tc>
          <w:tcPr>
            <w:tcW w:w="0" w:type="auto"/>
          </w:tcPr>
          <w:p w14:paraId="1C1F8CE1" w14:textId="77777777" w:rsidR="00AC3F13" w:rsidRPr="00D85B3E" w:rsidRDefault="00AC3F13" w:rsidP="00AC3F13">
            <w:pPr>
              <w:pStyle w:val="FootnoteText"/>
              <w:rPr>
                <w:sz w:val="16"/>
                <w:szCs w:val="16"/>
              </w:rPr>
            </w:pPr>
            <w:r w:rsidRPr="00D85B3E">
              <w:rPr>
                <w:sz w:val="16"/>
                <w:szCs w:val="16"/>
              </w:rPr>
              <w:t>1979</w:t>
            </w:r>
          </w:p>
        </w:tc>
        <w:tc>
          <w:tcPr>
            <w:tcW w:w="0" w:type="auto"/>
          </w:tcPr>
          <w:p w14:paraId="016C4246" w14:textId="77777777" w:rsidR="00AC3F13" w:rsidRPr="00D85B3E" w:rsidRDefault="00AC3F13" w:rsidP="00AC3F13">
            <w:pPr>
              <w:pStyle w:val="FootnoteText"/>
              <w:rPr>
                <w:sz w:val="16"/>
                <w:szCs w:val="16"/>
              </w:rPr>
            </w:pPr>
            <w:r w:rsidRPr="00D85B3E">
              <w:rPr>
                <w:sz w:val="16"/>
                <w:szCs w:val="16"/>
              </w:rPr>
              <w:t>1979</w:t>
            </w:r>
          </w:p>
        </w:tc>
        <w:tc>
          <w:tcPr>
            <w:tcW w:w="0" w:type="auto"/>
          </w:tcPr>
          <w:p w14:paraId="31372330" w14:textId="77777777" w:rsidR="00AC3F13" w:rsidRPr="00D85B3E" w:rsidRDefault="00AC3F13" w:rsidP="00AC3F13">
            <w:pPr>
              <w:pStyle w:val="FootnoteText"/>
              <w:rPr>
                <w:sz w:val="16"/>
                <w:szCs w:val="16"/>
              </w:rPr>
            </w:pPr>
            <w:r w:rsidRPr="00D85B3E">
              <w:rPr>
                <w:sz w:val="16"/>
                <w:szCs w:val="16"/>
              </w:rPr>
              <w:t>EN (decreasing)</w:t>
            </w:r>
          </w:p>
        </w:tc>
      </w:tr>
      <w:tr w:rsidR="00AC3F13" w:rsidRPr="00D85B3E" w14:paraId="7D5CFD98" w14:textId="77777777">
        <w:tc>
          <w:tcPr>
            <w:tcW w:w="0" w:type="auto"/>
          </w:tcPr>
          <w:p w14:paraId="6195F5CB" w14:textId="77777777" w:rsidR="00AC3F13" w:rsidRPr="00D85B3E" w:rsidRDefault="00AC3F13" w:rsidP="00AC3F13">
            <w:pPr>
              <w:pStyle w:val="FootnoteText"/>
              <w:rPr>
                <w:sz w:val="16"/>
                <w:szCs w:val="16"/>
              </w:rPr>
            </w:pPr>
            <w:r w:rsidRPr="00D85B3E">
              <w:rPr>
                <w:sz w:val="16"/>
                <w:szCs w:val="16"/>
              </w:rPr>
              <w:t>Loggerhead Turtle</w:t>
            </w:r>
          </w:p>
        </w:tc>
        <w:tc>
          <w:tcPr>
            <w:tcW w:w="0" w:type="auto"/>
          </w:tcPr>
          <w:p w14:paraId="51034965" w14:textId="77777777" w:rsidR="00AC3F13" w:rsidRPr="00D85B3E" w:rsidRDefault="00AC3F13" w:rsidP="00AC3F13">
            <w:pPr>
              <w:pStyle w:val="FootnoteText"/>
              <w:rPr>
                <w:i/>
                <w:iCs/>
                <w:sz w:val="16"/>
                <w:szCs w:val="16"/>
              </w:rPr>
            </w:pPr>
            <w:r w:rsidRPr="00D85B3E">
              <w:rPr>
                <w:i/>
                <w:iCs/>
                <w:sz w:val="16"/>
                <w:szCs w:val="16"/>
              </w:rPr>
              <w:t>Caretta caretta</w:t>
            </w:r>
          </w:p>
        </w:tc>
        <w:tc>
          <w:tcPr>
            <w:tcW w:w="0" w:type="auto"/>
          </w:tcPr>
          <w:p w14:paraId="0623855B" w14:textId="77777777" w:rsidR="00AC3F13" w:rsidRPr="00D85B3E" w:rsidRDefault="00AC3F13" w:rsidP="00AC3F13">
            <w:pPr>
              <w:pStyle w:val="FootnoteText"/>
              <w:rPr>
                <w:sz w:val="16"/>
                <w:szCs w:val="16"/>
              </w:rPr>
            </w:pPr>
            <w:r w:rsidRPr="00D85B3E">
              <w:rPr>
                <w:sz w:val="16"/>
                <w:szCs w:val="16"/>
              </w:rPr>
              <w:t>1985</w:t>
            </w:r>
          </w:p>
        </w:tc>
        <w:tc>
          <w:tcPr>
            <w:tcW w:w="0" w:type="auto"/>
          </w:tcPr>
          <w:p w14:paraId="1BBFA97C" w14:textId="77777777" w:rsidR="00AC3F13" w:rsidRPr="00D85B3E" w:rsidRDefault="00AC3F13" w:rsidP="00AC3F13">
            <w:pPr>
              <w:pStyle w:val="FootnoteText"/>
              <w:rPr>
                <w:sz w:val="16"/>
                <w:szCs w:val="16"/>
              </w:rPr>
            </w:pPr>
            <w:r w:rsidRPr="00D85B3E">
              <w:rPr>
                <w:sz w:val="16"/>
                <w:szCs w:val="16"/>
              </w:rPr>
              <w:t>1979</w:t>
            </w:r>
          </w:p>
        </w:tc>
        <w:tc>
          <w:tcPr>
            <w:tcW w:w="0" w:type="auto"/>
          </w:tcPr>
          <w:p w14:paraId="22D5C115" w14:textId="77777777" w:rsidR="00AC3F13" w:rsidRPr="00D85B3E" w:rsidRDefault="00AC3F13" w:rsidP="00AC3F13">
            <w:pPr>
              <w:pStyle w:val="FootnoteText"/>
              <w:rPr>
                <w:sz w:val="16"/>
                <w:szCs w:val="16"/>
              </w:rPr>
            </w:pPr>
            <w:r w:rsidRPr="00D85B3E">
              <w:rPr>
                <w:sz w:val="16"/>
                <w:szCs w:val="16"/>
              </w:rPr>
              <w:t>VU (decreasing)</w:t>
            </w:r>
          </w:p>
        </w:tc>
      </w:tr>
      <w:tr w:rsidR="00AC3F13" w:rsidRPr="00D85B3E" w14:paraId="768D0F44" w14:textId="77777777">
        <w:tc>
          <w:tcPr>
            <w:tcW w:w="0" w:type="auto"/>
          </w:tcPr>
          <w:p w14:paraId="7379AE8C" w14:textId="77777777" w:rsidR="00AC3F13" w:rsidRPr="00D85B3E" w:rsidRDefault="00AC3F13" w:rsidP="00AC3F13">
            <w:pPr>
              <w:pStyle w:val="FootnoteText"/>
              <w:rPr>
                <w:sz w:val="16"/>
                <w:szCs w:val="16"/>
              </w:rPr>
            </w:pPr>
            <w:r w:rsidRPr="00D85B3E">
              <w:rPr>
                <w:sz w:val="16"/>
                <w:szCs w:val="16"/>
              </w:rPr>
              <w:t>Hawksbill Turtle</w:t>
            </w:r>
          </w:p>
        </w:tc>
        <w:tc>
          <w:tcPr>
            <w:tcW w:w="0" w:type="auto"/>
          </w:tcPr>
          <w:p w14:paraId="1E2A144B" w14:textId="77777777" w:rsidR="00AC3F13" w:rsidRPr="00D85B3E" w:rsidRDefault="00AC3F13" w:rsidP="00AC3F13">
            <w:pPr>
              <w:pStyle w:val="FootnoteText"/>
              <w:rPr>
                <w:i/>
                <w:iCs/>
                <w:sz w:val="16"/>
                <w:szCs w:val="16"/>
              </w:rPr>
            </w:pPr>
            <w:r w:rsidRPr="00D85B3E">
              <w:rPr>
                <w:i/>
                <w:iCs/>
                <w:sz w:val="16"/>
                <w:szCs w:val="16"/>
              </w:rPr>
              <w:t>Eretmochelys imbricata</w:t>
            </w:r>
          </w:p>
        </w:tc>
        <w:tc>
          <w:tcPr>
            <w:tcW w:w="0" w:type="auto"/>
          </w:tcPr>
          <w:p w14:paraId="4F593638" w14:textId="77777777" w:rsidR="00AC3F13" w:rsidRPr="00D85B3E" w:rsidRDefault="00AC3F13" w:rsidP="00AC3F13">
            <w:pPr>
              <w:pStyle w:val="FootnoteText"/>
              <w:rPr>
                <w:sz w:val="16"/>
                <w:szCs w:val="16"/>
              </w:rPr>
            </w:pPr>
            <w:r w:rsidRPr="00D85B3E">
              <w:rPr>
                <w:sz w:val="16"/>
                <w:szCs w:val="16"/>
              </w:rPr>
              <w:t>1985</w:t>
            </w:r>
          </w:p>
        </w:tc>
        <w:tc>
          <w:tcPr>
            <w:tcW w:w="0" w:type="auto"/>
          </w:tcPr>
          <w:p w14:paraId="2C81EC4B" w14:textId="77777777" w:rsidR="00AC3F13" w:rsidRPr="00D85B3E" w:rsidRDefault="00AC3F13" w:rsidP="00AC3F13">
            <w:pPr>
              <w:pStyle w:val="FootnoteText"/>
              <w:rPr>
                <w:sz w:val="16"/>
                <w:szCs w:val="16"/>
              </w:rPr>
            </w:pPr>
            <w:r w:rsidRPr="00D85B3E">
              <w:rPr>
                <w:sz w:val="16"/>
                <w:szCs w:val="16"/>
              </w:rPr>
              <w:t>1979</w:t>
            </w:r>
          </w:p>
        </w:tc>
        <w:tc>
          <w:tcPr>
            <w:tcW w:w="0" w:type="auto"/>
          </w:tcPr>
          <w:p w14:paraId="0F52CCF2" w14:textId="77777777" w:rsidR="00AC3F13" w:rsidRPr="00D85B3E" w:rsidRDefault="00AC3F13" w:rsidP="00AC3F13">
            <w:pPr>
              <w:pStyle w:val="FootnoteText"/>
              <w:rPr>
                <w:sz w:val="16"/>
                <w:szCs w:val="16"/>
              </w:rPr>
            </w:pPr>
            <w:r w:rsidRPr="00D85B3E">
              <w:rPr>
                <w:sz w:val="16"/>
                <w:szCs w:val="16"/>
              </w:rPr>
              <w:t>CR (decreasing)</w:t>
            </w:r>
          </w:p>
        </w:tc>
      </w:tr>
      <w:tr w:rsidR="00AC3F13" w:rsidRPr="00D85B3E" w14:paraId="377ABBE3" w14:textId="77777777">
        <w:tc>
          <w:tcPr>
            <w:tcW w:w="0" w:type="auto"/>
          </w:tcPr>
          <w:p w14:paraId="1C8F9C1E" w14:textId="77777777" w:rsidR="00AC3F13" w:rsidRPr="00D85B3E" w:rsidRDefault="00AC3F13" w:rsidP="00AC3F13">
            <w:pPr>
              <w:pStyle w:val="FootnoteText"/>
              <w:rPr>
                <w:sz w:val="16"/>
                <w:szCs w:val="16"/>
              </w:rPr>
            </w:pPr>
            <w:r w:rsidRPr="00D85B3E">
              <w:rPr>
                <w:sz w:val="16"/>
                <w:szCs w:val="16"/>
              </w:rPr>
              <w:t>Kemp’s Ridley Turtle</w:t>
            </w:r>
          </w:p>
        </w:tc>
        <w:tc>
          <w:tcPr>
            <w:tcW w:w="0" w:type="auto"/>
          </w:tcPr>
          <w:p w14:paraId="4C64DA7A" w14:textId="77777777" w:rsidR="00AC3F13" w:rsidRPr="00D85B3E" w:rsidRDefault="00AC3F13" w:rsidP="00AC3F13">
            <w:pPr>
              <w:pStyle w:val="FootnoteText"/>
              <w:rPr>
                <w:i/>
                <w:iCs/>
                <w:sz w:val="16"/>
                <w:szCs w:val="16"/>
              </w:rPr>
            </w:pPr>
            <w:r w:rsidRPr="00D85B3E">
              <w:rPr>
                <w:i/>
                <w:iCs/>
                <w:sz w:val="16"/>
                <w:szCs w:val="16"/>
              </w:rPr>
              <w:t>Lepidochelys kempii</w:t>
            </w:r>
          </w:p>
        </w:tc>
        <w:tc>
          <w:tcPr>
            <w:tcW w:w="0" w:type="auto"/>
          </w:tcPr>
          <w:p w14:paraId="541E6145" w14:textId="77777777" w:rsidR="00AC3F13" w:rsidRPr="00D85B3E" w:rsidRDefault="00AC3F13" w:rsidP="00AC3F13">
            <w:pPr>
              <w:pStyle w:val="FootnoteText"/>
              <w:rPr>
                <w:sz w:val="16"/>
                <w:szCs w:val="16"/>
              </w:rPr>
            </w:pPr>
            <w:r w:rsidRPr="00D85B3E">
              <w:rPr>
                <w:sz w:val="16"/>
                <w:szCs w:val="16"/>
              </w:rPr>
              <w:t>1979</w:t>
            </w:r>
          </w:p>
        </w:tc>
        <w:tc>
          <w:tcPr>
            <w:tcW w:w="0" w:type="auto"/>
          </w:tcPr>
          <w:p w14:paraId="2C8683F0" w14:textId="77777777" w:rsidR="00AC3F13" w:rsidRPr="00D85B3E" w:rsidRDefault="00AC3F13" w:rsidP="00AC3F13">
            <w:pPr>
              <w:pStyle w:val="FootnoteText"/>
              <w:rPr>
                <w:sz w:val="16"/>
                <w:szCs w:val="16"/>
              </w:rPr>
            </w:pPr>
            <w:r w:rsidRPr="00D85B3E">
              <w:rPr>
                <w:sz w:val="16"/>
                <w:szCs w:val="16"/>
              </w:rPr>
              <w:t>1979</w:t>
            </w:r>
          </w:p>
        </w:tc>
        <w:tc>
          <w:tcPr>
            <w:tcW w:w="0" w:type="auto"/>
          </w:tcPr>
          <w:p w14:paraId="3F8048EE" w14:textId="77777777" w:rsidR="00AC3F13" w:rsidRPr="00D85B3E" w:rsidRDefault="00AC3F13" w:rsidP="00AC3F13">
            <w:pPr>
              <w:pStyle w:val="FootnoteText"/>
              <w:rPr>
                <w:sz w:val="16"/>
                <w:szCs w:val="16"/>
              </w:rPr>
            </w:pPr>
            <w:r w:rsidRPr="00D85B3E">
              <w:rPr>
                <w:sz w:val="16"/>
                <w:szCs w:val="16"/>
              </w:rPr>
              <w:t>CR (unknown)</w:t>
            </w:r>
          </w:p>
        </w:tc>
      </w:tr>
      <w:tr w:rsidR="00AC3F13" w:rsidRPr="00D85B3E" w14:paraId="26F5DC19" w14:textId="77777777">
        <w:tc>
          <w:tcPr>
            <w:tcW w:w="0" w:type="auto"/>
          </w:tcPr>
          <w:p w14:paraId="7A86BCBE" w14:textId="77777777" w:rsidR="00AC3F13" w:rsidRPr="00D85B3E" w:rsidRDefault="00AC3F13" w:rsidP="00AC3F13">
            <w:pPr>
              <w:pStyle w:val="FootnoteText"/>
              <w:rPr>
                <w:sz w:val="16"/>
                <w:szCs w:val="16"/>
              </w:rPr>
            </w:pPr>
            <w:r w:rsidRPr="00D85B3E">
              <w:rPr>
                <w:sz w:val="16"/>
                <w:szCs w:val="16"/>
              </w:rPr>
              <w:t>Olive Ridley Turtle</w:t>
            </w:r>
          </w:p>
        </w:tc>
        <w:tc>
          <w:tcPr>
            <w:tcW w:w="0" w:type="auto"/>
          </w:tcPr>
          <w:p w14:paraId="1E03B797" w14:textId="77777777" w:rsidR="00AC3F13" w:rsidRPr="00D85B3E" w:rsidRDefault="00AC3F13" w:rsidP="00AC3F13">
            <w:pPr>
              <w:pStyle w:val="FootnoteText"/>
              <w:rPr>
                <w:i/>
                <w:iCs/>
                <w:sz w:val="16"/>
                <w:szCs w:val="16"/>
              </w:rPr>
            </w:pPr>
            <w:r w:rsidRPr="00D85B3E">
              <w:rPr>
                <w:i/>
                <w:iCs/>
                <w:sz w:val="16"/>
                <w:szCs w:val="16"/>
              </w:rPr>
              <w:t>Lepidochelys olivacea</w:t>
            </w:r>
          </w:p>
        </w:tc>
        <w:tc>
          <w:tcPr>
            <w:tcW w:w="0" w:type="auto"/>
          </w:tcPr>
          <w:p w14:paraId="0FA6EB5C" w14:textId="77777777" w:rsidR="00AC3F13" w:rsidRPr="00D85B3E" w:rsidRDefault="00AC3F13" w:rsidP="00AC3F13">
            <w:pPr>
              <w:pStyle w:val="FootnoteText"/>
              <w:rPr>
                <w:sz w:val="16"/>
                <w:szCs w:val="16"/>
              </w:rPr>
            </w:pPr>
            <w:r w:rsidRPr="00D85B3E">
              <w:rPr>
                <w:sz w:val="16"/>
                <w:szCs w:val="16"/>
              </w:rPr>
              <w:t>1985</w:t>
            </w:r>
          </w:p>
        </w:tc>
        <w:tc>
          <w:tcPr>
            <w:tcW w:w="0" w:type="auto"/>
          </w:tcPr>
          <w:p w14:paraId="119FD130" w14:textId="77777777" w:rsidR="00AC3F13" w:rsidRPr="00D85B3E" w:rsidRDefault="00AC3F13" w:rsidP="00AC3F13">
            <w:pPr>
              <w:pStyle w:val="FootnoteText"/>
              <w:rPr>
                <w:sz w:val="16"/>
                <w:szCs w:val="16"/>
              </w:rPr>
            </w:pPr>
            <w:r w:rsidRPr="00D85B3E">
              <w:rPr>
                <w:sz w:val="16"/>
                <w:szCs w:val="16"/>
              </w:rPr>
              <w:t>1979</w:t>
            </w:r>
          </w:p>
        </w:tc>
        <w:tc>
          <w:tcPr>
            <w:tcW w:w="0" w:type="auto"/>
          </w:tcPr>
          <w:p w14:paraId="3B28CAB9" w14:textId="77777777" w:rsidR="00AC3F13" w:rsidRPr="00D85B3E" w:rsidRDefault="00AC3F13" w:rsidP="00AC3F13">
            <w:pPr>
              <w:pStyle w:val="FootnoteText"/>
              <w:rPr>
                <w:sz w:val="16"/>
                <w:szCs w:val="16"/>
              </w:rPr>
            </w:pPr>
            <w:r w:rsidRPr="00D85B3E">
              <w:rPr>
                <w:sz w:val="16"/>
                <w:szCs w:val="16"/>
              </w:rPr>
              <w:t>VU (decreasing)</w:t>
            </w:r>
          </w:p>
        </w:tc>
      </w:tr>
      <w:tr w:rsidR="00AC3F13" w:rsidRPr="00D85B3E" w14:paraId="163582BA" w14:textId="77777777">
        <w:tc>
          <w:tcPr>
            <w:tcW w:w="0" w:type="auto"/>
          </w:tcPr>
          <w:p w14:paraId="41096A19" w14:textId="77777777" w:rsidR="00AC3F13" w:rsidRPr="00D85B3E" w:rsidRDefault="00AC3F13" w:rsidP="00AC3F13">
            <w:pPr>
              <w:pStyle w:val="FootnoteText"/>
              <w:rPr>
                <w:sz w:val="16"/>
                <w:szCs w:val="16"/>
              </w:rPr>
            </w:pPr>
            <w:r w:rsidRPr="00D85B3E">
              <w:rPr>
                <w:sz w:val="16"/>
                <w:szCs w:val="16"/>
              </w:rPr>
              <w:t>Leatherback Turtle</w:t>
            </w:r>
          </w:p>
        </w:tc>
        <w:tc>
          <w:tcPr>
            <w:tcW w:w="0" w:type="auto"/>
          </w:tcPr>
          <w:p w14:paraId="213811B5" w14:textId="77777777" w:rsidR="00AC3F13" w:rsidRPr="00D85B3E" w:rsidRDefault="00AC3F13" w:rsidP="00AC3F13">
            <w:pPr>
              <w:pStyle w:val="FootnoteText"/>
              <w:rPr>
                <w:i/>
                <w:iCs/>
                <w:sz w:val="16"/>
                <w:szCs w:val="16"/>
              </w:rPr>
            </w:pPr>
            <w:r w:rsidRPr="00D85B3E">
              <w:rPr>
                <w:i/>
                <w:iCs/>
                <w:sz w:val="16"/>
                <w:szCs w:val="16"/>
              </w:rPr>
              <w:t>Dermochelys coriacea</w:t>
            </w:r>
          </w:p>
        </w:tc>
        <w:tc>
          <w:tcPr>
            <w:tcW w:w="0" w:type="auto"/>
          </w:tcPr>
          <w:p w14:paraId="7F0C114F" w14:textId="77777777" w:rsidR="00AC3F13" w:rsidRPr="00D85B3E" w:rsidRDefault="00AC3F13" w:rsidP="00AC3F13">
            <w:pPr>
              <w:pStyle w:val="FootnoteText"/>
              <w:rPr>
                <w:sz w:val="16"/>
                <w:szCs w:val="16"/>
              </w:rPr>
            </w:pPr>
            <w:r w:rsidRPr="00D85B3E">
              <w:rPr>
                <w:sz w:val="16"/>
                <w:szCs w:val="16"/>
              </w:rPr>
              <w:t>1979</w:t>
            </w:r>
          </w:p>
        </w:tc>
        <w:tc>
          <w:tcPr>
            <w:tcW w:w="0" w:type="auto"/>
          </w:tcPr>
          <w:p w14:paraId="0D010B9F" w14:textId="77777777" w:rsidR="00AC3F13" w:rsidRPr="00D85B3E" w:rsidRDefault="00AC3F13" w:rsidP="00AC3F13">
            <w:pPr>
              <w:pStyle w:val="FootnoteText"/>
              <w:rPr>
                <w:sz w:val="16"/>
                <w:szCs w:val="16"/>
              </w:rPr>
            </w:pPr>
            <w:r w:rsidRPr="00D85B3E">
              <w:rPr>
                <w:sz w:val="16"/>
                <w:szCs w:val="16"/>
              </w:rPr>
              <w:t>1979</w:t>
            </w:r>
          </w:p>
        </w:tc>
        <w:tc>
          <w:tcPr>
            <w:tcW w:w="0" w:type="auto"/>
          </w:tcPr>
          <w:p w14:paraId="7C27996A" w14:textId="77777777" w:rsidR="00AC3F13" w:rsidRPr="00D85B3E" w:rsidRDefault="00AC3F13" w:rsidP="00AC3F13">
            <w:pPr>
              <w:pStyle w:val="FootnoteText"/>
              <w:rPr>
                <w:sz w:val="16"/>
                <w:szCs w:val="16"/>
              </w:rPr>
            </w:pPr>
            <w:r w:rsidRPr="00D85B3E">
              <w:rPr>
                <w:sz w:val="16"/>
                <w:szCs w:val="16"/>
              </w:rPr>
              <w:t>VU (decreasing)</w:t>
            </w:r>
          </w:p>
        </w:tc>
      </w:tr>
      <w:tr w:rsidR="00AC3F13" w:rsidRPr="00D85B3E" w14:paraId="2DDDBF60" w14:textId="77777777">
        <w:tc>
          <w:tcPr>
            <w:tcW w:w="0" w:type="auto"/>
          </w:tcPr>
          <w:p w14:paraId="1DE4DFEE" w14:textId="77777777" w:rsidR="00AC3F13" w:rsidRPr="00D85B3E" w:rsidRDefault="00AC3F13" w:rsidP="00AC3F13">
            <w:pPr>
              <w:pStyle w:val="FootnoteText"/>
              <w:rPr>
                <w:sz w:val="16"/>
                <w:szCs w:val="16"/>
              </w:rPr>
            </w:pPr>
            <w:r w:rsidRPr="00D85B3E">
              <w:rPr>
                <w:sz w:val="16"/>
                <w:szCs w:val="16"/>
              </w:rPr>
              <w:t>Flatback Turtle</w:t>
            </w:r>
          </w:p>
        </w:tc>
        <w:tc>
          <w:tcPr>
            <w:tcW w:w="0" w:type="auto"/>
          </w:tcPr>
          <w:p w14:paraId="706F7670" w14:textId="77777777" w:rsidR="00AC3F13" w:rsidRPr="00D85B3E" w:rsidRDefault="00AC3F13" w:rsidP="00AC3F13">
            <w:pPr>
              <w:pStyle w:val="FootnoteText"/>
              <w:rPr>
                <w:i/>
                <w:iCs/>
                <w:sz w:val="16"/>
                <w:szCs w:val="16"/>
              </w:rPr>
            </w:pPr>
            <w:r w:rsidRPr="00D85B3E">
              <w:rPr>
                <w:i/>
                <w:iCs/>
                <w:sz w:val="16"/>
                <w:szCs w:val="16"/>
              </w:rPr>
              <w:t>Natator depressus</w:t>
            </w:r>
          </w:p>
        </w:tc>
        <w:tc>
          <w:tcPr>
            <w:tcW w:w="0" w:type="auto"/>
          </w:tcPr>
          <w:p w14:paraId="7F1FA3BD" w14:textId="77777777" w:rsidR="00AC3F13" w:rsidRPr="00D85B3E" w:rsidRDefault="00AC3F13" w:rsidP="00AC3F13">
            <w:pPr>
              <w:pStyle w:val="FootnoteText"/>
              <w:rPr>
                <w:sz w:val="16"/>
                <w:szCs w:val="16"/>
              </w:rPr>
            </w:pPr>
            <w:r w:rsidRPr="00D85B3E">
              <w:rPr>
                <w:sz w:val="16"/>
                <w:szCs w:val="16"/>
              </w:rPr>
              <w:t>-</w:t>
            </w:r>
          </w:p>
        </w:tc>
        <w:tc>
          <w:tcPr>
            <w:tcW w:w="0" w:type="auto"/>
          </w:tcPr>
          <w:p w14:paraId="7BD99001" w14:textId="77777777" w:rsidR="00AC3F13" w:rsidRPr="00D85B3E" w:rsidRDefault="00AC3F13" w:rsidP="00AC3F13">
            <w:pPr>
              <w:pStyle w:val="FootnoteText"/>
              <w:rPr>
                <w:sz w:val="16"/>
                <w:szCs w:val="16"/>
              </w:rPr>
            </w:pPr>
            <w:r w:rsidRPr="00D85B3E">
              <w:rPr>
                <w:sz w:val="16"/>
                <w:szCs w:val="16"/>
              </w:rPr>
              <w:t>1979</w:t>
            </w:r>
          </w:p>
        </w:tc>
        <w:tc>
          <w:tcPr>
            <w:tcW w:w="0" w:type="auto"/>
          </w:tcPr>
          <w:p w14:paraId="64766A6D" w14:textId="77777777" w:rsidR="00AC3F13" w:rsidRPr="00D85B3E" w:rsidRDefault="00AC3F13" w:rsidP="00AC3F13">
            <w:pPr>
              <w:pStyle w:val="FootnoteText"/>
              <w:rPr>
                <w:sz w:val="16"/>
                <w:szCs w:val="16"/>
              </w:rPr>
            </w:pPr>
            <w:r w:rsidRPr="00D85B3E">
              <w:rPr>
                <w:sz w:val="16"/>
                <w:szCs w:val="16"/>
              </w:rPr>
              <w:t>DD</w:t>
            </w:r>
          </w:p>
        </w:tc>
      </w:tr>
    </w:tbl>
    <w:p w14:paraId="0CBE445C" w14:textId="75CE45AB" w:rsidR="00AC3F13" w:rsidRPr="00D85B3E" w:rsidRDefault="00AC3F13" w:rsidP="00AC3F13">
      <w:pPr>
        <w:pStyle w:val="FootnoteText"/>
        <w:ind w:left="397" w:firstLine="397"/>
        <w:rPr>
          <w:sz w:val="16"/>
          <w:szCs w:val="16"/>
          <w:lang w:val="en-US"/>
        </w:rPr>
      </w:pPr>
      <w:r w:rsidRPr="00D85B3E">
        <w:rPr>
          <w:sz w:val="16"/>
          <w:szCs w:val="16"/>
          <w:lang w:val="en-US"/>
        </w:rPr>
        <w:t>EN = Endangered; VU = Vulnerable; CR = Critically Endangered; DD = Data Deficient</w:t>
      </w:r>
    </w:p>
  </w:footnote>
  <w:footnote w:id="3">
    <w:p w14:paraId="6D37B888" w14:textId="77777777" w:rsidR="00FF0009" w:rsidRPr="00D85B3E" w:rsidRDefault="00FF0009" w:rsidP="00FF0009">
      <w:pPr>
        <w:pStyle w:val="FootnoteText"/>
        <w:rPr>
          <w:sz w:val="16"/>
          <w:szCs w:val="16"/>
          <w:lang w:val="en-US"/>
        </w:rPr>
      </w:pPr>
      <w:r w:rsidRPr="00D85B3E">
        <w:rPr>
          <w:rStyle w:val="FootnoteReference"/>
          <w:sz w:val="16"/>
          <w:szCs w:val="16"/>
        </w:rPr>
        <w:footnoteRef/>
      </w:r>
      <w:r w:rsidRPr="00D85B3E">
        <w:rPr>
          <w:sz w:val="16"/>
          <w:szCs w:val="16"/>
        </w:rPr>
        <w:t xml:space="preserve"> Wallace et al. (2010). Regional Management Units for Marine Turtles: A Novel Framework for Prioritizing Conservation and Research across Multiple Scales. PLOS ONE 5(12): e15465. </w:t>
      </w:r>
      <w:hyperlink r:id="rId1" w:history="1">
        <w:r w:rsidRPr="00D85B3E">
          <w:rPr>
            <w:rStyle w:val="Hyperlink"/>
            <w:sz w:val="16"/>
            <w:szCs w:val="16"/>
          </w:rPr>
          <w:t>https://doi.org/10.1371/journal.pone.0015465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UNEP/CMS/COP13/Doc.</w:t>
    </w:r>
    <w:r w:rsidRPr="002E0DE9">
      <w:rPr>
        <w:rFonts w:eastAsia="Times New Roman" w:cs="Arial"/>
        <w:i/>
        <w:sz w:val="18"/>
        <w:szCs w:val="18"/>
        <w:shd w:val="clear" w:color="auto" w:fill="FFFF00"/>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w:t>
    </w:r>
    <w:r w:rsidR="00FE00E5">
      <w:rPr>
        <w:rFonts w:eastAsia="Times New Roman" w:cs="Arial"/>
        <w:i/>
        <w:sz w:val="18"/>
        <w:szCs w:val="18"/>
      </w:rPr>
      <w:t>4</w:t>
    </w:r>
    <w:r w:rsidRPr="002E0DE9">
      <w:rPr>
        <w:rFonts w:eastAsia="Times New Roman" w:cs="Arial"/>
        <w:i/>
        <w:sz w:val="18"/>
        <w:szCs w:val="18"/>
      </w:rPr>
      <w:t>/Doc.</w:t>
    </w:r>
    <w:r w:rsidRPr="002E0DE9">
      <w:rPr>
        <w:rFonts w:eastAsia="Times New Roman" w:cs="Arial"/>
        <w:i/>
        <w:sz w:val="18"/>
        <w:szCs w:val="18"/>
        <w:shd w:val="clear" w:color="auto" w:fill="FFFF00"/>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EAEE" w14:textId="060C549A" w:rsidR="00281B9F" w:rsidRPr="002E0DE9" w:rsidRDefault="00281B9F" w:rsidP="00281B9F">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rPr>
      <w:drawing>
        <wp:anchor distT="0" distB="0" distL="114300" distR="114300" simplePos="0" relativeHeight="251658241" behindDoc="1" locked="0" layoutInCell="1" allowOverlap="1" wp14:anchorId="4C23834C" wp14:editId="76F77AE4">
          <wp:simplePos x="0" y="0"/>
          <wp:positionH relativeFrom="column">
            <wp:posOffset>5608320</wp:posOffset>
          </wp:positionH>
          <wp:positionV relativeFrom="paragraph">
            <wp:posOffset>-88900</wp:posOffset>
          </wp:positionV>
          <wp:extent cx="541020" cy="259715"/>
          <wp:effectExtent l="0" t="0" r="0" b="6985"/>
          <wp:wrapTight wrapText="bothSides">
            <wp:wrapPolygon edited="0">
              <wp:start x="0" y="0"/>
              <wp:lineTo x="0" y="20597"/>
              <wp:lineTo x="20535" y="20597"/>
              <wp:lineTo x="2053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020" cy="259715"/>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49A1454B" wp14:editId="4A124991">
          <wp:simplePos x="0" y="0"/>
          <wp:positionH relativeFrom="column">
            <wp:posOffset>715645</wp:posOffset>
          </wp:positionH>
          <wp:positionV relativeFrom="paragraph">
            <wp:posOffset>-208915</wp:posOffset>
          </wp:positionV>
          <wp:extent cx="431165" cy="441325"/>
          <wp:effectExtent l="0" t="0" r="6983" b="0"/>
          <wp:wrapTight wrapText="bothSides">
            <wp:wrapPolygon edited="0">
              <wp:start x="0" y="0"/>
              <wp:lineTo x="0" y="20512"/>
              <wp:lineTo x="20995" y="20512"/>
              <wp:lineTo x="20995" y="0"/>
              <wp:lineTo x="0" y="0"/>
            </wp:wrapPolygon>
          </wp:wrapTight>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srcRect l="2780" t="-1236" r="60236" b="48836"/>
                  <a:stretch>
                    <a:fillRect/>
                  </a:stretch>
                </pic:blipFill>
                <pic:spPr>
                  <a:xfrm>
                    <a:off x="0" y="0"/>
                    <a:ext cx="431165" cy="44132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6A4AA10C" wp14:editId="561A856E">
          <wp:simplePos x="0" y="0"/>
          <wp:positionH relativeFrom="column">
            <wp:posOffset>-63500</wp:posOffset>
          </wp:positionH>
          <wp:positionV relativeFrom="paragraph">
            <wp:posOffset>-241300</wp:posOffset>
          </wp:positionV>
          <wp:extent cx="641350" cy="641350"/>
          <wp:effectExtent l="0" t="0" r="6350" b="635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08F8B"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49E7" w14:textId="07100715" w:rsidR="00371DE1" w:rsidRPr="004C2C44" w:rsidRDefault="007B6FE6" w:rsidP="00371DE1">
    <w:pPr>
      <w:pStyle w:val="Header"/>
      <w:pBdr>
        <w:bottom w:val="single" w:sz="4" w:space="1" w:color="auto"/>
      </w:pBdr>
      <w:rPr>
        <w:rFonts w:cs="Arial"/>
        <w:i/>
        <w:sz w:val="18"/>
        <w:szCs w:val="18"/>
        <w:lang w:val="en-US"/>
      </w:rPr>
    </w:pPr>
    <w:r w:rsidRPr="004C2C44">
      <w:rPr>
        <w:rFonts w:cs="Arial"/>
        <w:i/>
        <w:sz w:val="18"/>
        <w:szCs w:val="18"/>
        <w:lang w:val="en-US"/>
      </w:rPr>
      <w:t>UNEP/CMS/COP14/Doc.27.6.1</w:t>
    </w:r>
    <w:r w:rsidR="004C2C44" w:rsidRPr="004C2C44">
      <w:rPr>
        <w:rFonts w:cs="Arial"/>
        <w:i/>
        <w:sz w:val="18"/>
        <w:szCs w:val="18"/>
        <w:lang w:val="en-US"/>
      </w:rPr>
      <w:t>/Rev.</w:t>
    </w:r>
    <w:r w:rsidR="004C2C44">
      <w:rPr>
        <w:rFonts w:cs="Arial"/>
        <w:i/>
        <w:sz w:val="18"/>
        <w:szCs w:val="18"/>
        <w:lang w:val="en-US"/>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45B0C7AA" w:rsidR="00A836DB" w:rsidRPr="004C2C44" w:rsidRDefault="007B6FE6" w:rsidP="00A836DB">
    <w:pPr>
      <w:pStyle w:val="Header"/>
      <w:pBdr>
        <w:bottom w:val="single" w:sz="4" w:space="1" w:color="auto"/>
      </w:pBdr>
      <w:jc w:val="right"/>
      <w:rPr>
        <w:rFonts w:cs="Arial"/>
        <w:i/>
        <w:sz w:val="18"/>
        <w:szCs w:val="18"/>
        <w:lang w:val="en-US"/>
      </w:rPr>
    </w:pPr>
    <w:r w:rsidRPr="004C2C44">
      <w:rPr>
        <w:rFonts w:cs="Arial"/>
        <w:i/>
        <w:sz w:val="18"/>
        <w:szCs w:val="18"/>
        <w:lang w:val="en-US"/>
      </w:rPr>
      <w:t>UNEP/CMS/COP14/Doc.27.6.1</w:t>
    </w:r>
    <w:r w:rsidR="004C2C44" w:rsidRPr="004C2C44">
      <w:rPr>
        <w:rFonts w:cs="Arial"/>
        <w:i/>
        <w:sz w:val="18"/>
        <w:szCs w:val="18"/>
        <w:lang w:val="en-US"/>
      </w:rPr>
      <w:t>/Rev</w:t>
    </w:r>
    <w:r w:rsidR="004C2C44">
      <w:rPr>
        <w:rFonts w:cs="Arial"/>
        <w:i/>
        <w:sz w:val="18"/>
        <w:szCs w:val="18"/>
        <w:lang w:val="en-US"/>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5F577D74" w:rsidR="00831DC2" w:rsidRPr="004C2C44" w:rsidRDefault="00831DC2" w:rsidP="002D6582">
    <w:pPr>
      <w:pStyle w:val="Header"/>
      <w:pBdr>
        <w:bottom w:val="single" w:sz="4" w:space="1" w:color="auto"/>
      </w:pBdr>
      <w:rPr>
        <w:rFonts w:cs="Arial"/>
        <w:i/>
        <w:sz w:val="18"/>
        <w:szCs w:val="18"/>
        <w:lang w:val="en-US"/>
      </w:rPr>
    </w:pPr>
    <w:r w:rsidRPr="004C2C44">
      <w:rPr>
        <w:rFonts w:cs="Arial"/>
        <w:i/>
        <w:sz w:val="18"/>
        <w:szCs w:val="18"/>
        <w:lang w:val="en-US"/>
      </w:rPr>
      <w:t>UNEP/CMS/COP1</w:t>
    </w:r>
    <w:r w:rsidR="00FE00E5" w:rsidRPr="004C2C44">
      <w:rPr>
        <w:rFonts w:cs="Arial"/>
        <w:i/>
        <w:sz w:val="18"/>
        <w:szCs w:val="18"/>
        <w:lang w:val="en-US"/>
      </w:rPr>
      <w:t>4</w:t>
    </w:r>
    <w:r w:rsidRPr="004C2C44">
      <w:rPr>
        <w:rFonts w:cs="Arial"/>
        <w:i/>
        <w:sz w:val="18"/>
        <w:szCs w:val="18"/>
        <w:lang w:val="en-US"/>
      </w:rPr>
      <w:t>/Doc.</w:t>
    </w:r>
    <w:r w:rsidR="007B6FE6" w:rsidRPr="004C2C44">
      <w:rPr>
        <w:rFonts w:cs="Arial"/>
        <w:i/>
        <w:sz w:val="18"/>
        <w:szCs w:val="18"/>
        <w:lang w:val="en-US"/>
      </w:rPr>
      <w:t>27.6.1</w:t>
    </w:r>
    <w:r w:rsidR="004C2C44">
      <w:rPr>
        <w:rFonts w:cs="Arial"/>
        <w:i/>
        <w:sz w:val="18"/>
        <w:szCs w:val="18"/>
        <w:lang w:val="en-US"/>
      </w:rPr>
      <w:t>/Rev.1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77777777" w:rsidR="00371DE1" w:rsidRPr="00661875" w:rsidRDefault="00371DE1" w:rsidP="00371DE1">
    <w:pPr>
      <w:pStyle w:val="Header"/>
      <w:pBdr>
        <w:bottom w:val="single" w:sz="4" w:space="1" w:color="auto"/>
      </w:pBdr>
      <w:rPr>
        <w:rFonts w:cs="Arial"/>
        <w:i/>
        <w:sz w:val="18"/>
        <w:szCs w:val="18"/>
        <w:lang w:val="de-DE"/>
      </w:rPr>
    </w:pPr>
    <w:r w:rsidRPr="00661875">
      <w:rPr>
        <w:rFonts w:cs="Arial"/>
        <w:i/>
        <w:sz w:val="18"/>
        <w:szCs w:val="18"/>
        <w:lang w:val="de-DE"/>
      </w:rPr>
      <w:t>UNEP/CMS/COP13/Doc.[  ]</w:t>
    </w:r>
    <w:r>
      <w:rPr>
        <w:rFonts w:cs="Arial"/>
        <w:i/>
        <w:sz w:val="18"/>
        <w:szCs w:val="18"/>
        <w:lang w:val="de-DE"/>
      </w:rPr>
      <w:t>/Annex[...]</w:t>
    </w:r>
  </w:p>
  <w:p w14:paraId="66849521" w14:textId="77777777" w:rsidR="00371DE1" w:rsidRPr="00371DE1" w:rsidRDefault="00371DE1"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3C66B068" w:rsidR="00371DE1" w:rsidRPr="00203E94" w:rsidRDefault="007B6FE6" w:rsidP="00081F91">
    <w:pPr>
      <w:pStyle w:val="Header"/>
      <w:pBdr>
        <w:bottom w:val="single" w:sz="4" w:space="1" w:color="auto"/>
      </w:pBdr>
      <w:jc w:val="right"/>
      <w:rPr>
        <w:rFonts w:cs="Arial"/>
        <w:i/>
        <w:sz w:val="18"/>
        <w:szCs w:val="18"/>
        <w:lang w:val="en-US"/>
      </w:rPr>
    </w:pPr>
    <w:r w:rsidRPr="00203E94">
      <w:rPr>
        <w:rFonts w:cs="Arial"/>
        <w:i/>
        <w:sz w:val="18"/>
        <w:szCs w:val="18"/>
        <w:lang w:val="en-US"/>
      </w:rPr>
      <w:t>UNEP/CMS/COP14/Doc.27.6.1</w:t>
    </w:r>
    <w:r w:rsidR="00371DE1" w:rsidRPr="00203E94">
      <w:rPr>
        <w:rFonts w:cs="Arial"/>
        <w:i/>
        <w:sz w:val="18"/>
        <w:szCs w:val="18"/>
        <w:lang w:val="en-US"/>
      </w:rPr>
      <w:t>/</w:t>
    </w:r>
    <w:r w:rsidR="00D67F0E" w:rsidRPr="00203E94">
      <w:rPr>
        <w:rFonts w:cs="Arial"/>
        <w:i/>
        <w:sz w:val="18"/>
        <w:szCs w:val="18"/>
        <w:lang w:val="en-US"/>
      </w:rPr>
      <w:t>Rev.1</w:t>
    </w:r>
    <w:r w:rsidR="00203E94">
      <w:rPr>
        <w:rFonts w:cs="Arial"/>
        <w:i/>
        <w:sz w:val="18"/>
        <w:szCs w:val="18"/>
        <w:lang w:val="en-US"/>
      </w:rPr>
      <w:t>/</w:t>
    </w:r>
    <w:r w:rsidR="00371DE1" w:rsidRPr="00203E94">
      <w:rPr>
        <w:rFonts w:cs="Arial"/>
        <w:i/>
        <w:sz w:val="18"/>
        <w:szCs w:val="18"/>
        <w:lang w:val="en-US"/>
      </w:rPr>
      <w:t>Annex</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 w15:restartNumberingAfterBreak="0">
    <w:nsid w:val="0B167148"/>
    <w:multiLevelType w:val="hybridMultilevel"/>
    <w:tmpl w:val="D938C2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5645D"/>
    <w:multiLevelType w:val="hybridMultilevel"/>
    <w:tmpl w:val="902090C2"/>
    <w:lvl w:ilvl="0" w:tplc="0E3C529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3DF48E4"/>
    <w:multiLevelType w:val="hybridMultilevel"/>
    <w:tmpl w:val="697AC6F0"/>
    <w:lvl w:ilvl="0" w:tplc="626AF6BC">
      <w:start w:val="1"/>
      <w:numFmt w:val="lowerLetter"/>
      <w:pStyle w:val="Secondnumbering"/>
      <w:lvlText w:val="%1)"/>
      <w:lvlJc w:val="righ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6"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9"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6BF1F90"/>
    <w:multiLevelType w:val="hybridMultilevel"/>
    <w:tmpl w:val="C550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3" w15:restartNumberingAfterBreak="0">
    <w:nsid w:val="61C5114F"/>
    <w:multiLevelType w:val="hybridMultilevel"/>
    <w:tmpl w:val="A6DA6EC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69A23F83"/>
    <w:multiLevelType w:val="hybridMultilevel"/>
    <w:tmpl w:val="A6DA6EC0"/>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7"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FE4138"/>
    <w:multiLevelType w:val="hybridMultilevel"/>
    <w:tmpl w:val="69F4525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760158F3"/>
    <w:multiLevelType w:val="multilevel"/>
    <w:tmpl w:val="6C82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num w:numId="1" w16cid:durableId="1801529980">
    <w:abstractNumId w:val="11"/>
  </w:num>
  <w:num w:numId="2" w16cid:durableId="743140353">
    <w:abstractNumId w:val="17"/>
  </w:num>
  <w:num w:numId="3" w16cid:durableId="308637030">
    <w:abstractNumId w:val="4"/>
  </w:num>
  <w:num w:numId="4" w16cid:durableId="237058914">
    <w:abstractNumId w:val="8"/>
  </w:num>
  <w:num w:numId="5" w16cid:durableId="696585952">
    <w:abstractNumId w:val="1"/>
  </w:num>
  <w:num w:numId="6" w16cid:durableId="24526588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9117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1070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8245739">
    <w:abstractNumId w:val="12"/>
  </w:num>
  <w:num w:numId="10" w16cid:durableId="470904648">
    <w:abstractNumId w:val="14"/>
  </w:num>
  <w:num w:numId="11" w16cid:durableId="1894542546">
    <w:abstractNumId w:val="4"/>
    <w:lvlOverride w:ilvl="0">
      <w:startOverride w:val="1"/>
    </w:lvlOverride>
  </w:num>
  <w:num w:numId="12" w16cid:durableId="525095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9369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19077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5330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38664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26302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9476626">
    <w:abstractNumId w:val="16"/>
  </w:num>
  <w:num w:numId="19" w16cid:durableId="928854680">
    <w:abstractNumId w:val="18"/>
  </w:num>
  <w:num w:numId="20" w16cid:durableId="1087728535">
    <w:abstractNumId w:val="3"/>
  </w:num>
  <w:num w:numId="21" w16cid:durableId="740130694">
    <w:abstractNumId w:val="13"/>
  </w:num>
  <w:num w:numId="22" w16cid:durableId="56318435">
    <w:abstractNumId w:val="19"/>
  </w:num>
  <w:num w:numId="23" w16cid:durableId="661201824">
    <w:abstractNumId w:val="2"/>
  </w:num>
  <w:num w:numId="24" w16cid:durableId="12997252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01F8"/>
    <w:rsid w:val="00011593"/>
    <w:rsid w:val="0001212C"/>
    <w:rsid w:val="000164E3"/>
    <w:rsid w:val="0002144D"/>
    <w:rsid w:val="000236AD"/>
    <w:rsid w:val="000249AC"/>
    <w:rsid w:val="00024ACD"/>
    <w:rsid w:val="000274C3"/>
    <w:rsid w:val="00034A98"/>
    <w:rsid w:val="00055CE4"/>
    <w:rsid w:val="00067774"/>
    <w:rsid w:val="00067EE3"/>
    <w:rsid w:val="000764F1"/>
    <w:rsid w:val="000801E6"/>
    <w:rsid w:val="000801EF"/>
    <w:rsid w:val="00081F91"/>
    <w:rsid w:val="0008797E"/>
    <w:rsid w:val="000910F0"/>
    <w:rsid w:val="00093AD2"/>
    <w:rsid w:val="00095CE9"/>
    <w:rsid w:val="000A2100"/>
    <w:rsid w:val="000A3806"/>
    <w:rsid w:val="000B25AA"/>
    <w:rsid w:val="000B521A"/>
    <w:rsid w:val="000B6178"/>
    <w:rsid w:val="000B7600"/>
    <w:rsid w:val="000C349E"/>
    <w:rsid w:val="000C3FFA"/>
    <w:rsid w:val="000C4F12"/>
    <w:rsid w:val="000C7737"/>
    <w:rsid w:val="000C7B92"/>
    <w:rsid w:val="000D04D7"/>
    <w:rsid w:val="000D2CE4"/>
    <w:rsid w:val="000D318F"/>
    <w:rsid w:val="000D546D"/>
    <w:rsid w:val="000D6D67"/>
    <w:rsid w:val="000E4EDF"/>
    <w:rsid w:val="000F2A69"/>
    <w:rsid w:val="000F7A9D"/>
    <w:rsid w:val="00103AAF"/>
    <w:rsid w:val="00106C16"/>
    <w:rsid w:val="00112086"/>
    <w:rsid w:val="00112F18"/>
    <w:rsid w:val="00114E27"/>
    <w:rsid w:val="0011650D"/>
    <w:rsid w:val="001165FC"/>
    <w:rsid w:val="001229C3"/>
    <w:rsid w:val="00126342"/>
    <w:rsid w:val="00131977"/>
    <w:rsid w:val="00141A92"/>
    <w:rsid w:val="00141D3F"/>
    <w:rsid w:val="001467CE"/>
    <w:rsid w:val="001509B5"/>
    <w:rsid w:val="00150BA7"/>
    <w:rsid w:val="0015164F"/>
    <w:rsid w:val="00152AF2"/>
    <w:rsid w:val="00154089"/>
    <w:rsid w:val="00156E35"/>
    <w:rsid w:val="00163E96"/>
    <w:rsid w:val="0017266D"/>
    <w:rsid w:val="00175D3D"/>
    <w:rsid w:val="00183445"/>
    <w:rsid w:val="00184CF0"/>
    <w:rsid w:val="0019038D"/>
    <w:rsid w:val="0019173E"/>
    <w:rsid w:val="00193FA8"/>
    <w:rsid w:val="001A2ED9"/>
    <w:rsid w:val="001A385E"/>
    <w:rsid w:val="001A4350"/>
    <w:rsid w:val="001B07E2"/>
    <w:rsid w:val="001B3258"/>
    <w:rsid w:val="001B5DF0"/>
    <w:rsid w:val="001C009A"/>
    <w:rsid w:val="001C3469"/>
    <w:rsid w:val="001C3B9F"/>
    <w:rsid w:val="001D25E8"/>
    <w:rsid w:val="001D3C11"/>
    <w:rsid w:val="001E3287"/>
    <w:rsid w:val="001E38D5"/>
    <w:rsid w:val="001E7081"/>
    <w:rsid w:val="001F576E"/>
    <w:rsid w:val="001F5E6D"/>
    <w:rsid w:val="001F7654"/>
    <w:rsid w:val="00200151"/>
    <w:rsid w:val="00201020"/>
    <w:rsid w:val="00201DFA"/>
    <w:rsid w:val="00203E94"/>
    <w:rsid w:val="002056DF"/>
    <w:rsid w:val="00214F2B"/>
    <w:rsid w:val="00217CD1"/>
    <w:rsid w:val="00220FA9"/>
    <w:rsid w:val="0022706B"/>
    <w:rsid w:val="00227D30"/>
    <w:rsid w:val="00231B3D"/>
    <w:rsid w:val="0023480E"/>
    <w:rsid w:val="00235BC6"/>
    <w:rsid w:val="00240F90"/>
    <w:rsid w:val="002412EF"/>
    <w:rsid w:val="002553E9"/>
    <w:rsid w:val="0025712B"/>
    <w:rsid w:val="00260347"/>
    <w:rsid w:val="00261DA8"/>
    <w:rsid w:val="00262DF3"/>
    <w:rsid w:val="002652B6"/>
    <w:rsid w:val="002757F6"/>
    <w:rsid w:val="0027617B"/>
    <w:rsid w:val="00281B9F"/>
    <w:rsid w:val="00286119"/>
    <w:rsid w:val="00287F1F"/>
    <w:rsid w:val="00290227"/>
    <w:rsid w:val="0029338A"/>
    <w:rsid w:val="00293EE1"/>
    <w:rsid w:val="002942CD"/>
    <w:rsid w:val="002958B5"/>
    <w:rsid w:val="00295B66"/>
    <w:rsid w:val="00296301"/>
    <w:rsid w:val="002A012C"/>
    <w:rsid w:val="002A06FE"/>
    <w:rsid w:val="002A41B8"/>
    <w:rsid w:val="002A4C0A"/>
    <w:rsid w:val="002B064E"/>
    <w:rsid w:val="002B06A1"/>
    <w:rsid w:val="002C6BD6"/>
    <w:rsid w:val="002D573C"/>
    <w:rsid w:val="002D6582"/>
    <w:rsid w:val="002E0DE9"/>
    <w:rsid w:val="002F6CC1"/>
    <w:rsid w:val="00310B43"/>
    <w:rsid w:val="0031317E"/>
    <w:rsid w:val="00315D97"/>
    <w:rsid w:val="0031725D"/>
    <w:rsid w:val="00322248"/>
    <w:rsid w:val="00331076"/>
    <w:rsid w:val="00345278"/>
    <w:rsid w:val="003457CE"/>
    <w:rsid w:val="00351379"/>
    <w:rsid w:val="00353F35"/>
    <w:rsid w:val="00356666"/>
    <w:rsid w:val="00360838"/>
    <w:rsid w:val="00362532"/>
    <w:rsid w:val="003653D2"/>
    <w:rsid w:val="00371DE1"/>
    <w:rsid w:val="003771A2"/>
    <w:rsid w:val="00380897"/>
    <w:rsid w:val="00383651"/>
    <w:rsid w:val="00392513"/>
    <w:rsid w:val="003973C6"/>
    <w:rsid w:val="003A408A"/>
    <w:rsid w:val="003A6C73"/>
    <w:rsid w:val="003B0545"/>
    <w:rsid w:val="003C0EC0"/>
    <w:rsid w:val="003C2106"/>
    <w:rsid w:val="003D1A53"/>
    <w:rsid w:val="003D6030"/>
    <w:rsid w:val="003E0F1E"/>
    <w:rsid w:val="003E23D3"/>
    <w:rsid w:val="003E2671"/>
    <w:rsid w:val="003E3880"/>
    <w:rsid w:val="003F0294"/>
    <w:rsid w:val="003F3F31"/>
    <w:rsid w:val="004038F0"/>
    <w:rsid w:val="0040470F"/>
    <w:rsid w:val="0041645B"/>
    <w:rsid w:val="004203A3"/>
    <w:rsid w:val="0042463F"/>
    <w:rsid w:val="0042492D"/>
    <w:rsid w:val="00427F2F"/>
    <w:rsid w:val="004348D1"/>
    <w:rsid w:val="004369A8"/>
    <w:rsid w:val="00450F83"/>
    <w:rsid w:val="004564BA"/>
    <w:rsid w:val="00461E85"/>
    <w:rsid w:val="00462D2C"/>
    <w:rsid w:val="0046446B"/>
    <w:rsid w:val="00466CF8"/>
    <w:rsid w:val="004672F1"/>
    <w:rsid w:val="00473EF5"/>
    <w:rsid w:val="0048118D"/>
    <w:rsid w:val="0048181E"/>
    <w:rsid w:val="00485AE9"/>
    <w:rsid w:val="00485B0D"/>
    <w:rsid w:val="00492B85"/>
    <w:rsid w:val="00492DE7"/>
    <w:rsid w:val="00494E6C"/>
    <w:rsid w:val="004A1B36"/>
    <w:rsid w:val="004A3170"/>
    <w:rsid w:val="004A5A7E"/>
    <w:rsid w:val="004B4FBA"/>
    <w:rsid w:val="004B7071"/>
    <w:rsid w:val="004C1DB1"/>
    <w:rsid w:val="004C2C44"/>
    <w:rsid w:val="004C3704"/>
    <w:rsid w:val="004D12BB"/>
    <w:rsid w:val="004D1A7F"/>
    <w:rsid w:val="004E03AE"/>
    <w:rsid w:val="004E5FFF"/>
    <w:rsid w:val="004F51CE"/>
    <w:rsid w:val="004F625A"/>
    <w:rsid w:val="004F6DD0"/>
    <w:rsid w:val="00500FCA"/>
    <w:rsid w:val="005042A6"/>
    <w:rsid w:val="00510036"/>
    <w:rsid w:val="00510AA0"/>
    <w:rsid w:val="0051546B"/>
    <w:rsid w:val="0052489D"/>
    <w:rsid w:val="00525A41"/>
    <w:rsid w:val="00530E0C"/>
    <w:rsid w:val="005330F7"/>
    <w:rsid w:val="00540894"/>
    <w:rsid w:val="00540908"/>
    <w:rsid w:val="005455D1"/>
    <w:rsid w:val="00547FCF"/>
    <w:rsid w:val="00554709"/>
    <w:rsid w:val="00562A3C"/>
    <w:rsid w:val="00563598"/>
    <w:rsid w:val="005704CA"/>
    <w:rsid w:val="005724D5"/>
    <w:rsid w:val="00573BC4"/>
    <w:rsid w:val="00573E7C"/>
    <w:rsid w:val="00581247"/>
    <w:rsid w:val="00581B67"/>
    <w:rsid w:val="00581D7C"/>
    <w:rsid w:val="00590FDF"/>
    <w:rsid w:val="00596C79"/>
    <w:rsid w:val="005A14F6"/>
    <w:rsid w:val="005A2951"/>
    <w:rsid w:val="005A7988"/>
    <w:rsid w:val="005B4424"/>
    <w:rsid w:val="005B6825"/>
    <w:rsid w:val="005C278F"/>
    <w:rsid w:val="005C62A2"/>
    <w:rsid w:val="005D2384"/>
    <w:rsid w:val="005D41F7"/>
    <w:rsid w:val="005D488F"/>
    <w:rsid w:val="005D72AB"/>
    <w:rsid w:val="005E0956"/>
    <w:rsid w:val="005E4CC7"/>
    <w:rsid w:val="005E53E8"/>
    <w:rsid w:val="005F0731"/>
    <w:rsid w:val="005F1D40"/>
    <w:rsid w:val="0060254B"/>
    <w:rsid w:val="006031E6"/>
    <w:rsid w:val="006067F5"/>
    <w:rsid w:val="006100C4"/>
    <w:rsid w:val="00617A73"/>
    <w:rsid w:val="00620B70"/>
    <w:rsid w:val="0063026B"/>
    <w:rsid w:val="00631BFD"/>
    <w:rsid w:val="006343F5"/>
    <w:rsid w:val="00647E54"/>
    <w:rsid w:val="00647FAE"/>
    <w:rsid w:val="00651FAA"/>
    <w:rsid w:val="00652364"/>
    <w:rsid w:val="00657166"/>
    <w:rsid w:val="006616B0"/>
    <w:rsid w:val="00661875"/>
    <w:rsid w:val="00661CF9"/>
    <w:rsid w:val="00673F55"/>
    <w:rsid w:val="0067762F"/>
    <w:rsid w:val="00680384"/>
    <w:rsid w:val="00682D0B"/>
    <w:rsid w:val="0068310F"/>
    <w:rsid w:val="00687E79"/>
    <w:rsid w:val="006942C4"/>
    <w:rsid w:val="006946BB"/>
    <w:rsid w:val="00695AAD"/>
    <w:rsid w:val="0069797E"/>
    <w:rsid w:val="006A2703"/>
    <w:rsid w:val="006A2A18"/>
    <w:rsid w:val="006A5340"/>
    <w:rsid w:val="006A7DF5"/>
    <w:rsid w:val="006B6662"/>
    <w:rsid w:val="006B7BDC"/>
    <w:rsid w:val="006C33DE"/>
    <w:rsid w:val="006C6C40"/>
    <w:rsid w:val="006C7482"/>
    <w:rsid w:val="006C78A2"/>
    <w:rsid w:val="00700019"/>
    <w:rsid w:val="00701B4F"/>
    <w:rsid w:val="0070329C"/>
    <w:rsid w:val="00711A29"/>
    <w:rsid w:val="00712FA7"/>
    <w:rsid w:val="00716557"/>
    <w:rsid w:val="00716EE7"/>
    <w:rsid w:val="00720DB4"/>
    <w:rsid w:val="007274AE"/>
    <w:rsid w:val="0073035E"/>
    <w:rsid w:val="00731020"/>
    <w:rsid w:val="00732F08"/>
    <w:rsid w:val="0074079D"/>
    <w:rsid w:val="007444BB"/>
    <w:rsid w:val="00746C6E"/>
    <w:rsid w:val="00753D1B"/>
    <w:rsid w:val="007547C6"/>
    <w:rsid w:val="0075528F"/>
    <w:rsid w:val="007552B0"/>
    <w:rsid w:val="007557AC"/>
    <w:rsid w:val="007572E4"/>
    <w:rsid w:val="00762F9A"/>
    <w:rsid w:val="00765F76"/>
    <w:rsid w:val="00770970"/>
    <w:rsid w:val="00770CFE"/>
    <w:rsid w:val="007766AD"/>
    <w:rsid w:val="00781742"/>
    <w:rsid w:val="00786548"/>
    <w:rsid w:val="007912D4"/>
    <w:rsid w:val="007A16AD"/>
    <w:rsid w:val="007A1A96"/>
    <w:rsid w:val="007A2F9E"/>
    <w:rsid w:val="007B305E"/>
    <w:rsid w:val="007B57F6"/>
    <w:rsid w:val="007B5851"/>
    <w:rsid w:val="007B6FE6"/>
    <w:rsid w:val="007C1D82"/>
    <w:rsid w:val="007C20AA"/>
    <w:rsid w:val="007C666D"/>
    <w:rsid w:val="007C7490"/>
    <w:rsid w:val="007D32B7"/>
    <w:rsid w:val="007D694B"/>
    <w:rsid w:val="007D77D9"/>
    <w:rsid w:val="007E3F1B"/>
    <w:rsid w:val="007E641E"/>
    <w:rsid w:val="00801DEF"/>
    <w:rsid w:val="008033FD"/>
    <w:rsid w:val="00803CE1"/>
    <w:rsid w:val="00804832"/>
    <w:rsid w:val="008118A4"/>
    <w:rsid w:val="00813725"/>
    <w:rsid w:val="008156DF"/>
    <w:rsid w:val="0081570E"/>
    <w:rsid w:val="00815985"/>
    <w:rsid w:val="00817AFC"/>
    <w:rsid w:val="008226C3"/>
    <w:rsid w:val="0083038B"/>
    <w:rsid w:val="00831A32"/>
    <w:rsid w:val="00831DC2"/>
    <w:rsid w:val="00844FDD"/>
    <w:rsid w:val="008635AB"/>
    <w:rsid w:val="00875307"/>
    <w:rsid w:val="00877F0A"/>
    <w:rsid w:val="008874CB"/>
    <w:rsid w:val="00894018"/>
    <w:rsid w:val="00895A80"/>
    <w:rsid w:val="008A256A"/>
    <w:rsid w:val="008A2891"/>
    <w:rsid w:val="008A2F8A"/>
    <w:rsid w:val="008B0AC3"/>
    <w:rsid w:val="008B1154"/>
    <w:rsid w:val="008B1B57"/>
    <w:rsid w:val="008B1F16"/>
    <w:rsid w:val="008C3546"/>
    <w:rsid w:val="008C4BD2"/>
    <w:rsid w:val="008C54E1"/>
    <w:rsid w:val="008D3F49"/>
    <w:rsid w:val="008D66E6"/>
    <w:rsid w:val="008E61AF"/>
    <w:rsid w:val="008F5738"/>
    <w:rsid w:val="00900B80"/>
    <w:rsid w:val="00903718"/>
    <w:rsid w:val="00905499"/>
    <w:rsid w:val="009060E0"/>
    <w:rsid w:val="009111AE"/>
    <w:rsid w:val="00912F65"/>
    <w:rsid w:val="009131CB"/>
    <w:rsid w:val="00914D3D"/>
    <w:rsid w:val="0092340E"/>
    <w:rsid w:val="00930B0A"/>
    <w:rsid w:val="00944087"/>
    <w:rsid w:val="00947477"/>
    <w:rsid w:val="00947837"/>
    <w:rsid w:val="00947FE4"/>
    <w:rsid w:val="00950724"/>
    <w:rsid w:val="0096215D"/>
    <w:rsid w:val="0096370D"/>
    <w:rsid w:val="009815FE"/>
    <w:rsid w:val="0098496B"/>
    <w:rsid w:val="009920CB"/>
    <w:rsid w:val="0099516E"/>
    <w:rsid w:val="009A3C8D"/>
    <w:rsid w:val="009A6045"/>
    <w:rsid w:val="009B011B"/>
    <w:rsid w:val="009B30D2"/>
    <w:rsid w:val="009B4731"/>
    <w:rsid w:val="009C1079"/>
    <w:rsid w:val="009D26D8"/>
    <w:rsid w:val="009D2910"/>
    <w:rsid w:val="009D4B09"/>
    <w:rsid w:val="009E6A41"/>
    <w:rsid w:val="009F020D"/>
    <w:rsid w:val="009F0BF0"/>
    <w:rsid w:val="009F1C20"/>
    <w:rsid w:val="009F210B"/>
    <w:rsid w:val="009F2C2F"/>
    <w:rsid w:val="009F3BBF"/>
    <w:rsid w:val="009F4684"/>
    <w:rsid w:val="00A008F0"/>
    <w:rsid w:val="00A040D6"/>
    <w:rsid w:val="00A1367A"/>
    <w:rsid w:val="00A13DD4"/>
    <w:rsid w:val="00A15CCF"/>
    <w:rsid w:val="00A23602"/>
    <w:rsid w:val="00A259D4"/>
    <w:rsid w:val="00A27008"/>
    <w:rsid w:val="00A34291"/>
    <w:rsid w:val="00A372EF"/>
    <w:rsid w:val="00A460F2"/>
    <w:rsid w:val="00A51014"/>
    <w:rsid w:val="00A55DA6"/>
    <w:rsid w:val="00A632B8"/>
    <w:rsid w:val="00A836DB"/>
    <w:rsid w:val="00A83A71"/>
    <w:rsid w:val="00A87533"/>
    <w:rsid w:val="00A90DF6"/>
    <w:rsid w:val="00AA356C"/>
    <w:rsid w:val="00AB41AE"/>
    <w:rsid w:val="00AB52B6"/>
    <w:rsid w:val="00AC39FA"/>
    <w:rsid w:val="00AC3F13"/>
    <w:rsid w:val="00AD402C"/>
    <w:rsid w:val="00AD7940"/>
    <w:rsid w:val="00AE1DC7"/>
    <w:rsid w:val="00AE77D1"/>
    <w:rsid w:val="00AF33FF"/>
    <w:rsid w:val="00B0134D"/>
    <w:rsid w:val="00B01F19"/>
    <w:rsid w:val="00B0324D"/>
    <w:rsid w:val="00B04439"/>
    <w:rsid w:val="00B222E2"/>
    <w:rsid w:val="00B25CC4"/>
    <w:rsid w:val="00B27874"/>
    <w:rsid w:val="00B34F60"/>
    <w:rsid w:val="00B37FE3"/>
    <w:rsid w:val="00B46C0D"/>
    <w:rsid w:val="00B46EFD"/>
    <w:rsid w:val="00B57E93"/>
    <w:rsid w:val="00B60069"/>
    <w:rsid w:val="00B6388C"/>
    <w:rsid w:val="00B67149"/>
    <w:rsid w:val="00B71326"/>
    <w:rsid w:val="00B721B3"/>
    <w:rsid w:val="00B86B67"/>
    <w:rsid w:val="00B919D8"/>
    <w:rsid w:val="00B9310B"/>
    <w:rsid w:val="00B9345F"/>
    <w:rsid w:val="00B9351B"/>
    <w:rsid w:val="00B97E50"/>
    <w:rsid w:val="00BB161C"/>
    <w:rsid w:val="00BB2683"/>
    <w:rsid w:val="00BB2764"/>
    <w:rsid w:val="00BC1BE9"/>
    <w:rsid w:val="00BC29DD"/>
    <w:rsid w:val="00BD3596"/>
    <w:rsid w:val="00BD77A5"/>
    <w:rsid w:val="00BE0EA7"/>
    <w:rsid w:val="00BE43AA"/>
    <w:rsid w:val="00BE73C2"/>
    <w:rsid w:val="00BF38E1"/>
    <w:rsid w:val="00BF636C"/>
    <w:rsid w:val="00C00FCB"/>
    <w:rsid w:val="00C07226"/>
    <w:rsid w:val="00C07B08"/>
    <w:rsid w:val="00C13663"/>
    <w:rsid w:val="00C143D5"/>
    <w:rsid w:val="00C14746"/>
    <w:rsid w:val="00C15318"/>
    <w:rsid w:val="00C1531B"/>
    <w:rsid w:val="00C15971"/>
    <w:rsid w:val="00C16DBF"/>
    <w:rsid w:val="00C2025E"/>
    <w:rsid w:val="00C24289"/>
    <w:rsid w:val="00C24740"/>
    <w:rsid w:val="00C2671C"/>
    <w:rsid w:val="00C2719B"/>
    <w:rsid w:val="00C37408"/>
    <w:rsid w:val="00C374B6"/>
    <w:rsid w:val="00C4241B"/>
    <w:rsid w:val="00C430B5"/>
    <w:rsid w:val="00C43B73"/>
    <w:rsid w:val="00C672F7"/>
    <w:rsid w:val="00C76C6F"/>
    <w:rsid w:val="00C77ED7"/>
    <w:rsid w:val="00C94751"/>
    <w:rsid w:val="00CB5402"/>
    <w:rsid w:val="00CB7532"/>
    <w:rsid w:val="00CC5359"/>
    <w:rsid w:val="00CC71C9"/>
    <w:rsid w:val="00CD1EFA"/>
    <w:rsid w:val="00CD3F7C"/>
    <w:rsid w:val="00CD5285"/>
    <w:rsid w:val="00CE700A"/>
    <w:rsid w:val="00CE7068"/>
    <w:rsid w:val="00CF3DF2"/>
    <w:rsid w:val="00CF6CA9"/>
    <w:rsid w:val="00CF7549"/>
    <w:rsid w:val="00D00783"/>
    <w:rsid w:val="00D02A0E"/>
    <w:rsid w:val="00D03772"/>
    <w:rsid w:val="00D127A7"/>
    <w:rsid w:val="00D13D76"/>
    <w:rsid w:val="00D16F7C"/>
    <w:rsid w:val="00D17301"/>
    <w:rsid w:val="00D22211"/>
    <w:rsid w:val="00D258C7"/>
    <w:rsid w:val="00D32632"/>
    <w:rsid w:val="00D35A0D"/>
    <w:rsid w:val="00D41CDB"/>
    <w:rsid w:val="00D42550"/>
    <w:rsid w:val="00D45EC2"/>
    <w:rsid w:val="00D501C9"/>
    <w:rsid w:val="00D522DB"/>
    <w:rsid w:val="00D537E4"/>
    <w:rsid w:val="00D54F88"/>
    <w:rsid w:val="00D5669E"/>
    <w:rsid w:val="00D571AA"/>
    <w:rsid w:val="00D6062E"/>
    <w:rsid w:val="00D6506C"/>
    <w:rsid w:val="00D659EA"/>
    <w:rsid w:val="00D65CA3"/>
    <w:rsid w:val="00D67F0E"/>
    <w:rsid w:val="00D67FE9"/>
    <w:rsid w:val="00D7664D"/>
    <w:rsid w:val="00D802A1"/>
    <w:rsid w:val="00D84FB5"/>
    <w:rsid w:val="00D85B3E"/>
    <w:rsid w:val="00D9796B"/>
    <w:rsid w:val="00DA0C5C"/>
    <w:rsid w:val="00DA0D02"/>
    <w:rsid w:val="00DB067E"/>
    <w:rsid w:val="00DC72DD"/>
    <w:rsid w:val="00DD07A0"/>
    <w:rsid w:val="00DD07FD"/>
    <w:rsid w:val="00DD2C18"/>
    <w:rsid w:val="00DD3E44"/>
    <w:rsid w:val="00DE2F23"/>
    <w:rsid w:val="00DF1A57"/>
    <w:rsid w:val="00DF22B2"/>
    <w:rsid w:val="00DF60DA"/>
    <w:rsid w:val="00DF62B2"/>
    <w:rsid w:val="00E01282"/>
    <w:rsid w:val="00E01808"/>
    <w:rsid w:val="00E03AF9"/>
    <w:rsid w:val="00E16BDD"/>
    <w:rsid w:val="00E234BF"/>
    <w:rsid w:val="00E30177"/>
    <w:rsid w:val="00E31A2A"/>
    <w:rsid w:val="00E320F7"/>
    <w:rsid w:val="00E332EF"/>
    <w:rsid w:val="00E33531"/>
    <w:rsid w:val="00E35679"/>
    <w:rsid w:val="00E3791F"/>
    <w:rsid w:val="00E40B70"/>
    <w:rsid w:val="00E511A2"/>
    <w:rsid w:val="00E543CD"/>
    <w:rsid w:val="00E5658E"/>
    <w:rsid w:val="00E56A73"/>
    <w:rsid w:val="00E5705A"/>
    <w:rsid w:val="00E6282A"/>
    <w:rsid w:val="00E636B2"/>
    <w:rsid w:val="00E65C7C"/>
    <w:rsid w:val="00E66CD4"/>
    <w:rsid w:val="00E67E86"/>
    <w:rsid w:val="00E70E89"/>
    <w:rsid w:val="00E77567"/>
    <w:rsid w:val="00E83515"/>
    <w:rsid w:val="00E8447F"/>
    <w:rsid w:val="00E84635"/>
    <w:rsid w:val="00E85993"/>
    <w:rsid w:val="00EA2CD2"/>
    <w:rsid w:val="00EA72E9"/>
    <w:rsid w:val="00EB1C18"/>
    <w:rsid w:val="00EC0D56"/>
    <w:rsid w:val="00EC2E57"/>
    <w:rsid w:val="00EC4F04"/>
    <w:rsid w:val="00EC52FE"/>
    <w:rsid w:val="00EC6EE1"/>
    <w:rsid w:val="00EC7A0B"/>
    <w:rsid w:val="00ED0E28"/>
    <w:rsid w:val="00ED1142"/>
    <w:rsid w:val="00ED4C91"/>
    <w:rsid w:val="00EE0CFA"/>
    <w:rsid w:val="00EE1828"/>
    <w:rsid w:val="00EE7D9B"/>
    <w:rsid w:val="00EE7E9E"/>
    <w:rsid w:val="00EF3C16"/>
    <w:rsid w:val="00EF6CF2"/>
    <w:rsid w:val="00F112BD"/>
    <w:rsid w:val="00F118AA"/>
    <w:rsid w:val="00F147CF"/>
    <w:rsid w:val="00F16C8A"/>
    <w:rsid w:val="00F247D5"/>
    <w:rsid w:val="00F25C3E"/>
    <w:rsid w:val="00F25E90"/>
    <w:rsid w:val="00F30F49"/>
    <w:rsid w:val="00F373CE"/>
    <w:rsid w:val="00F37AD9"/>
    <w:rsid w:val="00F41C78"/>
    <w:rsid w:val="00F4274A"/>
    <w:rsid w:val="00F64EA5"/>
    <w:rsid w:val="00F72AC4"/>
    <w:rsid w:val="00F8169C"/>
    <w:rsid w:val="00F81B4A"/>
    <w:rsid w:val="00F861EA"/>
    <w:rsid w:val="00F86D7C"/>
    <w:rsid w:val="00F87F94"/>
    <w:rsid w:val="00F956D0"/>
    <w:rsid w:val="00F96904"/>
    <w:rsid w:val="00F979CC"/>
    <w:rsid w:val="00FA5000"/>
    <w:rsid w:val="00FB09C9"/>
    <w:rsid w:val="00FB402E"/>
    <w:rsid w:val="00FB5164"/>
    <w:rsid w:val="00FB643A"/>
    <w:rsid w:val="00FC10EF"/>
    <w:rsid w:val="00FC11EE"/>
    <w:rsid w:val="00FC4486"/>
    <w:rsid w:val="00FD3052"/>
    <w:rsid w:val="00FE00E5"/>
    <w:rsid w:val="00FF0009"/>
    <w:rsid w:val="00FF00E1"/>
    <w:rsid w:val="00FF37EB"/>
    <w:rsid w:val="00FF4159"/>
    <w:rsid w:val="00FF72DB"/>
    <w:rsid w:val="01A93EE2"/>
    <w:rsid w:val="020B59B4"/>
    <w:rsid w:val="0512711F"/>
    <w:rsid w:val="057C8E7B"/>
    <w:rsid w:val="06AE4180"/>
    <w:rsid w:val="0769502D"/>
    <w:rsid w:val="0859EAF7"/>
    <w:rsid w:val="0ACBE141"/>
    <w:rsid w:val="0FE3CF2C"/>
    <w:rsid w:val="10791057"/>
    <w:rsid w:val="121DFC8A"/>
    <w:rsid w:val="12585A1D"/>
    <w:rsid w:val="135BB00A"/>
    <w:rsid w:val="15CF4096"/>
    <w:rsid w:val="1637B4E5"/>
    <w:rsid w:val="16E59A40"/>
    <w:rsid w:val="180C7439"/>
    <w:rsid w:val="184A27B5"/>
    <w:rsid w:val="19332BFD"/>
    <w:rsid w:val="1B817B2F"/>
    <w:rsid w:val="1BAF9D09"/>
    <w:rsid w:val="1BB19679"/>
    <w:rsid w:val="1C727103"/>
    <w:rsid w:val="208764F6"/>
    <w:rsid w:val="20D51A2E"/>
    <w:rsid w:val="2205B630"/>
    <w:rsid w:val="2355BD15"/>
    <w:rsid w:val="2495E0FC"/>
    <w:rsid w:val="259EB0E0"/>
    <w:rsid w:val="25CE0351"/>
    <w:rsid w:val="26828F4B"/>
    <w:rsid w:val="26D461F6"/>
    <w:rsid w:val="28381BE3"/>
    <w:rsid w:val="28765C86"/>
    <w:rsid w:val="2A37D321"/>
    <w:rsid w:val="2A831D93"/>
    <w:rsid w:val="2AC0075A"/>
    <w:rsid w:val="2AEA4A2C"/>
    <w:rsid w:val="2B8C16D3"/>
    <w:rsid w:val="2D2A7B1D"/>
    <w:rsid w:val="2DDC7223"/>
    <w:rsid w:val="2E1E8584"/>
    <w:rsid w:val="2FC458DC"/>
    <w:rsid w:val="30621BDF"/>
    <w:rsid w:val="30A26B9C"/>
    <w:rsid w:val="32911EB8"/>
    <w:rsid w:val="334B9B29"/>
    <w:rsid w:val="3392529E"/>
    <w:rsid w:val="36427852"/>
    <w:rsid w:val="372638FB"/>
    <w:rsid w:val="37795FBD"/>
    <w:rsid w:val="3A7E6D9E"/>
    <w:rsid w:val="3AAA3152"/>
    <w:rsid w:val="3AB962E9"/>
    <w:rsid w:val="3D53AA91"/>
    <w:rsid w:val="3D55450A"/>
    <w:rsid w:val="3D91E412"/>
    <w:rsid w:val="3FF7DF1C"/>
    <w:rsid w:val="409BC709"/>
    <w:rsid w:val="40BFE104"/>
    <w:rsid w:val="40C95203"/>
    <w:rsid w:val="41D461F9"/>
    <w:rsid w:val="423CF15F"/>
    <w:rsid w:val="435CAE95"/>
    <w:rsid w:val="44B444A8"/>
    <w:rsid w:val="464CBE1A"/>
    <w:rsid w:val="46E80A13"/>
    <w:rsid w:val="47444A4B"/>
    <w:rsid w:val="477A3077"/>
    <w:rsid w:val="47D453B4"/>
    <w:rsid w:val="4A301938"/>
    <w:rsid w:val="4A3509ED"/>
    <w:rsid w:val="4CFECBF2"/>
    <w:rsid w:val="4F80A3F2"/>
    <w:rsid w:val="509BA051"/>
    <w:rsid w:val="51057846"/>
    <w:rsid w:val="5189AA68"/>
    <w:rsid w:val="51BEFDF9"/>
    <w:rsid w:val="527AAEB6"/>
    <w:rsid w:val="54167F17"/>
    <w:rsid w:val="54BE3365"/>
    <w:rsid w:val="559461BE"/>
    <w:rsid w:val="56BC9AD7"/>
    <w:rsid w:val="5A78E67A"/>
    <w:rsid w:val="5A7A0AD2"/>
    <w:rsid w:val="5B4CB7E2"/>
    <w:rsid w:val="5C7BE3DB"/>
    <w:rsid w:val="60202905"/>
    <w:rsid w:val="605878A4"/>
    <w:rsid w:val="60FCEFA5"/>
    <w:rsid w:val="61495470"/>
    <w:rsid w:val="61DBEAF1"/>
    <w:rsid w:val="62131A77"/>
    <w:rsid w:val="6390C163"/>
    <w:rsid w:val="6561D20F"/>
    <w:rsid w:val="6594A0B7"/>
    <w:rsid w:val="65B2730E"/>
    <w:rsid w:val="65D3F9D9"/>
    <w:rsid w:val="68CD5DFD"/>
    <w:rsid w:val="69048171"/>
    <w:rsid w:val="69E6328D"/>
    <w:rsid w:val="6A9199D0"/>
    <w:rsid w:val="6AC1C61F"/>
    <w:rsid w:val="6ACFFF39"/>
    <w:rsid w:val="6CE1BEAD"/>
    <w:rsid w:val="6E0EC5F9"/>
    <w:rsid w:val="6E3465E0"/>
    <w:rsid w:val="70A42A61"/>
    <w:rsid w:val="70F525B5"/>
    <w:rsid w:val="70F9EB12"/>
    <w:rsid w:val="711A06BF"/>
    <w:rsid w:val="71D8E65E"/>
    <w:rsid w:val="71F4A144"/>
    <w:rsid w:val="73101172"/>
    <w:rsid w:val="73FAEEF9"/>
    <w:rsid w:val="741E7FFD"/>
    <w:rsid w:val="77D70586"/>
    <w:rsid w:val="78494C3A"/>
    <w:rsid w:val="78A75770"/>
    <w:rsid w:val="7B6CA35B"/>
    <w:rsid w:val="7D704E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7ED762DC-2F8C-4A96-B1F3-E9A6F399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character" w:styleId="Hyperlink">
    <w:name w:val="Hyperlink"/>
    <w:basedOn w:val="DefaultParagraphFont"/>
    <w:uiPriority w:val="99"/>
    <w:unhideWhenUsed/>
    <w:rsid w:val="00F112BD"/>
    <w:rPr>
      <w:color w:val="0563C1" w:themeColor="hyperlink"/>
      <w:u w:val="single"/>
    </w:rPr>
  </w:style>
  <w:style w:type="character" w:styleId="UnresolvedMention">
    <w:name w:val="Unresolved Mention"/>
    <w:basedOn w:val="DefaultParagraphFont"/>
    <w:uiPriority w:val="99"/>
    <w:unhideWhenUsed/>
    <w:rsid w:val="00F112BD"/>
    <w:rPr>
      <w:color w:val="605E5C"/>
      <w:shd w:val="clear" w:color="auto" w:fill="E1DFDD"/>
    </w:rPr>
  </w:style>
  <w:style w:type="table" w:styleId="TableGrid">
    <w:name w:val="Table Grid"/>
    <w:basedOn w:val="TableNormal"/>
    <w:uiPriority w:val="39"/>
    <w:rsid w:val="00510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54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402"/>
    <w:rPr>
      <w:sz w:val="20"/>
      <w:szCs w:val="20"/>
      <w:lang w:val="en-GB"/>
    </w:rPr>
  </w:style>
  <w:style w:type="character" w:styleId="FootnoteReference">
    <w:name w:val="footnote reference"/>
    <w:basedOn w:val="DefaultParagraphFont"/>
    <w:uiPriority w:val="99"/>
    <w:semiHidden/>
    <w:unhideWhenUsed/>
    <w:rsid w:val="00CB5402"/>
    <w:rPr>
      <w:vertAlign w:val="superscript"/>
    </w:rPr>
  </w:style>
  <w:style w:type="character" w:styleId="CommentReference">
    <w:name w:val="annotation reference"/>
    <w:basedOn w:val="DefaultParagraphFont"/>
    <w:uiPriority w:val="99"/>
    <w:semiHidden/>
    <w:unhideWhenUsed/>
    <w:rsid w:val="00801DEF"/>
    <w:rPr>
      <w:sz w:val="16"/>
      <w:szCs w:val="16"/>
    </w:rPr>
  </w:style>
  <w:style w:type="paragraph" w:styleId="CommentText">
    <w:name w:val="annotation text"/>
    <w:basedOn w:val="Normal"/>
    <w:link w:val="CommentTextChar"/>
    <w:uiPriority w:val="99"/>
    <w:unhideWhenUsed/>
    <w:rsid w:val="00801DEF"/>
    <w:pPr>
      <w:spacing w:line="240" w:lineRule="auto"/>
    </w:pPr>
    <w:rPr>
      <w:sz w:val="20"/>
      <w:szCs w:val="20"/>
    </w:rPr>
  </w:style>
  <w:style w:type="character" w:customStyle="1" w:styleId="CommentTextChar">
    <w:name w:val="Comment Text Char"/>
    <w:basedOn w:val="DefaultParagraphFont"/>
    <w:link w:val="CommentText"/>
    <w:uiPriority w:val="99"/>
    <w:rsid w:val="00801DEF"/>
    <w:rPr>
      <w:sz w:val="20"/>
      <w:szCs w:val="20"/>
      <w:lang w:val="en-GB"/>
    </w:rPr>
  </w:style>
  <w:style w:type="paragraph" w:styleId="CommentSubject">
    <w:name w:val="annotation subject"/>
    <w:basedOn w:val="CommentText"/>
    <w:next w:val="CommentText"/>
    <w:link w:val="CommentSubjectChar"/>
    <w:uiPriority w:val="99"/>
    <w:semiHidden/>
    <w:unhideWhenUsed/>
    <w:rsid w:val="00801DEF"/>
    <w:rPr>
      <w:b/>
      <w:bCs/>
    </w:rPr>
  </w:style>
  <w:style w:type="character" w:customStyle="1" w:styleId="CommentSubjectChar">
    <w:name w:val="Comment Subject Char"/>
    <w:basedOn w:val="CommentTextChar"/>
    <w:link w:val="CommentSubject"/>
    <w:uiPriority w:val="99"/>
    <w:semiHidden/>
    <w:rsid w:val="00801DEF"/>
    <w:rPr>
      <w:b/>
      <w:bCs/>
      <w:sz w:val="20"/>
      <w:szCs w:val="20"/>
      <w:lang w:val="en-GB"/>
    </w:rPr>
  </w:style>
  <w:style w:type="character" w:styleId="Mention">
    <w:name w:val="Mention"/>
    <w:basedOn w:val="DefaultParagraphFont"/>
    <w:uiPriority w:val="99"/>
    <w:unhideWhenUsed/>
    <w:rsid w:val="005D72AB"/>
    <w:rPr>
      <w:color w:val="2B579A"/>
      <w:shd w:val="clear" w:color="auto" w:fill="E1DFDD"/>
    </w:rPr>
  </w:style>
  <w:style w:type="paragraph" w:customStyle="1" w:styleId="hg2">
    <w:name w:val="hg2"/>
    <w:basedOn w:val="Normal"/>
    <w:next w:val="Normal"/>
    <w:link w:val="hg2Char"/>
    <w:rsid w:val="00573E7C"/>
    <w:pPr>
      <w:tabs>
        <w:tab w:val="left" w:pos="397"/>
        <w:tab w:val="left" w:pos="794"/>
        <w:tab w:val="left" w:pos="1191"/>
        <w:tab w:val="left" w:pos="1588"/>
        <w:tab w:val="left" w:pos="1985"/>
      </w:tabs>
      <w:spacing w:after="240" w:line="240" w:lineRule="auto"/>
      <w:ind w:left="794" w:hanging="794"/>
      <w:jc w:val="both"/>
    </w:pPr>
    <w:rPr>
      <w:rFonts w:eastAsia="Times New Roman" w:cs="Times New Roman"/>
      <w:color w:val="000000"/>
      <w:spacing w:val="-2"/>
      <w:kern w:val="20"/>
      <w:sz w:val="20"/>
      <w:szCs w:val="20"/>
    </w:rPr>
  </w:style>
  <w:style w:type="character" w:customStyle="1" w:styleId="hg2Char">
    <w:name w:val="hg2 Char"/>
    <w:link w:val="hg2"/>
    <w:rsid w:val="00573E7C"/>
    <w:rPr>
      <w:rFonts w:eastAsia="Times New Roman" w:cs="Times New Roman"/>
      <w:color w:val="000000"/>
      <w:spacing w:val="-2"/>
      <w:kern w:val="20"/>
      <w:sz w:val="20"/>
      <w:szCs w:val="20"/>
      <w:lang w:val="en-GB"/>
    </w:rPr>
  </w:style>
  <w:style w:type="character" w:styleId="FollowedHyperlink">
    <w:name w:val="FollowedHyperlink"/>
    <w:basedOn w:val="DefaultParagraphFont"/>
    <w:uiPriority w:val="99"/>
    <w:semiHidden/>
    <w:unhideWhenUsed/>
    <w:rsid w:val="00573E7C"/>
    <w:rPr>
      <w:color w:val="954F72" w:themeColor="followedHyperlink"/>
      <w:u w:val="single"/>
    </w:rPr>
  </w:style>
  <w:style w:type="paragraph" w:customStyle="1" w:styleId="paragraph">
    <w:name w:val="paragraph"/>
    <w:basedOn w:val="Normal"/>
    <w:rsid w:val="002958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958B5"/>
  </w:style>
  <w:style w:type="character" w:customStyle="1" w:styleId="eop">
    <w:name w:val="eop"/>
    <w:basedOn w:val="DefaultParagraphFont"/>
    <w:rsid w:val="002958B5"/>
  </w:style>
  <w:style w:type="character" w:customStyle="1" w:styleId="tabchar">
    <w:name w:val="tabchar"/>
    <w:basedOn w:val="DefaultParagraphFont"/>
    <w:rsid w:val="00295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14747">
      <w:bodyDiv w:val="1"/>
      <w:marLeft w:val="0"/>
      <w:marRight w:val="0"/>
      <w:marTop w:val="0"/>
      <w:marBottom w:val="0"/>
      <w:divBdr>
        <w:top w:val="none" w:sz="0" w:space="0" w:color="auto"/>
        <w:left w:val="none" w:sz="0" w:space="0" w:color="auto"/>
        <w:bottom w:val="none" w:sz="0" w:space="0" w:color="auto"/>
        <w:right w:val="none" w:sz="0" w:space="0" w:color="auto"/>
      </w:divBdr>
    </w:div>
    <w:div w:id="727411784">
      <w:bodyDiv w:val="1"/>
      <w:marLeft w:val="0"/>
      <w:marRight w:val="0"/>
      <w:marTop w:val="0"/>
      <w:marBottom w:val="0"/>
      <w:divBdr>
        <w:top w:val="none" w:sz="0" w:space="0" w:color="auto"/>
        <w:left w:val="none" w:sz="0" w:space="0" w:color="auto"/>
        <w:bottom w:val="none" w:sz="0" w:space="0" w:color="auto"/>
        <w:right w:val="none" w:sz="0" w:space="0" w:color="auto"/>
      </w:divBdr>
      <w:divsChild>
        <w:div w:id="152650895">
          <w:marLeft w:val="0"/>
          <w:marRight w:val="0"/>
          <w:marTop w:val="0"/>
          <w:marBottom w:val="0"/>
          <w:divBdr>
            <w:top w:val="none" w:sz="0" w:space="0" w:color="auto"/>
            <w:left w:val="none" w:sz="0" w:space="0" w:color="auto"/>
            <w:bottom w:val="none" w:sz="0" w:space="0" w:color="auto"/>
            <w:right w:val="none" w:sz="0" w:space="0" w:color="auto"/>
          </w:divBdr>
        </w:div>
        <w:div w:id="350038363">
          <w:marLeft w:val="0"/>
          <w:marRight w:val="0"/>
          <w:marTop w:val="0"/>
          <w:marBottom w:val="0"/>
          <w:divBdr>
            <w:top w:val="none" w:sz="0" w:space="0" w:color="auto"/>
            <w:left w:val="none" w:sz="0" w:space="0" w:color="auto"/>
            <w:bottom w:val="none" w:sz="0" w:space="0" w:color="auto"/>
            <w:right w:val="none" w:sz="0" w:space="0" w:color="auto"/>
          </w:divBdr>
        </w:div>
        <w:div w:id="693264526">
          <w:marLeft w:val="0"/>
          <w:marRight w:val="0"/>
          <w:marTop w:val="0"/>
          <w:marBottom w:val="0"/>
          <w:divBdr>
            <w:top w:val="none" w:sz="0" w:space="0" w:color="auto"/>
            <w:left w:val="none" w:sz="0" w:space="0" w:color="auto"/>
            <w:bottom w:val="none" w:sz="0" w:space="0" w:color="auto"/>
            <w:right w:val="none" w:sz="0" w:space="0" w:color="auto"/>
          </w:divBdr>
        </w:div>
        <w:div w:id="1364600401">
          <w:marLeft w:val="0"/>
          <w:marRight w:val="0"/>
          <w:marTop w:val="0"/>
          <w:marBottom w:val="0"/>
          <w:divBdr>
            <w:top w:val="none" w:sz="0" w:space="0" w:color="auto"/>
            <w:left w:val="none" w:sz="0" w:space="0" w:color="auto"/>
            <w:bottom w:val="none" w:sz="0" w:space="0" w:color="auto"/>
            <w:right w:val="none" w:sz="0" w:space="0" w:color="auto"/>
          </w:divBdr>
        </w:div>
      </w:divsChild>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6951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ms.int/en/document/single-species-action-plan-loggerhead-turtle-caretta-caretta-south-pacific-ocean-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ms.int/en/document/single-species-action-plan-hawksbill-turtle-eretmochelys-imbricata-south-east-asia-and-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iosea-turtles/en"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cms.int/atlantic-turtles/en/legalinstrument/atlantic-turtles-mou" TargetMode="External"/><Relationship Id="rId20" Type="http://schemas.openxmlformats.org/officeDocument/2006/relationships/hyperlink" Target="https://www.cms.int/en/document/single-species-action-plan-hawksbill-turtle-eretmochelys-imbricata-south-east-asia-and-0"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ms.int/en/document/bycatch-4"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ms.int/en/document/single-species-action-plan-hawksbill-turtle-south-east-asia-western-pacific"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ms.int/en/document/technical-mitigation-reduce-marine-mammal-bycatch-and-entanglement-commercial-fishing-gear" TargetMode="External"/><Relationship Id="rId27" Type="http://schemas.openxmlformats.org/officeDocument/2006/relationships/header" Target="header6.xml"/><Relationship Id="rId30"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371/journal.pone.0015465"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Gabriel Grimsditch</DisplayName>
        <AccountId>70</AccountId>
        <AccountType/>
      </UserInfo>
    </SharedWithUsers>
    <_Flow_SignoffStatus xmlns="a7b50396-0b06-45c1-b28e-46f86d566a10" xsi:nil="true"/>
    <TaxKeywordTaxHTField xmlns="c15478a5-0be8-4f5d-8383-b307d5ba8bf6">
      <Terms xmlns="http://schemas.microsoft.com/office/infopath/2007/PartnerControls"/>
    </TaxKeywordTaxHTField>
    <Reviewer xmlns="a7b50396-0b06-45c1-b28e-46f86d566a10" xsi:nil="true"/>
    <MediaLengthInSeconds xmlns="a7b50396-0b06-45c1-b28e-46f86d566a10" xsi:nil="true"/>
    <MariaJoseOrtiz xmlns="a7b50396-0b06-45c1-b28e-46f86d566a10" xsi:nil="true"/>
    <Notes xmlns="a7b50396-0b06-45c1-b28e-46f86d566a10" xsi:nil="true"/>
  </documentManagement>
</p:properties>
</file>

<file path=customXml/itemProps1.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2.xml><?xml version="1.0" encoding="utf-8"?>
<ds:datastoreItem xmlns:ds="http://schemas.openxmlformats.org/officeDocument/2006/customXml" ds:itemID="{4D2E67C7-8401-492F-94C1-D72B0AB4F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BF781-995B-4B3A-BBC6-55FBDFC89E96}">
  <ds:schemaRefs>
    <ds:schemaRef ds:uri="http://schemas.microsoft.com/sharepoint/v3/contenttype/forms"/>
  </ds:schemaRefs>
</ds:datastoreItem>
</file>

<file path=customXml/itemProps4.xml><?xml version="1.0" encoding="utf-8"?>
<ds:datastoreItem xmlns:ds="http://schemas.openxmlformats.org/officeDocument/2006/customXml" ds:itemID="{CC640F67-7722-4E2B-97CB-1EE8F6A3189E}">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1381</Words>
  <Characters>7872</Characters>
  <Application>Microsoft Office Word</Application>
  <DocSecurity>0</DocSecurity>
  <Lines>65</Lines>
  <Paragraphs>18</Paragraphs>
  <ScaleCrop>false</ScaleCrop>
  <Company/>
  <LinksUpToDate>false</LinksUpToDate>
  <CharactersWithSpaces>9235</CharactersWithSpaces>
  <SharedDoc>false</SharedDoc>
  <HLinks>
    <vt:vector size="42" baseType="variant">
      <vt:variant>
        <vt:i4>3801123</vt:i4>
      </vt:variant>
      <vt:variant>
        <vt:i4>9</vt:i4>
      </vt:variant>
      <vt:variant>
        <vt:i4>0</vt:i4>
      </vt:variant>
      <vt:variant>
        <vt:i4>5</vt:i4>
      </vt:variant>
      <vt:variant>
        <vt:lpwstr>https://www.cms.int/en/document/single-species-action-plan-hawksbill-turtle-south-east-asia-western-pacific</vt:lpwstr>
      </vt:variant>
      <vt:variant>
        <vt:lpwstr/>
      </vt:variant>
      <vt:variant>
        <vt:i4>4128826</vt:i4>
      </vt:variant>
      <vt:variant>
        <vt:i4>6</vt:i4>
      </vt:variant>
      <vt:variant>
        <vt:i4>0</vt:i4>
      </vt:variant>
      <vt:variant>
        <vt:i4>5</vt:i4>
      </vt:variant>
      <vt:variant>
        <vt:lpwstr>https://www.cms.int/en/document/single-species-action-plan-loggerhead-turtle-caretta-caretta-south-pacific-ocean-0</vt:lpwstr>
      </vt:variant>
      <vt:variant>
        <vt:lpwstr/>
      </vt:variant>
      <vt:variant>
        <vt:i4>4718666</vt:i4>
      </vt:variant>
      <vt:variant>
        <vt:i4>3</vt:i4>
      </vt:variant>
      <vt:variant>
        <vt:i4>0</vt:i4>
      </vt:variant>
      <vt:variant>
        <vt:i4>5</vt:i4>
      </vt:variant>
      <vt:variant>
        <vt:lpwstr>https://www.cms.int/iosea-turtles/en</vt:lpwstr>
      </vt:variant>
      <vt:variant>
        <vt:lpwstr/>
      </vt:variant>
      <vt:variant>
        <vt:i4>5767255</vt:i4>
      </vt:variant>
      <vt:variant>
        <vt:i4>0</vt:i4>
      </vt:variant>
      <vt:variant>
        <vt:i4>0</vt:i4>
      </vt:variant>
      <vt:variant>
        <vt:i4>5</vt:i4>
      </vt:variant>
      <vt:variant>
        <vt:lpwstr>https://www.cms.int/atlantic-turtles/en/legalinstrument/atlantic-turtles-mou</vt:lpwstr>
      </vt:variant>
      <vt:variant>
        <vt:lpwstr/>
      </vt:variant>
      <vt:variant>
        <vt:i4>4980806</vt:i4>
      </vt:variant>
      <vt:variant>
        <vt:i4>0</vt:i4>
      </vt:variant>
      <vt:variant>
        <vt:i4>0</vt:i4>
      </vt:variant>
      <vt:variant>
        <vt:i4>5</vt:i4>
      </vt:variant>
      <vt:variant>
        <vt:lpwstr>https://doi.org/10.1371/journal.pone.0015465</vt:lpwstr>
      </vt:variant>
      <vt:variant>
        <vt:lpwstr/>
      </vt:variant>
      <vt:variant>
        <vt:i4>262203</vt:i4>
      </vt:variant>
      <vt:variant>
        <vt:i4>3</vt:i4>
      </vt:variant>
      <vt:variant>
        <vt:i4>0</vt:i4>
      </vt:variant>
      <vt:variant>
        <vt:i4>5</vt:i4>
      </vt:variant>
      <vt:variant>
        <vt:lpwstr>mailto:heidrun.frisch-nwakanma@un.org</vt:lpwstr>
      </vt:variant>
      <vt:variant>
        <vt:lpwstr/>
      </vt:variant>
      <vt:variant>
        <vt:i4>4128856</vt:i4>
      </vt:variant>
      <vt:variant>
        <vt:i4>0</vt:i4>
      </vt:variant>
      <vt:variant>
        <vt:i4>0</vt:i4>
      </vt:variant>
      <vt:variant>
        <vt:i4>5</vt:i4>
      </vt:variant>
      <vt:variant>
        <vt:lpwstr>mailto:melanie.virtue@un.org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120</cp:revision>
  <cp:lastPrinted>2019-09-19T20:54:00Z</cp:lastPrinted>
  <dcterms:created xsi:type="dcterms:W3CDTF">2023-04-27T10:10:00Z</dcterms:created>
  <dcterms:modified xsi:type="dcterms:W3CDTF">2023-09-28T12:48:00Z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MediaServiceImageTags">
    <vt:lpwstr/>
  </property>
  <property fmtid="{D5CDD505-2E9C-101B-9397-08002B2CF9AE}" pid="4" name="TaxKeyword">
    <vt:lpwstr/>
  </property>
  <property fmtid="{D5CDD505-2E9C-101B-9397-08002B2CF9AE}" pid="5" name="ContentTypeId">
    <vt:lpwstr>0x0101009929416AA0540C42B015682282C961AD</vt:lpwstr>
  </property>
  <property fmtid="{D5CDD505-2E9C-101B-9397-08002B2CF9AE}" pid="6" name="Order">
    <vt:r8>87300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