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F937B1" w:rsidRPr="007F4775" w14:paraId="6EB6370A" w14:textId="77777777" w:rsidTr="005B59F2">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1A865C06" w14:textId="77777777" w:rsidR="00F937B1" w:rsidRPr="00002A97" w:rsidRDefault="00F937B1" w:rsidP="005B59F2">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8312903" wp14:editId="60FF160E">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2F851FBB" w14:textId="77777777" w:rsidR="00F937B1" w:rsidRPr="00002A97" w:rsidRDefault="00F937B1" w:rsidP="005B59F2">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211F22B3" w14:textId="77777777" w:rsidR="00F937B1" w:rsidRPr="00002A97" w:rsidRDefault="00F937B1" w:rsidP="005B59F2">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4282F7BB" w14:textId="77777777" w:rsidR="00F937B1" w:rsidRPr="00002A97" w:rsidRDefault="00F937B1" w:rsidP="005B59F2">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35669E72" w14:textId="77777777" w:rsidR="00F937B1" w:rsidRPr="00002A97" w:rsidRDefault="00F937B1" w:rsidP="005B59F2">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3CD94944" w14:textId="1A9BC65F" w:rsidR="00F937B1" w:rsidRPr="00C53176" w:rsidRDefault="00F937B1" w:rsidP="005B59F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C53176">
              <w:rPr>
                <w:rFonts w:eastAsia="Times New Roman" w:cs="Arial"/>
                <w:szCs w:val="24"/>
                <w:lang w:val="en-US" w:eastAsia="es-ES"/>
              </w:rPr>
              <w:t>UNEP/CMS/COP14/Doc.</w:t>
            </w:r>
            <w:r w:rsidR="007F4775" w:rsidRPr="00C53176">
              <w:rPr>
                <w:rFonts w:eastAsia="Times New Roman" w:cs="Arial"/>
                <w:szCs w:val="24"/>
                <w:lang w:val="en-US" w:eastAsia="es-ES"/>
              </w:rPr>
              <w:t>27.7.2</w:t>
            </w:r>
            <w:r w:rsidR="00C53176" w:rsidRPr="00C53176">
              <w:rPr>
                <w:rFonts w:eastAsia="Times New Roman" w:cs="Arial"/>
                <w:szCs w:val="24"/>
                <w:lang w:val="en-US" w:eastAsia="es-ES"/>
              </w:rPr>
              <w:t>/Rev</w:t>
            </w:r>
            <w:r w:rsidR="00C53176">
              <w:rPr>
                <w:rFonts w:eastAsia="Times New Roman" w:cs="Arial"/>
                <w:szCs w:val="24"/>
                <w:lang w:val="en-US" w:eastAsia="es-ES"/>
              </w:rPr>
              <w:t>.1</w:t>
            </w:r>
          </w:p>
          <w:p w14:paraId="76DC84F9" w14:textId="53D1E7CB" w:rsidR="00F937B1" w:rsidRPr="007F4775" w:rsidRDefault="00C53176" w:rsidP="005B59F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31 de julio</w:t>
            </w:r>
            <w:r w:rsidR="00F937B1" w:rsidRPr="007F4775">
              <w:rPr>
                <w:rFonts w:eastAsia="Times New Roman" w:cs="Arial"/>
                <w:szCs w:val="24"/>
                <w:lang w:val="es-ES" w:eastAsia="es-ES"/>
              </w:rPr>
              <w:t xml:space="preserve"> 2023</w:t>
            </w:r>
          </w:p>
          <w:p w14:paraId="04E64B68" w14:textId="77777777" w:rsidR="00F937B1" w:rsidRPr="00002A97" w:rsidRDefault="00F937B1" w:rsidP="005B59F2">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1E78D81" w14:textId="77777777" w:rsidR="00F937B1" w:rsidRPr="000F4BDA" w:rsidRDefault="00F937B1" w:rsidP="005B59F2">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7B2C5498" w14:textId="77777777" w:rsidR="00F937B1" w:rsidRPr="00002A97" w:rsidRDefault="00F937B1" w:rsidP="005B59F2">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5F6A6328" w14:textId="77777777" w:rsidR="00F937B1" w:rsidRPr="00002A97" w:rsidRDefault="00F937B1" w:rsidP="00F937B1">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F6ADE5C" w14:textId="77777777" w:rsidR="00F937B1" w:rsidRPr="00002A97" w:rsidRDefault="00F937B1" w:rsidP="00F937B1">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11E12752" w14:textId="489837F5" w:rsidR="00F937B1" w:rsidRPr="00002A97" w:rsidRDefault="00F937B1" w:rsidP="00F937B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C53176">
        <w:rPr>
          <w:rFonts w:eastAsia="Times New Roman" w:cs="Arial"/>
          <w:bCs/>
          <w:szCs w:val="24"/>
          <w:lang w:val="es-ES" w:eastAsia="es-ES"/>
        </w:rPr>
        <w:t>12 – 17 de febrero 2024</w:t>
      </w:r>
    </w:p>
    <w:p w14:paraId="05AE3B9A" w14:textId="549DFAF8" w:rsidR="00F937B1" w:rsidRPr="00002A97" w:rsidRDefault="00F937B1" w:rsidP="00F937B1">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7F4775">
        <w:rPr>
          <w:rFonts w:eastAsia="Times New Roman" w:cs="Arial"/>
          <w:szCs w:val="24"/>
          <w:lang w:val="es-ES" w:eastAsia="es-ES"/>
        </w:rPr>
        <w:t>27.7</w:t>
      </w:r>
      <w:r w:rsidRPr="00002A97">
        <w:rPr>
          <w:rFonts w:eastAsia="Times New Roman" w:cs="Arial"/>
          <w:szCs w:val="24"/>
          <w:lang w:val="es-ES" w:eastAsia="es-ES"/>
        </w:rPr>
        <w:t xml:space="preserve"> del orden del día</w:t>
      </w:r>
    </w:p>
    <w:p w14:paraId="7408EC0D"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lang w:val="es-ES"/>
        </w:rPr>
      </w:pPr>
    </w:p>
    <w:p w14:paraId="1554ADA7"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lang w:val="es-ES"/>
        </w:rPr>
      </w:pPr>
    </w:p>
    <w:p w14:paraId="6C96AE1E" w14:textId="48CED93E" w:rsidR="002E0DE9" w:rsidRPr="00733ABB" w:rsidRDefault="00A128BC"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733ABB">
        <w:rPr>
          <w:rFonts w:eastAsia="Times New Roman" w:cs="Arial"/>
          <w:b/>
          <w:bCs/>
          <w:lang w:val="es-ES"/>
        </w:rPr>
        <w:t>PECES DE AGUA DULCE, INCLUIDA LA ANGUILA EUROPEA</w:t>
      </w:r>
    </w:p>
    <w:p w14:paraId="57504EB6" w14:textId="2A39D011" w:rsidR="002E0DE9" w:rsidRPr="00733ABB"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733ABB">
        <w:rPr>
          <w:rFonts w:eastAsia="Times New Roman" w:cs="Arial"/>
          <w:i/>
          <w:lang w:val="es-ES"/>
        </w:rPr>
        <w:t>(Preparado por la Secretaría y el Consejo Científico)</w:t>
      </w:r>
    </w:p>
    <w:p w14:paraId="7A54E364" w14:textId="77777777" w:rsidR="002E0DE9" w:rsidRPr="00733ABB"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25A47AE0" w14:textId="77777777" w:rsidR="002E0DE9" w:rsidRPr="00733ABB" w:rsidRDefault="00661875" w:rsidP="00EC4F04">
      <w:pPr>
        <w:widowControl w:val="0"/>
        <w:suppressAutoHyphens/>
        <w:autoSpaceDE w:val="0"/>
        <w:autoSpaceDN w:val="0"/>
        <w:spacing w:after="0" w:line="240" w:lineRule="auto"/>
        <w:textAlignment w:val="baseline"/>
        <w:rPr>
          <w:rFonts w:ascii="Calibri" w:eastAsia="Calibri" w:hAnsi="Calibri" w:cs="Times New Roman"/>
          <w:lang w:val="es-ES"/>
        </w:rPr>
      </w:pPr>
      <w:r w:rsidRPr="00733ABB">
        <w:rPr>
          <w:rFonts w:eastAsia="Times New Roman" w:cs="Arial"/>
          <w:noProof/>
          <w:sz w:val="21"/>
          <w:szCs w:val="21"/>
          <w:lang w:val="es-ES"/>
        </w:rPr>
        <mc:AlternateContent>
          <mc:Choice Requires="wps">
            <w:drawing>
              <wp:anchor distT="0" distB="0" distL="114300" distR="114300" simplePos="0" relativeHeight="251658240" behindDoc="0" locked="0" layoutInCell="1" allowOverlap="1" wp14:anchorId="13CF45B1" wp14:editId="20B0D56D">
                <wp:simplePos x="0" y="0"/>
                <wp:positionH relativeFrom="column">
                  <wp:posOffset>940279</wp:posOffset>
                </wp:positionH>
                <wp:positionV relativeFrom="paragraph">
                  <wp:posOffset>111532</wp:posOffset>
                </wp:positionV>
                <wp:extent cx="4629150" cy="1802921"/>
                <wp:effectExtent l="0" t="0" r="19050" b="26035"/>
                <wp:wrapNone/>
                <wp:docPr id="5" name="Text Box 5"/>
                <wp:cNvGraphicFramePr/>
                <a:graphic xmlns:a="http://schemas.openxmlformats.org/drawingml/2006/main">
                  <a:graphicData uri="http://schemas.microsoft.com/office/word/2010/wordprocessingShape">
                    <wps:wsp>
                      <wps:cNvSpPr txBox="1"/>
                      <wps:spPr>
                        <a:xfrm>
                          <a:off x="0" y="0"/>
                          <a:ext cx="4629150" cy="1802921"/>
                        </a:xfrm>
                        <a:prstGeom prst="rect">
                          <a:avLst/>
                        </a:prstGeom>
                        <a:solidFill>
                          <a:srgbClr val="FFFFFF"/>
                        </a:solidFill>
                        <a:ln w="3172">
                          <a:solidFill>
                            <a:srgbClr val="000000"/>
                          </a:solidFill>
                          <a:prstDash val="solid"/>
                        </a:ln>
                      </wps:spPr>
                      <wps:txbx>
                        <w:txbxContent>
                          <w:p w14:paraId="69DC25A9" w14:textId="77777777" w:rsidR="002E0DE9" w:rsidRPr="00F937B1" w:rsidRDefault="002E0DE9" w:rsidP="002E0DE9">
                            <w:pPr>
                              <w:spacing w:after="0"/>
                              <w:rPr>
                                <w:rFonts w:cs="Arial"/>
                                <w:lang w:val="es-CO"/>
                              </w:rPr>
                            </w:pPr>
                            <w:r w:rsidRPr="00F937B1">
                              <w:rPr>
                                <w:rFonts w:cs="Arial"/>
                                <w:lang w:val="es-CO"/>
                              </w:rPr>
                              <w:t>Resumen:</w:t>
                            </w:r>
                          </w:p>
                          <w:p w14:paraId="3D9DADAB" w14:textId="77777777" w:rsidR="002E0DE9" w:rsidRPr="00F937B1" w:rsidRDefault="002E0DE9" w:rsidP="002E0DE9">
                            <w:pPr>
                              <w:spacing w:after="0"/>
                              <w:rPr>
                                <w:rFonts w:cs="Arial"/>
                                <w:lang w:val="es-CO"/>
                              </w:rPr>
                            </w:pPr>
                          </w:p>
                          <w:p w14:paraId="76178007" w14:textId="32F62240" w:rsidR="00080BEA" w:rsidRPr="00F937B1" w:rsidRDefault="00080BEA" w:rsidP="00080BEA">
                            <w:pPr>
                              <w:spacing w:after="0"/>
                              <w:jc w:val="both"/>
                              <w:rPr>
                                <w:rFonts w:cs="Arial"/>
                                <w:lang w:val="es-CO"/>
                              </w:rPr>
                            </w:pPr>
                            <w:r w:rsidRPr="00F937B1">
                              <w:rPr>
                                <w:lang w:val="es-CO"/>
                              </w:rPr>
                              <w:t xml:space="preserve">El presente documento informa sobre el progreso de la implementación de las Decisiones 13.76-13.79 sobre la </w:t>
                            </w:r>
                            <w:r w:rsidRPr="00F937B1">
                              <w:rPr>
                                <w:i/>
                                <w:iCs/>
                                <w:lang w:val="es-CO"/>
                              </w:rPr>
                              <w:t xml:space="preserve">Anguila Europea </w:t>
                            </w:r>
                            <w:r w:rsidRPr="00F937B1">
                              <w:rPr>
                                <w:lang w:val="es-CO"/>
                              </w:rPr>
                              <w:t>y mandatos más antiguos relacionados con los peces de agua dulce</w:t>
                            </w:r>
                            <w:r w:rsidR="007D5DD1" w:rsidRPr="00F937B1">
                              <w:rPr>
                                <w:i/>
                                <w:iCs/>
                                <w:lang w:val="es-CO"/>
                              </w:rPr>
                              <w:t xml:space="preserve">.   </w:t>
                            </w:r>
                            <w:r w:rsidRPr="00F937B1">
                              <w:rPr>
                                <w:lang w:val="es-CO"/>
                              </w:rPr>
                              <w:t xml:space="preserve">Contiene los proyectos de Decisión que se someten a adopción. </w:t>
                            </w:r>
                          </w:p>
                          <w:p w14:paraId="0A7AC1E9" w14:textId="77777777" w:rsidR="009C1079" w:rsidRDefault="009C1079" w:rsidP="00661875">
                            <w:pPr>
                              <w:spacing w:after="0" w:line="240" w:lineRule="auto"/>
                              <w:rPr>
                                <w:rFonts w:cs="Arial"/>
                                <w:lang w:val="es-CO"/>
                              </w:rPr>
                            </w:pPr>
                          </w:p>
                          <w:p w14:paraId="26F48E31" w14:textId="64349D52" w:rsidR="001C1790" w:rsidRPr="00F937B1" w:rsidRDefault="001C1790" w:rsidP="00661875">
                            <w:pPr>
                              <w:spacing w:after="0" w:line="240" w:lineRule="auto"/>
                              <w:rPr>
                                <w:rFonts w:cs="Arial"/>
                                <w:lang w:val="es-CO"/>
                              </w:rPr>
                            </w:pPr>
                            <w:r w:rsidRPr="001C1790">
                              <w:rPr>
                                <w:rFonts w:cs="Arial"/>
                                <w:lang w:val="es-CO"/>
                              </w:rPr>
                              <w:t>Este documento fue revisado por el Consejo Científico en su 6ª reunión del Comité del período de sesiones en julio de 2023.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05pt;margin-top:8.8pt;width:364.5pt;height:14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" strokeweight=".08811mm">
                <v:textbox>
                  <w:txbxContent>
                    <w:p w14:paraId="69DC25A9" w14:textId="77777777" w:rsidR="002E0DE9" w:rsidRPr="00F937B1" w:rsidRDefault="002E0DE9" w:rsidP="002E0DE9">
                      <w:pPr>
                        <w:spacing w:after="0"/>
                        <w:rPr>
                          <w:rFonts w:cs="Arial"/>
                          <w:lang w:val="es-CO"/>
                        </w:rPr>
                      </w:pPr>
                      <w:r w:rsidRPr="00F937B1">
                        <w:rPr>
                          <w:rFonts w:cs="Arial"/>
                          <w:lang w:val="es-CO"/>
                        </w:rPr>
                        <w:t>Resumen:</w:t>
                      </w:r>
                    </w:p>
                    <w:p w14:paraId="3D9DADAB" w14:textId="77777777" w:rsidR="002E0DE9" w:rsidRPr="00F937B1" w:rsidRDefault="002E0DE9" w:rsidP="002E0DE9">
                      <w:pPr>
                        <w:spacing w:after="0"/>
                        <w:rPr>
                          <w:rFonts w:cs="Arial"/>
                          <w:lang w:val="es-CO"/>
                        </w:rPr>
                      </w:pPr>
                    </w:p>
                    <w:p w14:paraId="76178007" w14:textId="32F62240" w:rsidR="00080BEA" w:rsidRPr="00F937B1" w:rsidRDefault="00080BEA" w:rsidP="00080BEA">
                      <w:pPr>
                        <w:spacing w:after="0"/>
                        <w:jc w:val="both"/>
                        <w:rPr>
                          <w:rFonts w:cs="Arial"/>
                          <w:lang w:val="es-CO"/>
                        </w:rPr>
                      </w:pPr>
                      <w:r w:rsidRPr="00F937B1">
                        <w:rPr>
                          <w:lang w:val="es-CO"/>
                        </w:rPr>
                        <w:t xml:space="preserve">El presente documento informa sobre el progreso de la implementación de las Decisiones 13.76-13.79 sobre la </w:t>
                      </w:r>
                      <w:r w:rsidRPr="00F937B1">
                        <w:rPr>
                          <w:i/>
                          <w:iCs/>
                          <w:lang w:val="es-CO"/>
                        </w:rPr>
                        <w:t xml:space="preserve">Anguila Europea </w:t>
                      </w:r>
                      <w:r w:rsidRPr="00F937B1">
                        <w:rPr>
                          <w:lang w:val="es-CO"/>
                        </w:rPr>
                        <w:t>y mandatos más antiguos relacionados con los peces de agua dulce</w:t>
                      </w:r>
                      <w:r w:rsidR="007D5DD1" w:rsidRPr="00F937B1">
                        <w:rPr>
                          <w:i/>
                          <w:iCs/>
                          <w:lang w:val="es-CO"/>
                        </w:rPr>
                        <w:t xml:space="preserve">.   </w:t>
                      </w:r>
                      <w:r w:rsidRPr="00F937B1">
                        <w:rPr>
                          <w:lang w:val="es-CO"/>
                        </w:rPr>
                        <w:t xml:space="preserve">Contiene los proyectos de Decisión que se someten a adopción. </w:t>
                      </w:r>
                    </w:p>
                    <w:p w14:paraId="0A7AC1E9" w14:textId="77777777" w:rsidR="009C1079" w:rsidRDefault="009C1079" w:rsidP="00661875">
                      <w:pPr>
                        <w:spacing w:after="0" w:line="240" w:lineRule="auto"/>
                        <w:rPr>
                          <w:rFonts w:cs="Arial"/>
                          <w:lang w:val="es-CO"/>
                        </w:rPr>
                      </w:pPr>
                    </w:p>
                    <w:p w14:paraId="26F48E31" w14:textId="64349D52" w:rsidR="001C1790" w:rsidRPr="00F937B1" w:rsidRDefault="001C1790" w:rsidP="00661875">
                      <w:pPr>
                        <w:spacing w:after="0" w:line="240" w:lineRule="auto"/>
                        <w:rPr>
                          <w:rFonts w:cs="Arial"/>
                          <w:lang w:val="es-CO"/>
                        </w:rPr>
                      </w:pPr>
                      <w:r w:rsidRPr="001C1790">
                        <w:rPr>
                          <w:rFonts w:cs="Arial"/>
                          <w:lang w:val="es-CO"/>
                        </w:rPr>
                        <w:t>Este documento fue revisado por el Consejo Científico en su 6ª reunión del Comité del período de sesiones en julio de 2023.</w:t>
                      </w:r>
                    </w:p>
                  </w:txbxContent>
                </v:textbox>
              </v:shape>
            </w:pict>
          </mc:Fallback>
        </mc:AlternateContent>
      </w:r>
    </w:p>
    <w:p w14:paraId="320AAD7B"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733ABB"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77777777" w:rsidR="002E0DE9" w:rsidRPr="00733ABB"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733ABB" w:rsidRDefault="005330F7" w:rsidP="00EC4F04">
      <w:pPr>
        <w:spacing w:after="0" w:line="240" w:lineRule="auto"/>
        <w:rPr>
          <w:lang w:val="es-ES"/>
        </w:rPr>
      </w:pPr>
    </w:p>
    <w:p w14:paraId="111843FD" w14:textId="77777777" w:rsidR="002E0DE9" w:rsidRPr="00733ABB" w:rsidRDefault="002E0DE9" w:rsidP="00EC4F04">
      <w:pPr>
        <w:spacing w:after="0" w:line="240" w:lineRule="auto"/>
        <w:rPr>
          <w:lang w:val="es-ES"/>
        </w:rPr>
      </w:pPr>
    </w:p>
    <w:p w14:paraId="6AF4E8FF" w14:textId="77777777" w:rsidR="002E0DE9" w:rsidRPr="00733ABB" w:rsidRDefault="002E0DE9" w:rsidP="00EC4F04">
      <w:pPr>
        <w:spacing w:after="0" w:line="240" w:lineRule="auto"/>
        <w:rPr>
          <w:lang w:val="es-ES"/>
        </w:rPr>
      </w:pPr>
    </w:p>
    <w:p w14:paraId="509B5F4B" w14:textId="77777777" w:rsidR="002E0DE9" w:rsidRPr="00733ABB" w:rsidRDefault="002E0DE9" w:rsidP="00EC4F04">
      <w:pPr>
        <w:spacing w:after="0" w:line="240" w:lineRule="auto"/>
        <w:rPr>
          <w:lang w:val="es-ES"/>
        </w:rPr>
      </w:pPr>
    </w:p>
    <w:p w14:paraId="73A3A65F" w14:textId="77777777" w:rsidR="00661875" w:rsidRPr="00733ABB" w:rsidRDefault="00661875" w:rsidP="00EC4F04">
      <w:pPr>
        <w:spacing w:after="0" w:line="240" w:lineRule="auto"/>
        <w:rPr>
          <w:lang w:val="es-ES"/>
        </w:rPr>
        <w:sectPr w:rsidR="00661875" w:rsidRPr="00733ABB" w:rsidSect="00743E7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73909C5D" w14:textId="4FEADE38" w:rsidR="002E0DE9" w:rsidRPr="00733ABB" w:rsidRDefault="001D526B" w:rsidP="004B7071">
      <w:pPr>
        <w:pStyle w:val="Title1"/>
        <w:rPr>
          <w:lang w:val="es-ES"/>
        </w:rPr>
      </w:pPr>
      <w:r w:rsidRPr="00733ABB">
        <w:rPr>
          <w:lang w:val="es-ES"/>
        </w:rPr>
        <w:lastRenderedPageBreak/>
        <w:t>Peces de agua dulce, incluida la anguila europea</w:t>
      </w:r>
    </w:p>
    <w:p w14:paraId="0DCB8F07" w14:textId="77777777" w:rsidR="002E0DE9" w:rsidRPr="00733ABB" w:rsidRDefault="002E0DE9" w:rsidP="00EC4F04">
      <w:pPr>
        <w:suppressAutoHyphens/>
        <w:autoSpaceDN w:val="0"/>
        <w:spacing w:after="0" w:line="240" w:lineRule="auto"/>
        <w:textAlignment w:val="baseline"/>
        <w:rPr>
          <w:rFonts w:eastAsia="Calibri" w:cs="Arial"/>
          <w:lang w:val="es-ES"/>
        </w:rPr>
      </w:pPr>
    </w:p>
    <w:p w14:paraId="4A0F002D" w14:textId="77777777" w:rsidR="00661875" w:rsidRPr="00733ABB" w:rsidRDefault="00661875" w:rsidP="00EC4F04">
      <w:pPr>
        <w:suppressAutoHyphens/>
        <w:autoSpaceDN w:val="0"/>
        <w:spacing w:after="0" w:line="240" w:lineRule="auto"/>
        <w:textAlignment w:val="baseline"/>
        <w:rPr>
          <w:rFonts w:eastAsia="Calibri" w:cs="Arial"/>
          <w:lang w:val="es-ES"/>
        </w:rPr>
      </w:pPr>
    </w:p>
    <w:p w14:paraId="3C86903F" w14:textId="77777777" w:rsidR="002E0DE9" w:rsidRPr="00733ABB" w:rsidRDefault="002E0DE9" w:rsidP="00EC4F04">
      <w:pPr>
        <w:suppressAutoHyphens/>
        <w:autoSpaceDN w:val="0"/>
        <w:spacing w:after="0" w:line="240" w:lineRule="auto"/>
        <w:textAlignment w:val="baseline"/>
        <w:rPr>
          <w:rFonts w:eastAsia="Calibri" w:cs="Arial"/>
          <w:u w:val="single"/>
          <w:lang w:val="es-ES"/>
        </w:rPr>
      </w:pPr>
      <w:r w:rsidRPr="00733ABB">
        <w:rPr>
          <w:rFonts w:eastAsia="Calibri" w:cs="Arial"/>
          <w:u w:val="single"/>
          <w:lang w:val="es-ES"/>
        </w:rPr>
        <w:t>Antecedentes</w:t>
      </w:r>
    </w:p>
    <w:p w14:paraId="48192314" w14:textId="77777777" w:rsidR="00D14760" w:rsidRPr="00733ABB" w:rsidRDefault="00D14760" w:rsidP="00D14760">
      <w:pPr>
        <w:widowControl w:val="0"/>
        <w:autoSpaceDE w:val="0"/>
        <w:autoSpaceDN w:val="0"/>
        <w:adjustRightInd w:val="0"/>
        <w:spacing w:after="0" w:line="240" w:lineRule="auto"/>
        <w:contextualSpacing/>
        <w:jc w:val="both"/>
        <w:rPr>
          <w:rFonts w:cs="Arial"/>
          <w:lang w:val="es-ES"/>
        </w:rPr>
      </w:pPr>
    </w:p>
    <w:p w14:paraId="6C7D6D51" w14:textId="6534B9C9" w:rsidR="00D14760" w:rsidRPr="00733ABB" w:rsidRDefault="00934817" w:rsidP="002B11B4">
      <w:pPr>
        <w:pStyle w:val="ListParagraph"/>
        <w:widowControl w:val="0"/>
        <w:numPr>
          <w:ilvl w:val="0"/>
          <w:numId w:val="6"/>
        </w:numPr>
        <w:autoSpaceDE w:val="0"/>
        <w:autoSpaceDN w:val="0"/>
        <w:adjustRightInd w:val="0"/>
        <w:spacing w:after="0" w:line="240" w:lineRule="auto"/>
        <w:ind w:left="567" w:hanging="567"/>
        <w:contextualSpacing w:val="0"/>
        <w:jc w:val="both"/>
        <w:rPr>
          <w:rFonts w:cs="Arial"/>
          <w:lang w:val="es-ES"/>
        </w:rPr>
      </w:pPr>
      <w:r w:rsidRPr="00733ABB">
        <w:rPr>
          <w:rFonts w:cs="Arial"/>
          <w:lang w:val="es-ES"/>
        </w:rPr>
        <w:t>En su 13.</w:t>
      </w:r>
      <w:r w:rsidRPr="00733ABB">
        <w:rPr>
          <w:rFonts w:cs="Arial"/>
          <w:vertAlign w:val="superscript"/>
          <w:lang w:val="es-ES"/>
        </w:rPr>
        <w:t>ª</w:t>
      </w:r>
      <w:r w:rsidRPr="00733ABB">
        <w:rPr>
          <w:rFonts w:cs="Arial"/>
          <w:lang w:val="es-ES"/>
        </w:rPr>
        <w:t xml:space="preserve"> reunión, la Conferencia de las Partes (COP13) ha adoptado las Decisiones 13.76-13.79 </w:t>
      </w:r>
      <w:r w:rsidRPr="00733ABB">
        <w:rPr>
          <w:rFonts w:cs="Arial"/>
          <w:i/>
          <w:iCs/>
          <w:lang w:val="es-ES"/>
        </w:rPr>
        <w:t xml:space="preserve">Anguila Europea, </w:t>
      </w:r>
      <w:r w:rsidRPr="00733ABB">
        <w:rPr>
          <w:rFonts w:cs="Arial"/>
          <w:lang w:val="es-ES"/>
        </w:rPr>
        <w:t>tal y como se expone a continuación:</w:t>
      </w:r>
    </w:p>
    <w:p w14:paraId="0976EECE" w14:textId="77777777" w:rsidR="00B80E16" w:rsidRPr="00733ABB" w:rsidRDefault="00B80E16" w:rsidP="002B11B4">
      <w:pPr>
        <w:shd w:val="clear" w:color="auto" w:fill="FFFFFF"/>
        <w:spacing w:after="0" w:line="240" w:lineRule="auto"/>
        <w:ind w:firstLine="567"/>
        <w:outlineLvl w:val="2"/>
        <w:rPr>
          <w:rFonts w:eastAsia="Times New Roman" w:cs="Arial"/>
          <w:b/>
          <w:bCs/>
          <w:i/>
          <w:iCs/>
          <w:color w:val="333333"/>
          <w:sz w:val="20"/>
          <w:szCs w:val="20"/>
          <w:lang w:val="es-ES"/>
        </w:rPr>
      </w:pPr>
    </w:p>
    <w:p w14:paraId="0AD8CAE4" w14:textId="1AEC759A" w:rsidR="007D52DB" w:rsidRPr="00833781" w:rsidRDefault="007D52DB" w:rsidP="007D52DB">
      <w:pPr>
        <w:shd w:val="clear" w:color="auto" w:fill="FFFFFF"/>
        <w:spacing w:after="0" w:line="240" w:lineRule="auto"/>
        <w:ind w:left="720"/>
        <w:outlineLvl w:val="2"/>
        <w:rPr>
          <w:rFonts w:eastAsia="Times New Roman" w:cs="Arial"/>
          <w:b/>
          <w:bCs/>
          <w:i/>
          <w:iCs/>
          <w:color w:val="333333"/>
          <w:sz w:val="20"/>
          <w:szCs w:val="20"/>
          <w:lang w:val="es-ES"/>
        </w:rPr>
      </w:pPr>
      <w:r w:rsidRPr="00833781">
        <w:rPr>
          <w:rFonts w:eastAsia="Times New Roman" w:cs="Arial"/>
          <w:b/>
          <w:bCs/>
          <w:i/>
          <w:iCs/>
          <w:color w:val="333333"/>
          <w:sz w:val="20"/>
          <w:szCs w:val="20"/>
          <w:lang w:val="es-ES"/>
        </w:rPr>
        <w:t>13.76 Decisión dirigida a las Partes</w:t>
      </w:r>
    </w:p>
    <w:p w14:paraId="39EC48EC" w14:textId="77777777" w:rsidR="007D52DB" w:rsidRPr="00833781" w:rsidRDefault="007D52DB" w:rsidP="007D52DB">
      <w:pPr>
        <w:shd w:val="clear" w:color="auto" w:fill="FFFFFF"/>
        <w:spacing w:after="0" w:line="240" w:lineRule="auto"/>
        <w:ind w:left="720"/>
        <w:rPr>
          <w:rFonts w:eastAsia="Times New Roman" w:cs="Arial"/>
          <w:i/>
          <w:iCs/>
          <w:color w:val="333333"/>
          <w:sz w:val="20"/>
          <w:szCs w:val="20"/>
          <w:lang w:val="es-ES"/>
        </w:rPr>
      </w:pPr>
    </w:p>
    <w:p w14:paraId="2CBF05EC" w14:textId="77777777" w:rsidR="00833781" w:rsidRPr="00833781" w:rsidRDefault="00833781" w:rsidP="00833781">
      <w:pPr>
        <w:shd w:val="clear" w:color="auto" w:fill="FFFFFF"/>
        <w:spacing w:after="0" w:line="240" w:lineRule="auto"/>
        <w:ind w:left="720"/>
        <w:jc w:val="both"/>
        <w:rPr>
          <w:rFonts w:eastAsia="Times New Roman" w:cs="Arial"/>
          <w:i/>
          <w:iCs/>
          <w:color w:val="333333"/>
          <w:sz w:val="20"/>
          <w:szCs w:val="20"/>
          <w:lang w:val="es-ES"/>
        </w:rPr>
      </w:pPr>
      <w:r w:rsidRPr="00833781">
        <w:rPr>
          <w:rFonts w:eastAsia="Times New Roman" w:cs="Arial"/>
          <w:i/>
          <w:iCs/>
          <w:color w:val="333333"/>
          <w:sz w:val="20"/>
          <w:szCs w:val="20"/>
          <w:lang w:val="es-ES"/>
        </w:rPr>
        <w:t>Se insta a las Partes que constituyen Estados del área de distribución de la anguila europea a:</w:t>
      </w:r>
    </w:p>
    <w:p w14:paraId="37530461" w14:textId="77777777" w:rsidR="00833781" w:rsidRPr="00833781" w:rsidRDefault="00833781" w:rsidP="00833781">
      <w:pPr>
        <w:shd w:val="clear" w:color="auto" w:fill="FFFFFF"/>
        <w:spacing w:after="0" w:line="240" w:lineRule="auto"/>
        <w:ind w:left="720"/>
        <w:jc w:val="both"/>
        <w:rPr>
          <w:rFonts w:eastAsia="Times New Roman" w:cs="Arial"/>
          <w:i/>
          <w:iCs/>
          <w:color w:val="333333"/>
          <w:sz w:val="20"/>
          <w:szCs w:val="20"/>
          <w:lang w:val="es-ES"/>
        </w:rPr>
      </w:pPr>
    </w:p>
    <w:p w14:paraId="06DBC852" w14:textId="1D9969B9" w:rsidR="00833781" w:rsidRPr="00833781" w:rsidRDefault="00833781" w:rsidP="00833781">
      <w:pPr>
        <w:pStyle w:val="ListParagraph"/>
        <w:numPr>
          <w:ilvl w:val="0"/>
          <w:numId w:val="22"/>
        </w:numPr>
        <w:shd w:val="clear" w:color="auto" w:fill="FFFFFF"/>
        <w:spacing w:after="0" w:line="240" w:lineRule="auto"/>
        <w:jc w:val="both"/>
        <w:rPr>
          <w:rFonts w:eastAsia="Times New Roman" w:cs="Arial"/>
          <w:i/>
          <w:iCs/>
          <w:color w:val="333333"/>
          <w:sz w:val="20"/>
          <w:szCs w:val="20"/>
          <w:lang w:val="es-ES"/>
        </w:rPr>
      </w:pPr>
      <w:r w:rsidRPr="00833781">
        <w:rPr>
          <w:rFonts w:eastAsia="Times New Roman" w:cs="Arial"/>
          <w:i/>
          <w:iCs/>
          <w:color w:val="333333"/>
          <w:sz w:val="20"/>
          <w:szCs w:val="20"/>
          <w:lang w:val="es-ES"/>
        </w:rPr>
        <w:t>proporcionar orientación a la Secretaría acerca de la estructura y el ámbito del Plan de Acción propuesto para la anguila europea (Anguilla anguilla) para el 31 de mayo de 2020, de manera que se pueda elaborar, difundir y finalizar un borrador a tiempo para su envío al Comité Permanente para su 52ª o 53ª reunión;</w:t>
      </w:r>
    </w:p>
    <w:p w14:paraId="38A0A56A" w14:textId="77777777" w:rsidR="00833781" w:rsidRPr="00833781" w:rsidRDefault="00833781" w:rsidP="00833781">
      <w:pPr>
        <w:shd w:val="clear" w:color="auto" w:fill="FFFFFF"/>
        <w:spacing w:after="0" w:line="240" w:lineRule="auto"/>
        <w:ind w:left="720"/>
        <w:jc w:val="both"/>
        <w:rPr>
          <w:rFonts w:eastAsia="Times New Roman" w:cs="Arial"/>
          <w:i/>
          <w:iCs/>
          <w:color w:val="333333"/>
          <w:sz w:val="20"/>
          <w:szCs w:val="20"/>
          <w:lang w:val="es-ES"/>
        </w:rPr>
      </w:pPr>
    </w:p>
    <w:p w14:paraId="38B65323" w14:textId="4A94B7FA" w:rsidR="007D52DB" w:rsidRPr="00833781" w:rsidRDefault="00833781" w:rsidP="00833781">
      <w:pPr>
        <w:pStyle w:val="ListParagraph"/>
        <w:numPr>
          <w:ilvl w:val="0"/>
          <w:numId w:val="22"/>
        </w:numPr>
        <w:shd w:val="clear" w:color="auto" w:fill="FFFFFF"/>
        <w:spacing w:after="0" w:line="240" w:lineRule="auto"/>
        <w:jc w:val="both"/>
        <w:rPr>
          <w:rFonts w:eastAsia="Times New Roman" w:cs="Arial"/>
          <w:i/>
          <w:iCs/>
          <w:color w:val="333333"/>
          <w:sz w:val="20"/>
          <w:szCs w:val="20"/>
          <w:lang w:val="es-ES"/>
        </w:rPr>
      </w:pPr>
      <w:r w:rsidRPr="00833781">
        <w:rPr>
          <w:rFonts w:eastAsia="Times New Roman" w:cs="Arial"/>
          <w:i/>
          <w:iCs/>
          <w:color w:val="333333"/>
          <w:sz w:val="20"/>
          <w:szCs w:val="20"/>
          <w:lang w:val="es-ES"/>
        </w:rPr>
        <w:t>aportar financiación para el desarrollo del plan, incluida la convocatoria de una reunión de Estados del área de distribución para finalizarlo</w:t>
      </w:r>
    </w:p>
    <w:p w14:paraId="45A0318B" w14:textId="77777777" w:rsidR="007D52DB" w:rsidRPr="00833781" w:rsidRDefault="007D52DB" w:rsidP="007D52DB">
      <w:pPr>
        <w:shd w:val="clear" w:color="auto" w:fill="FFFFFF"/>
        <w:spacing w:after="0" w:line="240" w:lineRule="auto"/>
        <w:ind w:left="720"/>
        <w:outlineLvl w:val="2"/>
        <w:rPr>
          <w:rFonts w:eastAsia="Times New Roman" w:cs="Arial"/>
          <w:b/>
          <w:bCs/>
          <w:i/>
          <w:iCs/>
          <w:color w:val="333333"/>
          <w:sz w:val="20"/>
          <w:szCs w:val="20"/>
          <w:lang w:val="es-ES"/>
        </w:rPr>
      </w:pPr>
      <w:bookmarkStart w:id="0" w:name="13.77"/>
      <w:bookmarkEnd w:id="0"/>
    </w:p>
    <w:p w14:paraId="2D997471" w14:textId="5FF4BD0B" w:rsidR="007D52DB" w:rsidRPr="00C53176" w:rsidRDefault="007D52DB" w:rsidP="007D52DB">
      <w:pPr>
        <w:shd w:val="clear" w:color="auto" w:fill="FFFFFF"/>
        <w:spacing w:after="0" w:line="240" w:lineRule="auto"/>
        <w:ind w:left="720"/>
        <w:outlineLvl w:val="2"/>
        <w:rPr>
          <w:rFonts w:eastAsia="Times New Roman" w:cs="Arial"/>
          <w:b/>
          <w:bCs/>
          <w:i/>
          <w:iCs/>
          <w:color w:val="333333"/>
          <w:sz w:val="20"/>
          <w:szCs w:val="20"/>
          <w:lang w:val="es-ES"/>
        </w:rPr>
      </w:pPr>
      <w:r w:rsidRPr="00C53176">
        <w:rPr>
          <w:rFonts w:eastAsia="Times New Roman" w:cs="Arial"/>
          <w:b/>
          <w:bCs/>
          <w:i/>
          <w:iCs/>
          <w:color w:val="333333"/>
          <w:sz w:val="20"/>
          <w:szCs w:val="20"/>
          <w:lang w:val="es-ES"/>
        </w:rPr>
        <w:t>13.77 Dir</w:t>
      </w:r>
      <w:r w:rsidR="00833781" w:rsidRPr="00C53176">
        <w:rPr>
          <w:rFonts w:eastAsia="Times New Roman" w:cs="Arial"/>
          <w:b/>
          <w:bCs/>
          <w:i/>
          <w:iCs/>
          <w:color w:val="333333"/>
          <w:sz w:val="20"/>
          <w:szCs w:val="20"/>
          <w:lang w:val="es-ES"/>
        </w:rPr>
        <w:t>igida al Comité Permanente</w:t>
      </w:r>
    </w:p>
    <w:p w14:paraId="222A1254" w14:textId="77777777" w:rsidR="00833781" w:rsidRPr="00C53176" w:rsidRDefault="00833781" w:rsidP="007D52DB">
      <w:pPr>
        <w:shd w:val="clear" w:color="auto" w:fill="FFFFFF"/>
        <w:spacing w:after="0" w:line="240" w:lineRule="auto"/>
        <w:ind w:left="720"/>
        <w:outlineLvl w:val="2"/>
        <w:rPr>
          <w:rFonts w:eastAsia="Times New Roman" w:cs="Arial"/>
          <w:b/>
          <w:bCs/>
          <w:i/>
          <w:iCs/>
          <w:sz w:val="20"/>
          <w:szCs w:val="20"/>
          <w:lang w:val="es-ES"/>
        </w:rPr>
      </w:pPr>
    </w:p>
    <w:p w14:paraId="7314EFCF" w14:textId="037BA925" w:rsidR="007D52DB" w:rsidRPr="005441E5" w:rsidRDefault="005441E5" w:rsidP="007D52DB">
      <w:pPr>
        <w:shd w:val="clear" w:color="auto" w:fill="FFFFFF"/>
        <w:spacing w:after="0" w:line="240" w:lineRule="auto"/>
        <w:ind w:left="720"/>
        <w:jc w:val="both"/>
        <w:rPr>
          <w:rFonts w:eastAsia="Times New Roman" w:cs="Arial"/>
          <w:i/>
          <w:iCs/>
          <w:color w:val="333333"/>
          <w:sz w:val="20"/>
          <w:szCs w:val="20"/>
          <w:lang w:val="es-ES"/>
        </w:rPr>
      </w:pPr>
      <w:r w:rsidRPr="005441E5">
        <w:rPr>
          <w:rFonts w:eastAsia="Times New Roman" w:cs="Arial"/>
          <w:i/>
          <w:iCs/>
          <w:color w:val="333333"/>
          <w:sz w:val="20"/>
          <w:szCs w:val="20"/>
          <w:lang w:val="es-ES"/>
        </w:rPr>
        <w:t>Solicitud al Comité Permanente para adoptar el Plan de Acción, en caso de que lo reciba el Comité Permanente, durante su 52ª o 53ª reunión</w:t>
      </w:r>
      <w:r w:rsidR="007D52DB" w:rsidRPr="005441E5">
        <w:rPr>
          <w:rFonts w:eastAsia="Times New Roman" w:cs="Arial"/>
          <w:i/>
          <w:iCs/>
          <w:color w:val="333333"/>
          <w:sz w:val="20"/>
          <w:szCs w:val="20"/>
          <w:lang w:val="es-ES"/>
        </w:rPr>
        <w:t>.</w:t>
      </w:r>
    </w:p>
    <w:p w14:paraId="0540D376" w14:textId="77777777" w:rsidR="007D52DB" w:rsidRPr="005441E5" w:rsidRDefault="007D52DB" w:rsidP="007D52DB">
      <w:pPr>
        <w:shd w:val="clear" w:color="auto" w:fill="FFFFFF"/>
        <w:spacing w:after="0" w:line="240" w:lineRule="auto"/>
        <w:ind w:left="720"/>
        <w:outlineLvl w:val="2"/>
        <w:rPr>
          <w:rFonts w:eastAsia="Times New Roman" w:cs="Arial"/>
          <w:b/>
          <w:bCs/>
          <w:i/>
          <w:iCs/>
          <w:color w:val="333333"/>
          <w:sz w:val="20"/>
          <w:szCs w:val="20"/>
          <w:lang w:val="es-ES"/>
        </w:rPr>
      </w:pPr>
      <w:bookmarkStart w:id="1" w:name="13.78"/>
      <w:bookmarkEnd w:id="1"/>
    </w:p>
    <w:p w14:paraId="22FD01B4" w14:textId="4F9F7406" w:rsidR="007D52DB" w:rsidRPr="004155CD" w:rsidRDefault="007D52DB" w:rsidP="007D52DB">
      <w:pPr>
        <w:shd w:val="clear" w:color="auto" w:fill="FFFFFF"/>
        <w:spacing w:after="0" w:line="240" w:lineRule="auto"/>
        <w:ind w:left="720"/>
        <w:outlineLvl w:val="2"/>
        <w:rPr>
          <w:rFonts w:eastAsia="Times New Roman" w:cs="Arial"/>
          <w:b/>
          <w:bCs/>
          <w:i/>
          <w:iCs/>
          <w:sz w:val="20"/>
          <w:szCs w:val="20"/>
          <w:lang w:val="es-ES"/>
        </w:rPr>
      </w:pPr>
      <w:r w:rsidRPr="004155CD">
        <w:rPr>
          <w:rFonts w:eastAsia="Times New Roman" w:cs="Arial"/>
          <w:b/>
          <w:bCs/>
          <w:i/>
          <w:iCs/>
          <w:color w:val="333333"/>
          <w:sz w:val="20"/>
          <w:szCs w:val="20"/>
          <w:lang w:val="es-ES"/>
        </w:rPr>
        <w:t>13.78 Dir</w:t>
      </w:r>
      <w:r w:rsidR="005441E5" w:rsidRPr="004155CD">
        <w:rPr>
          <w:rFonts w:eastAsia="Times New Roman" w:cs="Arial"/>
          <w:b/>
          <w:bCs/>
          <w:i/>
          <w:iCs/>
          <w:color w:val="333333"/>
          <w:sz w:val="20"/>
          <w:szCs w:val="20"/>
          <w:lang w:val="es-ES"/>
        </w:rPr>
        <w:t xml:space="preserve">igida a las OIGs </w:t>
      </w:r>
      <w:r w:rsidR="004155CD" w:rsidRPr="004155CD">
        <w:rPr>
          <w:rFonts w:eastAsia="Times New Roman" w:cs="Arial"/>
          <w:b/>
          <w:bCs/>
          <w:i/>
          <w:iCs/>
          <w:color w:val="333333"/>
          <w:sz w:val="20"/>
          <w:szCs w:val="20"/>
          <w:lang w:val="es-ES"/>
        </w:rPr>
        <w:t>y ONGs</w:t>
      </w:r>
    </w:p>
    <w:p w14:paraId="5F3713D5" w14:textId="77777777" w:rsidR="007D52DB" w:rsidRPr="004155CD" w:rsidRDefault="007D52DB" w:rsidP="007D52DB">
      <w:pPr>
        <w:shd w:val="clear" w:color="auto" w:fill="FFFFFF"/>
        <w:spacing w:after="0" w:line="240" w:lineRule="auto"/>
        <w:ind w:left="720"/>
        <w:rPr>
          <w:rFonts w:eastAsia="Times New Roman" w:cs="Arial"/>
          <w:i/>
          <w:iCs/>
          <w:color w:val="333333"/>
          <w:sz w:val="20"/>
          <w:szCs w:val="20"/>
          <w:lang w:val="es-ES"/>
        </w:rPr>
      </w:pPr>
    </w:p>
    <w:p w14:paraId="378B35A3" w14:textId="0F3C9E60" w:rsidR="007D52DB" w:rsidRPr="004155CD" w:rsidRDefault="004155CD" w:rsidP="007D52DB">
      <w:pPr>
        <w:pStyle w:val="ListParagraph"/>
        <w:spacing w:after="0" w:line="240" w:lineRule="auto"/>
        <w:contextualSpacing w:val="0"/>
        <w:rPr>
          <w:rFonts w:eastAsia="Times New Roman" w:cs="Arial"/>
          <w:color w:val="333333"/>
          <w:sz w:val="20"/>
          <w:szCs w:val="20"/>
          <w:lang w:val="es-ES"/>
        </w:rPr>
      </w:pPr>
      <w:r w:rsidRPr="004155CD">
        <w:rPr>
          <w:rFonts w:eastAsia="Times New Roman" w:cs="Arial"/>
          <w:i/>
          <w:iCs/>
          <w:color w:val="333333"/>
          <w:sz w:val="20"/>
          <w:szCs w:val="20"/>
          <w:lang w:val="es-ES"/>
        </w:rPr>
        <w:t>Se insta a las organizaciones intergubernamentales y no gubernamentales a proporcionar conocimientos y financiación para el desarrollo del plan, incluida la convocatoria de una reunión de Estados del área de distribución para finalizar el plan.</w:t>
      </w:r>
    </w:p>
    <w:p w14:paraId="13E9098F" w14:textId="77777777" w:rsidR="004155CD" w:rsidRPr="00C53176" w:rsidRDefault="004155CD" w:rsidP="007D52DB">
      <w:pPr>
        <w:pStyle w:val="ListParagraph"/>
        <w:spacing w:after="0" w:line="240" w:lineRule="auto"/>
        <w:contextualSpacing w:val="0"/>
        <w:rPr>
          <w:rFonts w:eastAsia="Times New Roman" w:cs="Arial"/>
          <w:b/>
          <w:bCs/>
          <w:i/>
          <w:iCs/>
          <w:color w:val="333333"/>
          <w:sz w:val="20"/>
          <w:szCs w:val="20"/>
          <w:shd w:val="clear" w:color="auto" w:fill="FFFFFF"/>
          <w:lang w:val="es-ES"/>
        </w:rPr>
      </w:pPr>
    </w:p>
    <w:p w14:paraId="729587E7" w14:textId="0FA9CC19" w:rsidR="007D52DB" w:rsidRPr="003209CB" w:rsidRDefault="007D52DB" w:rsidP="007D52DB">
      <w:pPr>
        <w:pStyle w:val="ListParagraph"/>
        <w:spacing w:after="0" w:line="240" w:lineRule="auto"/>
        <w:contextualSpacing w:val="0"/>
        <w:rPr>
          <w:rFonts w:eastAsia="Times New Roman" w:cs="Arial"/>
          <w:b/>
          <w:bCs/>
          <w:i/>
          <w:iCs/>
          <w:sz w:val="20"/>
          <w:szCs w:val="20"/>
          <w:lang w:val="es-ES"/>
        </w:rPr>
      </w:pPr>
      <w:r w:rsidRPr="003209CB">
        <w:rPr>
          <w:rFonts w:eastAsia="Times New Roman" w:cs="Arial"/>
          <w:b/>
          <w:bCs/>
          <w:i/>
          <w:iCs/>
          <w:color w:val="333333"/>
          <w:sz w:val="20"/>
          <w:szCs w:val="20"/>
          <w:shd w:val="clear" w:color="auto" w:fill="FFFFFF"/>
          <w:lang w:val="es-ES"/>
        </w:rPr>
        <w:t>13.79 Dir</w:t>
      </w:r>
      <w:r w:rsidR="004155CD" w:rsidRPr="003209CB">
        <w:rPr>
          <w:rFonts w:eastAsia="Times New Roman" w:cs="Arial"/>
          <w:b/>
          <w:bCs/>
          <w:i/>
          <w:iCs/>
          <w:color w:val="333333"/>
          <w:sz w:val="20"/>
          <w:szCs w:val="20"/>
          <w:shd w:val="clear" w:color="auto" w:fill="FFFFFF"/>
          <w:lang w:val="es-ES"/>
        </w:rPr>
        <w:t>igida a la Secretaría</w:t>
      </w:r>
      <w:r w:rsidRPr="003209CB">
        <w:rPr>
          <w:rFonts w:eastAsia="Times New Roman" w:cs="Arial"/>
          <w:color w:val="333333"/>
          <w:sz w:val="20"/>
          <w:szCs w:val="20"/>
          <w:lang w:val="es-ES"/>
        </w:rPr>
        <w:br/>
      </w:r>
    </w:p>
    <w:p w14:paraId="0CFF20A3" w14:textId="77777777" w:rsidR="003209CB" w:rsidRPr="003209CB" w:rsidRDefault="003209CB" w:rsidP="003209CB">
      <w:pPr>
        <w:widowControl w:val="0"/>
        <w:autoSpaceDE w:val="0"/>
        <w:autoSpaceDN w:val="0"/>
        <w:adjustRightInd w:val="0"/>
        <w:spacing w:after="0" w:line="240" w:lineRule="auto"/>
        <w:ind w:left="720"/>
        <w:jc w:val="both"/>
        <w:rPr>
          <w:rFonts w:eastAsia="Times New Roman" w:cs="Arial"/>
          <w:i/>
          <w:iCs/>
          <w:color w:val="333333"/>
          <w:sz w:val="20"/>
          <w:szCs w:val="20"/>
          <w:lang w:val="es-ES"/>
        </w:rPr>
      </w:pPr>
      <w:r w:rsidRPr="003209CB">
        <w:rPr>
          <w:rFonts w:eastAsia="Times New Roman" w:cs="Arial"/>
          <w:i/>
          <w:iCs/>
          <w:color w:val="333333"/>
          <w:sz w:val="20"/>
          <w:szCs w:val="20"/>
          <w:lang w:val="es-ES"/>
        </w:rPr>
        <w:t>La Secretaría, sujeta a la disponibilidad de recursos, deberá:</w:t>
      </w:r>
    </w:p>
    <w:p w14:paraId="3293D3CC" w14:textId="77777777" w:rsidR="003209CB" w:rsidRPr="003209CB" w:rsidRDefault="003209CB" w:rsidP="003209CB">
      <w:pPr>
        <w:widowControl w:val="0"/>
        <w:autoSpaceDE w:val="0"/>
        <w:autoSpaceDN w:val="0"/>
        <w:adjustRightInd w:val="0"/>
        <w:spacing w:after="0" w:line="240" w:lineRule="auto"/>
        <w:ind w:left="720"/>
        <w:jc w:val="both"/>
        <w:rPr>
          <w:rFonts w:eastAsia="Times New Roman" w:cs="Arial"/>
          <w:i/>
          <w:iCs/>
          <w:color w:val="333333"/>
          <w:sz w:val="20"/>
          <w:szCs w:val="20"/>
          <w:lang w:val="es-ES"/>
        </w:rPr>
      </w:pPr>
    </w:p>
    <w:p w14:paraId="6C3116FE" w14:textId="2EA70A43" w:rsidR="003209CB" w:rsidRPr="003209CB" w:rsidRDefault="003209CB" w:rsidP="003209CB">
      <w:pPr>
        <w:pStyle w:val="ListParagraph"/>
        <w:widowControl w:val="0"/>
        <w:numPr>
          <w:ilvl w:val="0"/>
          <w:numId w:val="23"/>
        </w:numPr>
        <w:autoSpaceDE w:val="0"/>
        <w:autoSpaceDN w:val="0"/>
        <w:adjustRightInd w:val="0"/>
        <w:spacing w:after="0" w:line="240" w:lineRule="auto"/>
        <w:jc w:val="both"/>
        <w:rPr>
          <w:rFonts w:eastAsia="Times New Roman" w:cs="Arial"/>
          <w:i/>
          <w:iCs/>
          <w:color w:val="333333"/>
          <w:sz w:val="20"/>
          <w:szCs w:val="20"/>
          <w:lang w:val="es-ES"/>
        </w:rPr>
      </w:pPr>
      <w:r w:rsidRPr="003209CB">
        <w:rPr>
          <w:rFonts w:eastAsia="Times New Roman" w:cs="Arial"/>
          <w:i/>
          <w:iCs/>
          <w:color w:val="333333"/>
          <w:sz w:val="20"/>
          <w:szCs w:val="20"/>
          <w:lang w:val="es-ES"/>
        </w:rPr>
        <w:t>desarrollar un borrador de un Plan de Acción para la anguila europea (Anguilla anguilla), de acuerdo con la orientación que proporcionen las Partes que constituyan Estados del área de distribución;</w:t>
      </w:r>
    </w:p>
    <w:p w14:paraId="324BFEF7" w14:textId="77777777" w:rsidR="003209CB" w:rsidRPr="003209CB" w:rsidRDefault="003209CB" w:rsidP="003209CB">
      <w:pPr>
        <w:widowControl w:val="0"/>
        <w:autoSpaceDE w:val="0"/>
        <w:autoSpaceDN w:val="0"/>
        <w:adjustRightInd w:val="0"/>
        <w:spacing w:after="0" w:line="240" w:lineRule="auto"/>
        <w:ind w:left="720"/>
        <w:jc w:val="both"/>
        <w:rPr>
          <w:rFonts w:eastAsia="Times New Roman" w:cs="Arial"/>
          <w:i/>
          <w:iCs/>
          <w:color w:val="333333"/>
          <w:sz w:val="20"/>
          <w:szCs w:val="20"/>
          <w:lang w:val="es-ES"/>
        </w:rPr>
      </w:pPr>
    </w:p>
    <w:p w14:paraId="28812AC4" w14:textId="112032B2" w:rsidR="003209CB" w:rsidRPr="003209CB" w:rsidRDefault="003209CB" w:rsidP="003209CB">
      <w:pPr>
        <w:pStyle w:val="ListParagraph"/>
        <w:widowControl w:val="0"/>
        <w:numPr>
          <w:ilvl w:val="0"/>
          <w:numId w:val="23"/>
        </w:numPr>
        <w:autoSpaceDE w:val="0"/>
        <w:autoSpaceDN w:val="0"/>
        <w:adjustRightInd w:val="0"/>
        <w:spacing w:after="0" w:line="240" w:lineRule="auto"/>
        <w:jc w:val="both"/>
        <w:rPr>
          <w:rFonts w:eastAsia="Times New Roman" w:cs="Arial"/>
          <w:i/>
          <w:iCs/>
          <w:color w:val="333333"/>
          <w:sz w:val="20"/>
          <w:szCs w:val="20"/>
          <w:lang w:val="es-ES"/>
        </w:rPr>
      </w:pPr>
      <w:r w:rsidRPr="003209CB">
        <w:rPr>
          <w:rFonts w:eastAsia="Times New Roman" w:cs="Arial"/>
          <w:i/>
          <w:iCs/>
          <w:color w:val="333333"/>
          <w:sz w:val="20"/>
          <w:szCs w:val="20"/>
          <w:lang w:val="es-ES"/>
        </w:rPr>
        <w:t>llevar a cabo consultas entre los Estados del área de distribución y organizaciones intergubernamentales y no gubernamentales pertinentes acerca del borrador del Plan de Acción por correspondencia convocando otra reunión de los Estados del área de distribución, si los fondos lo permiten:</w:t>
      </w:r>
    </w:p>
    <w:p w14:paraId="7E525D4B" w14:textId="77777777" w:rsidR="003209CB" w:rsidRPr="003209CB" w:rsidRDefault="003209CB" w:rsidP="003209CB">
      <w:pPr>
        <w:widowControl w:val="0"/>
        <w:autoSpaceDE w:val="0"/>
        <w:autoSpaceDN w:val="0"/>
        <w:adjustRightInd w:val="0"/>
        <w:spacing w:after="0" w:line="240" w:lineRule="auto"/>
        <w:ind w:left="720"/>
        <w:jc w:val="both"/>
        <w:rPr>
          <w:rFonts w:eastAsia="Times New Roman" w:cs="Arial"/>
          <w:i/>
          <w:iCs/>
          <w:color w:val="333333"/>
          <w:sz w:val="20"/>
          <w:szCs w:val="20"/>
          <w:lang w:val="es-ES"/>
        </w:rPr>
      </w:pPr>
    </w:p>
    <w:p w14:paraId="1FB8581C" w14:textId="51A16DDD" w:rsidR="00934817" w:rsidRPr="003209CB" w:rsidRDefault="003209CB" w:rsidP="003209CB">
      <w:pPr>
        <w:widowControl w:val="0"/>
        <w:autoSpaceDE w:val="0"/>
        <w:autoSpaceDN w:val="0"/>
        <w:adjustRightInd w:val="0"/>
        <w:spacing w:after="0" w:line="240" w:lineRule="auto"/>
        <w:ind w:left="1080" w:hanging="360"/>
        <w:jc w:val="both"/>
        <w:rPr>
          <w:rFonts w:cs="Arial"/>
          <w:lang w:val="es-ES"/>
        </w:rPr>
      </w:pPr>
      <w:r w:rsidRPr="003209CB">
        <w:rPr>
          <w:rFonts w:eastAsia="Times New Roman" w:cs="Arial"/>
          <w:i/>
          <w:iCs/>
          <w:color w:val="333333"/>
          <w:sz w:val="20"/>
          <w:szCs w:val="20"/>
          <w:lang w:val="es-ES"/>
        </w:rPr>
        <w:t>c</w:t>
      </w:r>
      <w:r>
        <w:rPr>
          <w:rFonts w:eastAsia="Times New Roman" w:cs="Arial"/>
          <w:i/>
          <w:iCs/>
          <w:color w:val="333333"/>
          <w:sz w:val="20"/>
          <w:szCs w:val="20"/>
          <w:lang w:val="es-ES"/>
        </w:rPr>
        <w:tab/>
      </w:r>
      <w:r w:rsidRPr="003209CB">
        <w:rPr>
          <w:rFonts w:eastAsia="Times New Roman" w:cs="Arial"/>
          <w:i/>
          <w:iCs/>
          <w:color w:val="333333"/>
          <w:sz w:val="20"/>
          <w:szCs w:val="20"/>
          <w:lang w:val="es-ES"/>
        </w:rPr>
        <w:t>enviar el borrador del plan al Comité Permanente durante su 52ª o 53ª reunión para su adopción o, en caso de que no se finalice a tiempo, a la 14ª reunión de la Conferencia de las Partes.</w:t>
      </w:r>
    </w:p>
    <w:p w14:paraId="65D74DFE" w14:textId="77777777" w:rsidR="00072DDE" w:rsidRPr="003209CB" w:rsidRDefault="00072DDE" w:rsidP="002B11B4">
      <w:pPr>
        <w:widowControl w:val="0"/>
        <w:autoSpaceDE w:val="0"/>
        <w:autoSpaceDN w:val="0"/>
        <w:adjustRightInd w:val="0"/>
        <w:spacing w:after="0" w:line="240" w:lineRule="auto"/>
        <w:jc w:val="both"/>
        <w:rPr>
          <w:rFonts w:cs="Arial"/>
          <w:lang w:val="es-ES"/>
        </w:rPr>
      </w:pPr>
    </w:p>
    <w:p w14:paraId="2D1E13A0" w14:textId="05079DE1" w:rsidR="005F7EA5" w:rsidRPr="00733ABB" w:rsidRDefault="005F7EA5" w:rsidP="002B11B4">
      <w:pPr>
        <w:pStyle w:val="ListParagraph"/>
        <w:widowControl w:val="0"/>
        <w:numPr>
          <w:ilvl w:val="0"/>
          <w:numId w:val="6"/>
        </w:numPr>
        <w:autoSpaceDE w:val="0"/>
        <w:autoSpaceDN w:val="0"/>
        <w:adjustRightInd w:val="0"/>
        <w:spacing w:after="0" w:line="240" w:lineRule="auto"/>
        <w:ind w:left="567" w:hanging="567"/>
        <w:contextualSpacing w:val="0"/>
        <w:jc w:val="both"/>
        <w:rPr>
          <w:rFonts w:cs="Arial"/>
          <w:lang w:val="es-ES"/>
        </w:rPr>
      </w:pPr>
      <w:r w:rsidRPr="00733ABB">
        <w:rPr>
          <w:rFonts w:cs="Arial"/>
          <w:lang w:val="es-ES"/>
        </w:rPr>
        <w:t>En la 5.</w:t>
      </w:r>
      <w:r w:rsidRPr="00733ABB">
        <w:rPr>
          <w:rFonts w:cs="Arial"/>
          <w:vertAlign w:val="superscript"/>
          <w:lang w:val="es-ES"/>
        </w:rPr>
        <w:t>ª</w:t>
      </w:r>
      <w:r w:rsidRPr="00733ABB">
        <w:rPr>
          <w:rFonts w:cs="Arial"/>
          <w:lang w:val="es-ES"/>
        </w:rPr>
        <w:t xml:space="preserve"> reunión del Comité del Período de Sesiones del Consejo Científico (ScC-SC5, por sus siglas en inglés) que se celebró en 2021, se añadió al programa de trabajo la siguiente actividad:</w:t>
      </w:r>
      <w:r w:rsidR="00B952D1" w:rsidRPr="00733ABB">
        <w:rPr>
          <w:rFonts w:cs="Arial"/>
          <w:lang w:val="es-ES"/>
        </w:rPr>
        <w:t xml:space="preserve"> </w:t>
      </w:r>
    </w:p>
    <w:p w14:paraId="2860648B" w14:textId="77777777" w:rsidR="00CA1F67" w:rsidRPr="00733ABB" w:rsidRDefault="00CA1F67" w:rsidP="002B11B4">
      <w:pPr>
        <w:pStyle w:val="pf0"/>
        <w:spacing w:before="0" w:beforeAutospacing="0" w:after="0" w:afterAutospacing="0"/>
        <w:ind w:left="567"/>
        <w:rPr>
          <w:rStyle w:val="cf01"/>
          <w:rFonts w:ascii="Arial" w:hAnsi="Arial" w:cs="Arial"/>
          <w:b/>
          <w:bCs/>
          <w:i/>
          <w:iCs/>
          <w:sz w:val="20"/>
          <w:szCs w:val="20"/>
          <w:lang w:val="es-ES"/>
        </w:rPr>
      </w:pPr>
    </w:p>
    <w:p w14:paraId="527DAB4B" w14:textId="09621CC7" w:rsidR="004C6DAD" w:rsidRPr="00C53176" w:rsidRDefault="00332BD7" w:rsidP="002B11B4">
      <w:pPr>
        <w:pStyle w:val="pf0"/>
        <w:spacing w:before="0" w:beforeAutospacing="0" w:after="0" w:afterAutospacing="0"/>
        <w:ind w:left="567"/>
        <w:rPr>
          <w:rStyle w:val="cf01"/>
          <w:rFonts w:ascii="Arial" w:hAnsi="Arial" w:cs="Arial"/>
          <w:b/>
          <w:bCs/>
          <w:i/>
          <w:iCs/>
          <w:sz w:val="20"/>
          <w:szCs w:val="20"/>
          <w:lang w:val="es-ES"/>
        </w:rPr>
      </w:pPr>
      <w:r w:rsidRPr="00C53176">
        <w:rPr>
          <w:rStyle w:val="cf01"/>
          <w:rFonts w:ascii="Arial" w:hAnsi="Arial" w:cs="Arial"/>
          <w:b/>
          <w:bCs/>
          <w:i/>
          <w:iCs/>
          <w:sz w:val="20"/>
          <w:szCs w:val="20"/>
          <w:lang w:val="es-ES"/>
        </w:rPr>
        <w:t xml:space="preserve">ScC-SC5. </w:t>
      </w:r>
      <w:r w:rsidR="001E0F67" w:rsidRPr="00C53176">
        <w:rPr>
          <w:rStyle w:val="cf01"/>
          <w:rFonts w:ascii="Arial" w:hAnsi="Arial" w:cs="Arial"/>
          <w:b/>
          <w:bCs/>
          <w:i/>
          <w:iCs/>
          <w:sz w:val="20"/>
          <w:szCs w:val="20"/>
          <w:lang w:val="es-ES"/>
        </w:rPr>
        <w:t>Resultado</w:t>
      </w:r>
      <w:r w:rsidRPr="00C53176">
        <w:rPr>
          <w:rStyle w:val="cf01"/>
          <w:rFonts w:ascii="Arial" w:hAnsi="Arial" w:cs="Arial"/>
          <w:b/>
          <w:bCs/>
          <w:i/>
          <w:iCs/>
          <w:sz w:val="20"/>
          <w:szCs w:val="20"/>
          <w:lang w:val="es-ES"/>
        </w:rPr>
        <w:t xml:space="preserve"> 1.2 </w:t>
      </w:r>
      <w:r w:rsidR="00721B0C" w:rsidRPr="00C53176">
        <w:rPr>
          <w:rStyle w:val="cf01"/>
          <w:rFonts w:ascii="Arial" w:hAnsi="Arial" w:cs="Arial"/>
          <w:b/>
          <w:bCs/>
          <w:i/>
          <w:iCs/>
          <w:sz w:val="20"/>
          <w:szCs w:val="20"/>
          <w:lang w:val="es-ES"/>
        </w:rPr>
        <w:t>Program</w:t>
      </w:r>
      <w:r w:rsidR="001E0F67" w:rsidRPr="00C53176">
        <w:rPr>
          <w:rStyle w:val="cf01"/>
          <w:rFonts w:ascii="Arial" w:hAnsi="Arial" w:cs="Arial"/>
          <w:b/>
          <w:bCs/>
          <w:i/>
          <w:iCs/>
          <w:sz w:val="20"/>
          <w:szCs w:val="20"/>
          <w:lang w:val="es-ES"/>
        </w:rPr>
        <w:t>a de trabaj</w:t>
      </w:r>
      <w:r w:rsidR="00FA096D" w:rsidRPr="00C53176">
        <w:rPr>
          <w:rStyle w:val="cf01"/>
          <w:rFonts w:ascii="Arial" w:hAnsi="Arial" w:cs="Arial"/>
          <w:b/>
          <w:bCs/>
          <w:i/>
          <w:iCs/>
          <w:sz w:val="20"/>
          <w:szCs w:val="20"/>
          <w:lang w:val="es-ES"/>
        </w:rPr>
        <w:t>o: Acuático</w:t>
      </w:r>
      <w:r w:rsidRPr="00C53176">
        <w:rPr>
          <w:rStyle w:val="cf01"/>
          <w:rFonts w:ascii="Arial" w:hAnsi="Arial" w:cs="Arial"/>
          <w:b/>
          <w:bCs/>
          <w:i/>
          <w:iCs/>
          <w:sz w:val="20"/>
          <w:szCs w:val="20"/>
          <w:lang w:val="es-ES"/>
        </w:rPr>
        <w:t xml:space="preserve"> </w:t>
      </w:r>
    </w:p>
    <w:p w14:paraId="2DC7FE86" w14:textId="36DC4F86" w:rsidR="006D1635" w:rsidRPr="00733ABB" w:rsidRDefault="001E0F67" w:rsidP="001E0F67">
      <w:pPr>
        <w:pStyle w:val="pf0"/>
        <w:spacing w:after="0"/>
        <w:ind w:left="567"/>
        <w:rPr>
          <w:rStyle w:val="cf01"/>
          <w:rFonts w:ascii="Arial" w:hAnsi="Arial" w:cs="Arial"/>
          <w:i/>
          <w:iCs/>
          <w:sz w:val="20"/>
          <w:szCs w:val="20"/>
          <w:lang w:val="es-ES"/>
        </w:rPr>
      </w:pPr>
      <w:r w:rsidRPr="001E0F67">
        <w:rPr>
          <w:rStyle w:val="cf01"/>
          <w:rFonts w:ascii="Arial" w:hAnsi="Arial" w:cs="Arial"/>
          <w:i/>
          <w:iCs/>
          <w:sz w:val="20"/>
          <w:szCs w:val="20"/>
          <w:lang w:val="es-ES"/>
        </w:rPr>
        <w:t>Asesorar en</w:t>
      </w:r>
      <w:r>
        <w:rPr>
          <w:rStyle w:val="cf01"/>
          <w:rFonts w:ascii="Arial" w:hAnsi="Arial" w:cs="Arial"/>
          <w:i/>
          <w:iCs/>
          <w:sz w:val="20"/>
          <w:szCs w:val="20"/>
          <w:lang w:val="es-ES"/>
        </w:rPr>
        <w:t xml:space="preserve"> </w:t>
      </w:r>
      <w:r w:rsidRPr="001E0F67">
        <w:rPr>
          <w:rStyle w:val="cf01"/>
          <w:rFonts w:ascii="Arial" w:hAnsi="Arial" w:cs="Arial"/>
          <w:i/>
          <w:iCs/>
          <w:sz w:val="20"/>
          <w:szCs w:val="20"/>
          <w:lang w:val="es-ES"/>
        </w:rPr>
        <w:t>respuesta a la</w:t>
      </w:r>
      <w:r>
        <w:rPr>
          <w:rStyle w:val="cf01"/>
          <w:rFonts w:ascii="Arial" w:hAnsi="Arial" w:cs="Arial"/>
          <w:i/>
          <w:iCs/>
          <w:sz w:val="20"/>
          <w:szCs w:val="20"/>
          <w:lang w:val="es-ES"/>
        </w:rPr>
        <w:t xml:space="preserve"> </w:t>
      </w:r>
      <w:r w:rsidRPr="001E0F67">
        <w:rPr>
          <w:rStyle w:val="cf01"/>
          <w:rFonts w:ascii="Arial" w:hAnsi="Arial" w:cs="Arial"/>
          <w:i/>
          <w:iCs/>
          <w:sz w:val="20"/>
          <w:szCs w:val="20"/>
          <w:lang w:val="es-ES"/>
        </w:rPr>
        <w:t>revisión del estado</w:t>
      </w:r>
      <w:r>
        <w:rPr>
          <w:rStyle w:val="cf01"/>
          <w:rFonts w:ascii="Arial" w:hAnsi="Arial" w:cs="Arial"/>
          <w:i/>
          <w:iCs/>
          <w:sz w:val="20"/>
          <w:szCs w:val="20"/>
          <w:lang w:val="es-ES"/>
        </w:rPr>
        <w:t xml:space="preserve"> </w:t>
      </w:r>
      <w:r w:rsidRPr="001E0F67">
        <w:rPr>
          <w:rStyle w:val="cf01"/>
          <w:rFonts w:ascii="Arial" w:hAnsi="Arial" w:cs="Arial"/>
          <w:i/>
          <w:iCs/>
          <w:sz w:val="20"/>
          <w:szCs w:val="20"/>
          <w:lang w:val="es-ES"/>
        </w:rPr>
        <w:t>de conservación</w:t>
      </w:r>
      <w:r>
        <w:rPr>
          <w:rStyle w:val="cf01"/>
          <w:rFonts w:ascii="Arial" w:hAnsi="Arial" w:cs="Arial"/>
          <w:i/>
          <w:iCs/>
          <w:sz w:val="20"/>
          <w:szCs w:val="20"/>
          <w:lang w:val="es-ES"/>
        </w:rPr>
        <w:t xml:space="preserve"> </w:t>
      </w:r>
      <w:r w:rsidRPr="001E0F67">
        <w:rPr>
          <w:rStyle w:val="cf01"/>
          <w:rFonts w:ascii="Arial" w:hAnsi="Arial" w:cs="Arial"/>
          <w:i/>
          <w:iCs/>
          <w:sz w:val="20"/>
          <w:szCs w:val="20"/>
          <w:lang w:val="es-ES"/>
        </w:rPr>
        <w:t>de los peces de</w:t>
      </w:r>
      <w:r>
        <w:rPr>
          <w:rStyle w:val="cf01"/>
          <w:rFonts w:ascii="Arial" w:hAnsi="Arial" w:cs="Arial"/>
          <w:i/>
          <w:iCs/>
          <w:sz w:val="20"/>
          <w:szCs w:val="20"/>
          <w:lang w:val="es-ES"/>
        </w:rPr>
        <w:t xml:space="preserve"> </w:t>
      </w:r>
      <w:r w:rsidRPr="001E0F67">
        <w:rPr>
          <w:rStyle w:val="cf01"/>
          <w:rFonts w:ascii="Arial" w:hAnsi="Arial" w:cs="Arial"/>
          <w:i/>
          <w:iCs/>
          <w:sz w:val="20"/>
          <w:szCs w:val="20"/>
          <w:lang w:val="es-ES"/>
        </w:rPr>
        <w:t>agua dulce</w:t>
      </w:r>
      <w:r>
        <w:rPr>
          <w:rStyle w:val="cf01"/>
          <w:rFonts w:ascii="Arial" w:hAnsi="Arial" w:cs="Arial"/>
          <w:i/>
          <w:iCs/>
          <w:sz w:val="20"/>
          <w:szCs w:val="20"/>
          <w:lang w:val="es-ES"/>
        </w:rPr>
        <w:t xml:space="preserve"> </w:t>
      </w:r>
      <w:r w:rsidRPr="001E0F67">
        <w:rPr>
          <w:rStyle w:val="cf01"/>
          <w:rFonts w:ascii="Arial" w:hAnsi="Arial" w:cs="Arial"/>
          <w:i/>
          <w:iCs/>
          <w:sz w:val="20"/>
          <w:szCs w:val="20"/>
          <w:lang w:val="es-ES"/>
        </w:rPr>
        <w:t>preparada por</w:t>
      </w:r>
      <w:r>
        <w:rPr>
          <w:rStyle w:val="cf01"/>
          <w:rFonts w:ascii="Arial" w:hAnsi="Arial" w:cs="Arial"/>
          <w:i/>
          <w:iCs/>
          <w:sz w:val="20"/>
          <w:szCs w:val="20"/>
          <w:lang w:val="es-ES"/>
        </w:rPr>
        <w:t xml:space="preserve"> </w:t>
      </w:r>
      <w:r w:rsidRPr="001E0F67">
        <w:rPr>
          <w:rStyle w:val="cf01"/>
          <w:rFonts w:ascii="Arial" w:hAnsi="Arial" w:cs="Arial"/>
          <w:i/>
          <w:iCs/>
          <w:sz w:val="20"/>
          <w:szCs w:val="20"/>
          <w:lang w:val="es-ES"/>
        </w:rPr>
        <w:t>Sudamérica</w:t>
      </w:r>
      <w:r w:rsidR="00332BD7" w:rsidRPr="00733ABB">
        <w:rPr>
          <w:rStyle w:val="cf01"/>
          <w:rFonts w:ascii="Arial" w:hAnsi="Arial" w:cs="Arial"/>
          <w:i/>
          <w:iCs/>
          <w:sz w:val="20"/>
          <w:szCs w:val="20"/>
          <w:lang w:val="es-ES"/>
        </w:rPr>
        <w:t xml:space="preserve"> </w:t>
      </w:r>
    </w:p>
    <w:p w14:paraId="2A7E4C92" w14:textId="77777777" w:rsidR="002B11B4" w:rsidRPr="00733ABB" w:rsidRDefault="002B11B4" w:rsidP="002B11B4">
      <w:pPr>
        <w:spacing w:after="0" w:line="240" w:lineRule="auto"/>
        <w:rPr>
          <w:rFonts w:cs="Arial"/>
          <w:u w:val="single"/>
          <w:lang w:val="es-ES"/>
        </w:rPr>
      </w:pPr>
    </w:p>
    <w:p w14:paraId="3702BE55" w14:textId="49BB1E18" w:rsidR="00873459" w:rsidRPr="00733ABB" w:rsidRDefault="00DA20C8" w:rsidP="002B11B4">
      <w:pPr>
        <w:spacing w:after="0" w:line="240" w:lineRule="auto"/>
        <w:rPr>
          <w:rFonts w:cs="Arial"/>
          <w:u w:val="single"/>
          <w:lang w:val="es-ES"/>
        </w:rPr>
      </w:pPr>
      <w:r w:rsidRPr="00733ABB">
        <w:rPr>
          <w:rFonts w:cs="Arial"/>
          <w:u w:val="single"/>
          <w:lang w:val="es-ES"/>
        </w:rPr>
        <w:t xml:space="preserve">La Anguila Europea </w:t>
      </w:r>
    </w:p>
    <w:p w14:paraId="6C1879A5" w14:textId="77777777" w:rsidR="002B11B4" w:rsidRPr="00733ABB" w:rsidRDefault="002B11B4" w:rsidP="002B11B4">
      <w:pPr>
        <w:spacing w:after="0" w:line="240" w:lineRule="auto"/>
        <w:rPr>
          <w:rFonts w:cs="Arial"/>
          <w:u w:val="single"/>
          <w:lang w:val="es-ES"/>
        </w:rPr>
      </w:pPr>
    </w:p>
    <w:p w14:paraId="62DED3D2" w14:textId="110DF24E" w:rsidR="00267551" w:rsidRPr="00733ABB" w:rsidRDefault="003140F0" w:rsidP="002B11B4">
      <w:pPr>
        <w:pStyle w:val="ListParagraph"/>
        <w:numPr>
          <w:ilvl w:val="0"/>
          <w:numId w:val="6"/>
        </w:numPr>
        <w:spacing w:after="0" w:line="240" w:lineRule="auto"/>
        <w:ind w:left="567" w:hanging="567"/>
        <w:contextualSpacing w:val="0"/>
        <w:jc w:val="both"/>
        <w:rPr>
          <w:rFonts w:cs="Arial"/>
          <w:lang w:val="es-ES"/>
        </w:rPr>
      </w:pPr>
      <w:r w:rsidRPr="00733ABB">
        <w:rPr>
          <w:rFonts w:cs="Arial"/>
          <w:lang w:val="es-ES"/>
        </w:rPr>
        <w:t xml:space="preserve">Con la cooperación de la Comisión del Mar de los Sargazos y la Sociedad Zoológica de Londres, se encuentra en fase de desarrollo un </w:t>
      </w:r>
      <w:r w:rsidRPr="00733ABB">
        <w:rPr>
          <w:rFonts w:eastAsia="Times New Roman" w:cs="Arial"/>
          <w:color w:val="333333"/>
          <w:lang w:val="es-ES"/>
        </w:rPr>
        <w:t>proyecto del Plan de Acción de Especie Única para la Anguila Europea (</w:t>
      </w:r>
      <w:r w:rsidRPr="00733ABB">
        <w:rPr>
          <w:rFonts w:eastAsia="Times New Roman" w:cs="Arial"/>
          <w:i/>
          <w:color w:val="333333"/>
          <w:lang w:val="es-ES"/>
        </w:rPr>
        <w:t>Anguilla anguilla</w:t>
      </w:r>
      <w:r w:rsidRPr="00733ABB">
        <w:rPr>
          <w:rFonts w:eastAsia="Times New Roman" w:cs="Arial"/>
          <w:color w:val="333333"/>
          <w:lang w:val="es-ES"/>
        </w:rPr>
        <w:t>). No obstante, debido a la pandemia y a otras prioridades, no ha sido posible finalizar el proyecto ni reunir a los Estados del área de distribución en este período entre sesiones.</w:t>
      </w:r>
      <w:r w:rsidR="00B952D1" w:rsidRPr="00733ABB">
        <w:rPr>
          <w:rFonts w:eastAsia="Times New Roman" w:cs="Arial"/>
          <w:color w:val="333333"/>
          <w:lang w:val="es-ES"/>
        </w:rPr>
        <w:t xml:space="preserve"> </w:t>
      </w:r>
      <w:r w:rsidRPr="00733ABB">
        <w:rPr>
          <w:rFonts w:eastAsia="Times New Roman" w:cs="Arial"/>
          <w:color w:val="333333"/>
          <w:lang w:val="es-ES"/>
        </w:rPr>
        <w:t xml:space="preserve"> </w:t>
      </w:r>
    </w:p>
    <w:p w14:paraId="091AFFE6" w14:textId="617BBBC1" w:rsidR="00F464AB" w:rsidRPr="00733ABB" w:rsidRDefault="006D713B" w:rsidP="002B11B4">
      <w:pPr>
        <w:pStyle w:val="ListParagraph"/>
        <w:spacing w:after="0" w:line="240" w:lineRule="auto"/>
        <w:ind w:left="360"/>
        <w:rPr>
          <w:rFonts w:cs="Arial"/>
          <w:lang w:val="es-ES"/>
        </w:rPr>
      </w:pPr>
      <w:r w:rsidRPr="00733ABB">
        <w:rPr>
          <w:rFonts w:eastAsia="Times New Roman" w:cs="Arial"/>
          <w:color w:val="333333"/>
          <w:lang w:val="es-ES"/>
        </w:rPr>
        <w:t xml:space="preserve"> </w:t>
      </w:r>
    </w:p>
    <w:p w14:paraId="35D78B1A" w14:textId="51E9389E" w:rsidR="00DA20C8" w:rsidRPr="00733ABB" w:rsidRDefault="00F464AB" w:rsidP="002B11B4">
      <w:pPr>
        <w:pStyle w:val="ListParagraph"/>
        <w:numPr>
          <w:ilvl w:val="0"/>
          <w:numId w:val="6"/>
        </w:numPr>
        <w:spacing w:after="0" w:line="240" w:lineRule="auto"/>
        <w:ind w:left="567" w:hanging="567"/>
        <w:jc w:val="both"/>
        <w:rPr>
          <w:rFonts w:cs="Arial"/>
          <w:lang w:val="es-ES"/>
        </w:rPr>
      </w:pPr>
      <w:r w:rsidRPr="00733ABB">
        <w:rPr>
          <w:rFonts w:eastAsia="Times New Roman" w:cs="Arial"/>
          <w:color w:val="333333"/>
          <w:lang w:val="es-ES"/>
        </w:rPr>
        <w:t>Se está debatiendo con los posibles países anfitriones la posibilidad de celebrar una reunión en 2024. Por tanto, se propone ampliar las Decisiones relevantes.</w:t>
      </w:r>
      <w:r w:rsidR="00B952D1" w:rsidRPr="00733ABB">
        <w:rPr>
          <w:rFonts w:eastAsia="Times New Roman" w:cs="Arial"/>
          <w:color w:val="333333"/>
          <w:lang w:val="es-ES"/>
        </w:rPr>
        <w:t xml:space="preserve"> </w:t>
      </w:r>
      <w:r w:rsidRPr="00733ABB">
        <w:rPr>
          <w:rFonts w:eastAsia="Times New Roman" w:cs="Arial"/>
          <w:color w:val="333333"/>
          <w:lang w:val="es-ES"/>
        </w:rPr>
        <w:t xml:space="preserve"> </w:t>
      </w:r>
    </w:p>
    <w:p w14:paraId="69D0876A" w14:textId="77777777" w:rsidR="00141859" w:rsidRPr="00733ABB" w:rsidRDefault="00141859" w:rsidP="00DA20C8">
      <w:pPr>
        <w:widowControl w:val="0"/>
        <w:autoSpaceDE w:val="0"/>
        <w:autoSpaceDN w:val="0"/>
        <w:adjustRightInd w:val="0"/>
        <w:spacing w:after="0" w:line="240" w:lineRule="auto"/>
        <w:contextualSpacing/>
        <w:jc w:val="both"/>
        <w:rPr>
          <w:rFonts w:cs="Arial"/>
          <w:b/>
          <w:bCs/>
          <w:lang w:val="es-ES"/>
        </w:rPr>
      </w:pPr>
    </w:p>
    <w:p w14:paraId="6D639B8B" w14:textId="23DC9600" w:rsidR="00DA20C8" w:rsidRPr="00733ABB" w:rsidRDefault="00DA20C8" w:rsidP="00DA20C8">
      <w:pPr>
        <w:widowControl w:val="0"/>
        <w:autoSpaceDE w:val="0"/>
        <w:autoSpaceDN w:val="0"/>
        <w:adjustRightInd w:val="0"/>
        <w:spacing w:after="0" w:line="240" w:lineRule="auto"/>
        <w:contextualSpacing/>
        <w:jc w:val="both"/>
        <w:rPr>
          <w:rFonts w:cs="Arial"/>
          <w:u w:val="single"/>
          <w:lang w:val="es-ES"/>
        </w:rPr>
      </w:pPr>
      <w:r w:rsidRPr="00733ABB">
        <w:rPr>
          <w:rFonts w:cs="Arial"/>
          <w:u w:val="single"/>
          <w:lang w:val="es-ES"/>
        </w:rPr>
        <w:t xml:space="preserve">Demás peces de agua dulce </w:t>
      </w:r>
    </w:p>
    <w:p w14:paraId="081D76CF" w14:textId="77777777" w:rsidR="00DA20C8" w:rsidRPr="00733ABB" w:rsidRDefault="00DA20C8" w:rsidP="002B11B4">
      <w:pPr>
        <w:spacing w:after="0" w:line="240" w:lineRule="auto"/>
        <w:rPr>
          <w:rFonts w:cs="Arial"/>
          <w:b/>
          <w:bCs/>
          <w:lang w:val="es-ES"/>
        </w:rPr>
      </w:pPr>
    </w:p>
    <w:p w14:paraId="52E3AB2D" w14:textId="31C24DC3" w:rsidR="00397342" w:rsidRPr="00A678C8" w:rsidRDefault="000B380F" w:rsidP="006B5903">
      <w:pPr>
        <w:widowControl w:val="0"/>
        <w:numPr>
          <w:ilvl w:val="0"/>
          <w:numId w:val="6"/>
        </w:numPr>
        <w:autoSpaceDE w:val="0"/>
        <w:autoSpaceDN w:val="0"/>
        <w:adjustRightInd w:val="0"/>
        <w:spacing w:after="0" w:line="240" w:lineRule="auto"/>
        <w:ind w:left="567" w:hanging="567"/>
        <w:jc w:val="both"/>
        <w:rPr>
          <w:rFonts w:cs="Arial"/>
          <w:lang w:val="es-ES"/>
        </w:rPr>
      </w:pPr>
      <w:r w:rsidRPr="00A678C8">
        <w:rPr>
          <w:rFonts w:cs="Arial"/>
          <w:lang w:val="es-ES"/>
        </w:rPr>
        <w:t>No se ha trabajado mucho en el contexto de la CMS sobre especies de peces de agua dulce a lo largo de los años.  Por ejemplo, se ha observado que el siluro gigante (</w:t>
      </w:r>
      <w:r w:rsidRPr="00A678C8">
        <w:rPr>
          <w:rFonts w:cs="Arial"/>
          <w:i/>
          <w:iCs/>
          <w:lang w:val="es-ES"/>
        </w:rPr>
        <w:t>Pangasianodon gigas</w:t>
      </w:r>
      <w:r w:rsidRPr="00A678C8">
        <w:rPr>
          <w:rFonts w:cs="Arial"/>
          <w:lang w:val="es-ES"/>
        </w:rPr>
        <w:t>) fue incluido en el Apéndice I de la CMS en 1979, y sin embargo nunca ha habido ninguna iniciativa de la CMS sobre la especie.</w:t>
      </w:r>
    </w:p>
    <w:p w14:paraId="2E523198" w14:textId="77777777" w:rsidR="000B380F" w:rsidRPr="00397342" w:rsidRDefault="000B380F" w:rsidP="006B5903">
      <w:pPr>
        <w:widowControl w:val="0"/>
        <w:autoSpaceDE w:val="0"/>
        <w:autoSpaceDN w:val="0"/>
        <w:adjustRightInd w:val="0"/>
        <w:spacing w:after="0" w:line="240" w:lineRule="auto"/>
        <w:ind w:left="567"/>
        <w:jc w:val="both"/>
        <w:rPr>
          <w:rFonts w:cs="Arial"/>
          <w:u w:val="single"/>
          <w:lang w:val="es-ES"/>
        </w:rPr>
      </w:pPr>
    </w:p>
    <w:p w14:paraId="7A47C2CF" w14:textId="1FCE92D5" w:rsidR="002C49EB" w:rsidRPr="00733ABB" w:rsidRDefault="00D15CC9" w:rsidP="006B5903">
      <w:pPr>
        <w:widowControl w:val="0"/>
        <w:numPr>
          <w:ilvl w:val="0"/>
          <w:numId w:val="6"/>
        </w:numPr>
        <w:autoSpaceDE w:val="0"/>
        <w:autoSpaceDN w:val="0"/>
        <w:adjustRightInd w:val="0"/>
        <w:spacing w:after="0" w:line="240" w:lineRule="auto"/>
        <w:ind w:left="567" w:hanging="567"/>
        <w:jc w:val="both"/>
        <w:rPr>
          <w:rFonts w:cs="Arial"/>
          <w:u w:val="single"/>
          <w:lang w:val="es-ES"/>
        </w:rPr>
      </w:pPr>
      <w:r w:rsidRPr="00733ABB">
        <w:rPr>
          <w:lang w:val="es-ES"/>
        </w:rPr>
        <w:t>La solicitud de la ScC-SC5 puede entenderse mejor dentro del contexto del trabajo previo que ha realizado el Consejo Científico. La 15.</w:t>
      </w:r>
      <w:r w:rsidR="00D64094" w:rsidRPr="00733ABB">
        <w:rPr>
          <w:vertAlign w:val="superscript"/>
          <w:lang w:val="es-ES"/>
        </w:rPr>
        <w:t>ª</w:t>
      </w:r>
      <w:r w:rsidRPr="00733ABB">
        <w:rPr>
          <w:lang w:val="es-ES"/>
        </w:rPr>
        <w:t xml:space="preserve"> reunión del Consejo Científico (ScC15) de 2008 encomendó al Consejero designado por la COP para los peces, el Sr. Zeb Hogan, la tarea de preparar un informe sobre el estado de conservación de los peces de agua dulce incluidos en la lista de la CMS. La consiguiente </w:t>
      </w:r>
      <w:r w:rsidR="00646D15" w:rsidRPr="00733ABB">
        <w:rPr>
          <w:i/>
          <w:iCs/>
          <w:lang w:val="es-ES"/>
        </w:rPr>
        <w:t>Revisión de los Peces de Agua Dulce</w:t>
      </w:r>
      <w:r w:rsidRPr="00733ABB">
        <w:rPr>
          <w:lang w:val="es-ES"/>
        </w:rPr>
        <w:t xml:space="preserve"> se trató en la ScC16 de 2010 y se puso a disposición de las Partes como </w:t>
      </w:r>
      <w:hyperlink r:id="rId18" w:history="1">
        <w:r w:rsidR="00F0494D" w:rsidRPr="00733ABB">
          <w:rPr>
            <w:rStyle w:val="Hyperlink"/>
            <w:lang w:val="es-ES"/>
          </w:rPr>
          <w:t xml:space="preserve">UNEP/CMS/Inf.10.33. </w:t>
        </w:r>
      </w:hyperlink>
      <w:r w:rsidRPr="00733ABB">
        <w:rPr>
          <w:lang w:val="es-ES"/>
        </w:rPr>
        <w:t xml:space="preserve"> En la COP10 de 2011 se proporcionó un resumen como </w:t>
      </w:r>
      <w:hyperlink r:id="rId19" w:history="1">
        <w:r w:rsidR="00DA728E" w:rsidRPr="00733ABB">
          <w:rPr>
            <w:rStyle w:val="Hyperlink"/>
            <w:lang w:val="es-ES"/>
          </w:rPr>
          <w:t>UNEP/CMS/Conf.10.31</w:t>
        </w:r>
      </w:hyperlink>
      <w:r w:rsidRPr="00733ABB">
        <w:rPr>
          <w:lang w:val="es-ES"/>
        </w:rPr>
        <w:t xml:space="preserve">. En el informe se revisaban las evaluaciones de las poblaciones disponibles y se proporcionaban directrices para incluir más especies de peces de agua dulce en los Apéndices de la CMS. Como consecuencia, las Partes adoptaron la </w:t>
      </w:r>
      <w:hyperlink r:id="rId20" w:history="1">
        <w:r w:rsidR="00DA728E" w:rsidRPr="00733ABB">
          <w:rPr>
            <w:rStyle w:val="Hyperlink"/>
            <w:lang w:val="es-ES"/>
          </w:rPr>
          <w:t>Resolución 10.12</w:t>
        </w:r>
      </w:hyperlink>
      <w:r w:rsidRPr="00733ABB">
        <w:rPr>
          <w:lang w:val="es-ES"/>
        </w:rPr>
        <w:t xml:space="preserve"> </w:t>
      </w:r>
      <w:r w:rsidR="00115E68" w:rsidRPr="00733ABB">
        <w:rPr>
          <w:i/>
          <w:iCs/>
          <w:lang w:val="es-ES"/>
        </w:rPr>
        <w:t>Peces de Agua Dulce</w:t>
      </w:r>
      <w:r w:rsidRPr="00733ABB">
        <w:rPr>
          <w:lang w:val="es-ES"/>
        </w:rPr>
        <w:t xml:space="preserve"> en dicha reunión. </w:t>
      </w:r>
    </w:p>
    <w:p w14:paraId="42A1B988" w14:textId="77777777" w:rsidR="00553D11" w:rsidRPr="00733ABB" w:rsidRDefault="00553D11" w:rsidP="006B5903">
      <w:pPr>
        <w:widowControl w:val="0"/>
        <w:autoSpaceDE w:val="0"/>
        <w:autoSpaceDN w:val="0"/>
        <w:adjustRightInd w:val="0"/>
        <w:spacing w:after="0" w:line="240" w:lineRule="auto"/>
        <w:jc w:val="both"/>
        <w:rPr>
          <w:lang w:val="es-ES"/>
        </w:rPr>
      </w:pPr>
    </w:p>
    <w:p w14:paraId="7D61FD18" w14:textId="5B72BA8C" w:rsidR="00A94DFE" w:rsidRPr="00733ABB" w:rsidRDefault="001C59FD" w:rsidP="006B5903">
      <w:pPr>
        <w:pStyle w:val="ListParagraph"/>
        <w:widowControl w:val="0"/>
        <w:numPr>
          <w:ilvl w:val="0"/>
          <w:numId w:val="6"/>
        </w:numPr>
        <w:autoSpaceDE w:val="0"/>
        <w:autoSpaceDN w:val="0"/>
        <w:adjustRightInd w:val="0"/>
        <w:spacing w:after="0" w:line="240" w:lineRule="auto"/>
        <w:ind w:left="567" w:hanging="567"/>
        <w:contextualSpacing w:val="0"/>
        <w:jc w:val="both"/>
        <w:rPr>
          <w:lang w:val="es-ES"/>
        </w:rPr>
      </w:pPr>
      <w:r w:rsidRPr="00733ABB">
        <w:rPr>
          <w:lang w:val="es-ES"/>
        </w:rPr>
        <w:t xml:space="preserve">En la revisión se identificaron varios conjuntos de especies (grupos de especies migratorias relacionadas entre sí) que podrían beneficiarse de estar incluidas en la lista de la CMS. Entre estos grupos se incluyen el esturión y el salmón, el pez sierra (Pristiformes), la raya de río (Himantura spp.), la anguila (Anguillidae), el sábalo (Alosinae), así como los pimelodidae y los characidae de Sudamérica, los pangasiidae del Sudeste Asiático (sobre todo en el río Mekong), el mahseer (Tor spp. y especies relacionadas), los alestidae de la cuenca del lago Chad y los cíclidos de los Grandes Lagos de África Oriental. En el informe se observó que no se trata de una lista exhaustiva de los posibles candidatos a incluirse en la CMS, sino que representaba un punto de partida para los debates. </w:t>
      </w:r>
    </w:p>
    <w:p w14:paraId="79EE9DF6" w14:textId="77777777" w:rsidR="004F3FAD" w:rsidRPr="00733ABB" w:rsidRDefault="004F3FAD" w:rsidP="006B5903">
      <w:pPr>
        <w:widowControl w:val="0"/>
        <w:autoSpaceDE w:val="0"/>
        <w:autoSpaceDN w:val="0"/>
        <w:adjustRightInd w:val="0"/>
        <w:spacing w:after="0" w:line="240" w:lineRule="auto"/>
        <w:jc w:val="both"/>
        <w:rPr>
          <w:rFonts w:cs="Arial"/>
          <w:u w:val="single"/>
          <w:lang w:val="es-ES"/>
        </w:rPr>
      </w:pPr>
    </w:p>
    <w:p w14:paraId="7B1633D5" w14:textId="2C15FF19" w:rsidR="003A2660" w:rsidRPr="00733ABB" w:rsidRDefault="00032C49" w:rsidP="006B5903">
      <w:pPr>
        <w:widowControl w:val="0"/>
        <w:numPr>
          <w:ilvl w:val="0"/>
          <w:numId w:val="6"/>
        </w:numPr>
        <w:autoSpaceDE w:val="0"/>
        <w:autoSpaceDN w:val="0"/>
        <w:adjustRightInd w:val="0"/>
        <w:spacing w:after="0" w:line="240" w:lineRule="auto"/>
        <w:ind w:left="567" w:hanging="567"/>
        <w:jc w:val="both"/>
        <w:rPr>
          <w:rFonts w:cs="Arial"/>
          <w:u w:val="single"/>
          <w:lang w:val="es-ES"/>
        </w:rPr>
      </w:pPr>
      <w:r w:rsidRPr="00733ABB">
        <w:rPr>
          <w:lang w:val="es-ES"/>
        </w:rPr>
        <w:t xml:space="preserve">De los conjuntos de especies que se identificaron en el informe y que podrían beneficiarse de estar incluidos en la lista, las cinco especies de peces sierra (Pristiformes) y una anguila común (la Anguila Europea, </w:t>
      </w:r>
      <w:r w:rsidR="006E51C8" w:rsidRPr="00733ABB">
        <w:rPr>
          <w:i/>
          <w:iCs/>
          <w:lang w:val="es-ES"/>
        </w:rPr>
        <w:t>Anguila anguila</w:t>
      </w:r>
      <w:r w:rsidRPr="00733ABB">
        <w:rPr>
          <w:lang w:val="es-ES"/>
        </w:rPr>
        <w:t>) se añadieron al Apéndice II de la CMS de 2014. Posteriormente, ninguna otra especie de peces de agua dulce se han propuesto para incluirse en la lista.</w:t>
      </w:r>
      <w:r w:rsidR="00B952D1" w:rsidRPr="00733ABB">
        <w:rPr>
          <w:lang w:val="es-ES"/>
        </w:rPr>
        <w:t xml:space="preserve"> </w:t>
      </w:r>
    </w:p>
    <w:p w14:paraId="5B0DE251" w14:textId="77777777" w:rsidR="00F71D26" w:rsidRPr="00733ABB" w:rsidRDefault="00F71D26" w:rsidP="006B5903">
      <w:pPr>
        <w:pStyle w:val="ListParagraph"/>
        <w:spacing w:after="0" w:line="240" w:lineRule="auto"/>
        <w:contextualSpacing w:val="0"/>
        <w:rPr>
          <w:rFonts w:cs="Arial"/>
          <w:u w:val="single"/>
          <w:lang w:val="es-ES"/>
        </w:rPr>
      </w:pPr>
    </w:p>
    <w:p w14:paraId="5C55C2CC" w14:textId="7A05ACB6" w:rsidR="00A61D3A" w:rsidRPr="00733ABB" w:rsidRDefault="00A61D3A" w:rsidP="006B5903">
      <w:pPr>
        <w:widowControl w:val="0"/>
        <w:numPr>
          <w:ilvl w:val="0"/>
          <w:numId w:val="6"/>
        </w:numPr>
        <w:autoSpaceDE w:val="0"/>
        <w:autoSpaceDN w:val="0"/>
        <w:adjustRightInd w:val="0"/>
        <w:spacing w:after="0" w:line="240" w:lineRule="auto"/>
        <w:ind w:left="567" w:hanging="567"/>
        <w:jc w:val="both"/>
        <w:rPr>
          <w:rFonts w:cs="Arial"/>
          <w:u w:val="single"/>
          <w:lang w:val="es-ES"/>
        </w:rPr>
      </w:pPr>
      <w:r w:rsidRPr="00733ABB">
        <w:rPr>
          <w:lang w:val="es-ES"/>
        </w:rPr>
        <w:t xml:space="preserve">En la revisión se identificó un número de especies individuales que podrían beneficiarse al incluirse en la lista de la CMS. Entre estas se incluían ocho peces de agua dulce de Sudamérica, de los cuales tres eran characiformes de la cuenca de La Plata y cinco siluriformes (tres de la cuenca de La Plata y dos de la cuenca del Amazonas). Cabe señalar que Brasil y Panamá han presentado dos propuestas a la COP14 para incluir a las especies de bagres del Amazonas, el </w:t>
      </w:r>
      <w:r w:rsidRPr="00733ABB">
        <w:rPr>
          <w:i/>
          <w:iCs/>
          <w:lang w:val="es-ES"/>
        </w:rPr>
        <w:t>Brachyplatystoma rousseauxii</w:t>
      </w:r>
      <w:r w:rsidRPr="00733ABB">
        <w:rPr>
          <w:lang w:val="es-ES"/>
        </w:rPr>
        <w:t xml:space="preserve"> y el </w:t>
      </w:r>
      <w:r w:rsidRPr="00733ABB">
        <w:rPr>
          <w:i/>
          <w:iCs/>
          <w:lang w:val="es-ES"/>
        </w:rPr>
        <w:t>Brachyplatystoma vaillantii</w:t>
      </w:r>
      <w:r w:rsidRPr="00733ABB">
        <w:rPr>
          <w:iCs/>
          <w:lang w:val="es-ES"/>
        </w:rPr>
        <w:t>,</w:t>
      </w:r>
      <w:r w:rsidRPr="00733ABB">
        <w:rPr>
          <w:lang w:val="es-ES"/>
        </w:rPr>
        <w:t xml:space="preserve"> en el Apéndice II.</w:t>
      </w:r>
    </w:p>
    <w:p w14:paraId="33D5DEB5" w14:textId="1DC4F6CB" w:rsidR="00FA096D" w:rsidRDefault="00FA096D">
      <w:pPr>
        <w:rPr>
          <w:rFonts w:cs="Arial"/>
          <w:u w:val="single"/>
          <w:lang w:val="es-ES"/>
        </w:rPr>
      </w:pPr>
    </w:p>
    <w:p w14:paraId="6402656F" w14:textId="506EC5C6" w:rsidR="002E0DE9" w:rsidRPr="00733ABB" w:rsidRDefault="003A2660" w:rsidP="00EC4F04">
      <w:pPr>
        <w:widowControl w:val="0"/>
        <w:numPr>
          <w:ilvl w:val="0"/>
          <w:numId w:val="6"/>
        </w:numPr>
        <w:autoSpaceDE w:val="0"/>
        <w:autoSpaceDN w:val="0"/>
        <w:adjustRightInd w:val="0"/>
        <w:spacing w:after="0" w:line="240" w:lineRule="auto"/>
        <w:ind w:left="567" w:hanging="567"/>
        <w:contextualSpacing/>
        <w:jc w:val="both"/>
        <w:rPr>
          <w:rFonts w:cs="Arial"/>
          <w:u w:val="single"/>
          <w:lang w:val="es-ES"/>
        </w:rPr>
      </w:pPr>
      <w:r w:rsidRPr="00733ABB">
        <w:rPr>
          <w:rFonts w:cs="Arial"/>
          <w:lang w:val="es-ES"/>
        </w:rPr>
        <w:t>En la 5.</w:t>
      </w:r>
      <w:r w:rsidRPr="00733ABB">
        <w:rPr>
          <w:rFonts w:cs="Arial"/>
          <w:vertAlign w:val="superscript"/>
          <w:lang w:val="es-ES"/>
        </w:rPr>
        <w:t>ª</w:t>
      </w:r>
      <w:r w:rsidRPr="00733ABB">
        <w:rPr>
          <w:rFonts w:cs="Arial"/>
          <w:lang w:val="es-ES"/>
        </w:rPr>
        <w:t xml:space="preserve"> reunión del Comité del Período de Sesiones del Consejo Científico (ScC-SC5), en 2021, los miembros del comité plantearon el tema de los peces de agua dulce, concretamente en el marco de la región de Sudamérica. El Consejo acordó añadir a su programa de trabajo la necesidad de revisar el estado de conservación de los peces de agua dulce y proporcionar recomendaciones para las acciones de conservación, sobre todo por el gran número de evaluaciones de la Lista Roja de las especies de Sudamérica que se han realizado en los últimos años. Con este objetivo, en el Anexo 1 se proponen nuevos proyectos de Decisión. </w:t>
      </w:r>
    </w:p>
    <w:p w14:paraId="320B112A" w14:textId="77777777" w:rsidR="005B72AB" w:rsidRPr="00733ABB" w:rsidRDefault="005B72AB" w:rsidP="00661875">
      <w:pPr>
        <w:spacing w:after="0" w:line="240" w:lineRule="auto"/>
        <w:jc w:val="both"/>
        <w:rPr>
          <w:rFonts w:cs="Arial"/>
          <w:lang w:val="es-ES"/>
        </w:rPr>
      </w:pPr>
    </w:p>
    <w:p w14:paraId="25D5D96F" w14:textId="77777777" w:rsidR="00661875" w:rsidRPr="00733ABB" w:rsidRDefault="00661875" w:rsidP="00661875">
      <w:pPr>
        <w:spacing w:after="0" w:line="240" w:lineRule="auto"/>
        <w:rPr>
          <w:rFonts w:cs="Arial"/>
          <w:lang w:val="es-ES"/>
        </w:rPr>
      </w:pPr>
      <w:r w:rsidRPr="00733ABB">
        <w:rPr>
          <w:rFonts w:cs="Arial"/>
          <w:u w:val="single"/>
          <w:lang w:val="es-ES"/>
        </w:rPr>
        <w:t>Acciones recomendadas</w:t>
      </w:r>
    </w:p>
    <w:p w14:paraId="180331FF" w14:textId="77777777" w:rsidR="00661875" w:rsidRPr="00733ABB" w:rsidRDefault="00661875" w:rsidP="00661875">
      <w:pPr>
        <w:spacing w:after="0" w:line="240" w:lineRule="auto"/>
        <w:rPr>
          <w:rFonts w:cs="Arial"/>
          <w:lang w:val="es-ES"/>
        </w:rPr>
      </w:pPr>
    </w:p>
    <w:p w14:paraId="4DA1BFBB" w14:textId="77777777" w:rsidR="00661875" w:rsidRPr="00733ABB" w:rsidRDefault="00661875" w:rsidP="00661875">
      <w:pPr>
        <w:widowControl w:val="0"/>
        <w:numPr>
          <w:ilvl w:val="0"/>
          <w:numId w:val="6"/>
        </w:numPr>
        <w:autoSpaceDE w:val="0"/>
        <w:autoSpaceDN w:val="0"/>
        <w:adjustRightInd w:val="0"/>
        <w:spacing w:after="0" w:line="240" w:lineRule="auto"/>
        <w:ind w:left="567" w:hanging="567"/>
        <w:jc w:val="both"/>
        <w:rPr>
          <w:rFonts w:cs="Arial"/>
          <w:lang w:val="es-ES"/>
        </w:rPr>
      </w:pPr>
      <w:r w:rsidRPr="00733ABB">
        <w:rPr>
          <w:rFonts w:cs="Arial"/>
          <w:lang w:val="es-ES" w:eastAsia="es-ES"/>
        </w:rPr>
        <w:t>Se recomienda a la Conferencia de las Partes que:</w:t>
      </w:r>
    </w:p>
    <w:p w14:paraId="1D2AB570" w14:textId="77777777" w:rsidR="008B1B57" w:rsidRPr="00733ABB" w:rsidRDefault="008B1B57" w:rsidP="00743E7C">
      <w:pPr>
        <w:pStyle w:val="Secondnumbering"/>
        <w:numPr>
          <w:ilvl w:val="0"/>
          <w:numId w:val="0"/>
        </w:numPr>
        <w:ind w:left="900" w:hanging="360"/>
        <w:rPr>
          <w:lang w:val="es-ES"/>
        </w:rPr>
      </w:pPr>
    </w:p>
    <w:p w14:paraId="0A7F3D8B" w14:textId="458EB04D" w:rsidR="000C349E" w:rsidRPr="00733ABB" w:rsidRDefault="008B1B57" w:rsidP="002B11B4">
      <w:pPr>
        <w:pStyle w:val="Secondnumbering"/>
        <w:ind w:left="1134" w:hanging="567"/>
        <w:rPr>
          <w:lang w:val="es-ES"/>
        </w:rPr>
      </w:pPr>
      <w:r w:rsidRPr="00733ABB">
        <w:rPr>
          <w:rFonts w:cs="Arial"/>
          <w:lang w:val="es-ES"/>
        </w:rPr>
        <w:t>apruebe el proyecto de Decisión incluido en el Anexo 1 del presente documento;</w:t>
      </w:r>
    </w:p>
    <w:p w14:paraId="648DCE6F" w14:textId="064DA1A1" w:rsidR="00C15318" w:rsidRPr="00733ABB" w:rsidRDefault="00C15318" w:rsidP="00C15318">
      <w:pPr>
        <w:pStyle w:val="ListParagraph"/>
        <w:spacing w:after="0" w:line="240" w:lineRule="auto"/>
        <w:contextualSpacing w:val="0"/>
        <w:rPr>
          <w:rFonts w:cs="Arial"/>
          <w:lang w:val="es-ES"/>
        </w:rPr>
      </w:pPr>
    </w:p>
    <w:p w14:paraId="683D566A" w14:textId="651AD6D2" w:rsidR="00DD07FD" w:rsidRPr="00733ABB" w:rsidRDefault="00831DC2" w:rsidP="002B11B4">
      <w:pPr>
        <w:pStyle w:val="Secondnumbering"/>
        <w:ind w:left="1134" w:hanging="567"/>
        <w:rPr>
          <w:lang w:val="es-ES"/>
        </w:rPr>
        <w:sectPr w:rsidR="00DD07FD" w:rsidRPr="00733ABB" w:rsidSect="00743E7C">
          <w:headerReference w:type="even" r:id="rId21"/>
          <w:headerReference w:type="default" r:id="rId22"/>
          <w:footerReference w:type="default" r:id="rId23"/>
          <w:headerReference w:type="first" r:id="rId24"/>
          <w:footerReference w:type="first" r:id="rId25"/>
          <w:pgSz w:w="11906" w:h="16838" w:code="9"/>
          <w:pgMar w:top="1440" w:right="1440" w:bottom="1440" w:left="1440" w:header="720" w:footer="720" w:gutter="0"/>
          <w:cols w:space="720"/>
          <w:titlePg/>
          <w:docGrid w:linePitch="360"/>
        </w:sectPr>
      </w:pPr>
      <w:r w:rsidRPr="00733ABB">
        <w:rPr>
          <w:rFonts w:cs="Arial"/>
          <w:lang w:val="es-ES"/>
        </w:rPr>
        <w:t>elimine las Decisiones 13.76 – 13.79.</w:t>
      </w:r>
    </w:p>
    <w:p w14:paraId="14291FF7" w14:textId="768E7DA5" w:rsidR="00DD07FD" w:rsidRPr="00733ABB" w:rsidRDefault="00DD07FD" w:rsidP="00DD07FD">
      <w:pPr>
        <w:spacing w:after="0" w:line="240" w:lineRule="auto"/>
        <w:jc w:val="right"/>
        <w:rPr>
          <w:rFonts w:cs="Arial"/>
          <w:b/>
          <w:bCs/>
          <w:caps/>
          <w:lang w:val="es-ES"/>
        </w:rPr>
      </w:pPr>
      <w:r w:rsidRPr="00733ABB">
        <w:rPr>
          <w:rFonts w:cs="Arial"/>
          <w:b/>
          <w:caps/>
          <w:lang w:val="es-ES"/>
        </w:rPr>
        <w:lastRenderedPageBreak/>
        <w:t xml:space="preserve">Anexo </w:t>
      </w:r>
      <w:r w:rsidR="00C92714" w:rsidRPr="00733ABB">
        <w:rPr>
          <w:rFonts w:cs="Arial"/>
          <w:b/>
          <w:caps/>
          <w:lang w:val="es-ES"/>
        </w:rPr>
        <w:t>1</w:t>
      </w:r>
    </w:p>
    <w:p w14:paraId="08BBF916" w14:textId="77777777" w:rsidR="00DD07FD" w:rsidRDefault="00DD07FD" w:rsidP="00DD07FD">
      <w:pPr>
        <w:spacing w:after="0" w:line="240" w:lineRule="auto"/>
        <w:rPr>
          <w:rFonts w:cs="Arial"/>
          <w:lang w:val="es-ES"/>
        </w:rPr>
      </w:pPr>
    </w:p>
    <w:p w14:paraId="7FD0D03F" w14:textId="77777777" w:rsidR="00A8341C" w:rsidRPr="00733ABB" w:rsidRDefault="00A8341C" w:rsidP="00DD07FD">
      <w:pPr>
        <w:spacing w:after="0" w:line="240" w:lineRule="auto"/>
        <w:rPr>
          <w:rFonts w:cs="Arial"/>
          <w:lang w:val="es-ES"/>
        </w:rPr>
      </w:pPr>
    </w:p>
    <w:p w14:paraId="202ABD7A" w14:textId="7AFE9364" w:rsidR="00EE7D9B" w:rsidRPr="00733ABB" w:rsidRDefault="00DD07FD" w:rsidP="00C92714">
      <w:pPr>
        <w:spacing w:after="0" w:line="240" w:lineRule="auto"/>
        <w:jc w:val="center"/>
        <w:rPr>
          <w:rFonts w:cs="Arial"/>
          <w:lang w:val="es-ES"/>
        </w:rPr>
      </w:pPr>
      <w:r w:rsidRPr="00733ABB">
        <w:rPr>
          <w:rFonts w:cs="Arial"/>
          <w:lang w:val="es-ES"/>
        </w:rPr>
        <w:t xml:space="preserve">PROYECTO DE DECISIÓN </w:t>
      </w:r>
    </w:p>
    <w:p w14:paraId="6188D398" w14:textId="77777777" w:rsidR="00DD07FD" w:rsidRPr="00733ABB" w:rsidRDefault="00DD07FD" w:rsidP="00DD07FD">
      <w:pPr>
        <w:spacing w:after="0" w:line="240" w:lineRule="auto"/>
        <w:jc w:val="center"/>
        <w:rPr>
          <w:rFonts w:cs="Arial"/>
          <w:lang w:val="es-ES"/>
        </w:rPr>
      </w:pPr>
    </w:p>
    <w:p w14:paraId="592A486E" w14:textId="47F7C7B1" w:rsidR="00DD07FD" w:rsidRPr="00733ABB" w:rsidRDefault="00993D37" w:rsidP="00DD07FD">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r w:rsidRPr="00733ABB">
        <w:rPr>
          <w:rFonts w:cs="Arial"/>
          <w:b/>
          <w:caps/>
          <w:lang w:val="es-ES"/>
        </w:rPr>
        <w:t>Anguila Europea</w:t>
      </w:r>
    </w:p>
    <w:p w14:paraId="44CB451B" w14:textId="77777777" w:rsidR="00DD07FD" w:rsidRPr="00733ABB" w:rsidRDefault="00DD07FD" w:rsidP="00DD07FD">
      <w:pPr>
        <w:spacing w:after="0" w:line="240" w:lineRule="auto"/>
        <w:jc w:val="both"/>
        <w:rPr>
          <w:rFonts w:cs="Arial"/>
          <w:lang w:val="es-ES"/>
        </w:rPr>
      </w:pPr>
    </w:p>
    <w:p w14:paraId="06B3027D" w14:textId="77777777" w:rsidR="00DD07FD" w:rsidRPr="00733ABB" w:rsidRDefault="00DD07FD" w:rsidP="00DD07FD">
      <w:pPr>
        <w:spacing w:after="0" w:line="240" w:lineRule="auto"/>
        <w:jc w:val="both"/>
        <w:rPr>
          <w:rFonts w:cs="Arial"/>
          <w:b/>
          <w:i/>
          <w:lang w:val="es-ES"/>
        </w:rPr>
      </w:pPr>
      <w:r w:rsidRPr="00733ABB">
        <w:rPr>
          <w:rFonts w:cs="Arial"/>
          <w:b/>
          <w:i/>
          <w:lang w:val="es-ES"/>
        </w:rPr>
        <w:t xml:space="preserve">Dirigido a las Partes </w:t>
      </w:r>
    </w:p>
    <w:p w14:paraId="1C7323C1" w14:textId="77777777" w:rsidR="00DD07FD" w:rsidRPr="00733ABB" w:rsidRDefault="00DD07FD" w:rsidP="00DD07FD">
      <w:pPr>
        <w:spacing w:after="0" w:line="240" w:lineRule="auto"/>
        <w:jc w:val="both"/>
        <w:rPr>
          <w:rFonts w:cs="Arial"/>
          <w:lang w:val="es-ES"/>
        </w:rPr>
      </w:pPr>
    </w:p>
    <w:p w14:paraId="46A56660" w14:textId="52BB7B06" w:rsidR="00E71F4E" w:rsidRPr="00733ABB" w:rsidRDefault="00DD07FD" w:rsidP="0057673D">
      <w:pPr>
        <w:spacing w:after="0" w:line="240" w:lineRule="auto"/>
        <w:ind w:left="851" w:hanging="851"/>
        <w:jc w:val="both"/>
        <w:rPr>
          <w:rFonts w:cs="Arial"/>
          <w:iCs/>
          <w:lang w:val="es-ES"/>
        </w:rPr>
      </w:pPr>
      <w:r w:rsidRPr="00733ABB">
        <w:rPr>
          <w:rFonts w:cs="Arial"/>
          <w:lang w:val="es-ES"/>
        </w:rPr>
        <w:t>14.AA</w:t>
      </w:r>
      <w:r w:rsidRPr="00733ABB">
        <w:rPr>
          <w:rFonts w:cs="Arial"/>
          <w:lang w:val="es-ES"/>
        </w:rPr>
        <w:tab/>
        <w:t xml:space="preserve">(13.76(b)) Se insta a las </w:t>
      </w:r>
      <w:r w:rsidRPr="00733ABB">
        <w:rPr>
          <w:rFonts w:cs="Arial"/>
          <w:iCs/>
          <w:lang w:val="es-ES"/>
        </w:rPr>
        <w:t xml:space="preserve">Partes </w:t>
      </w:r>
      <w:r w:rsidR="006361B1" w:rsidRPr="00733ABB">
        <w:rPr>
          <w:rFonts w:eastAsia="Times New Roman" w:cs="Arial"/>
          <w:color w:val="333333"/>
          <w:lang w:val="es-ES"/>
        </w:rPr>
        <w:t xml:space="preserve">que conforman los Estados del área de distribución para la Anguila Europea </w:t>
      </w:r>
      <w:r w:rsidR="006361B1" w:rsidRPr="00733ABB">
        <w:rPr>
          <w:rFonts w:eastAsia="Times New Roman" w:cs="Arial"/>
          <w:iCs/>
          <w:color w:val="333333"/>
          <w:lang w:val="es-ES"/>
        </w:rPr>
        <w:t xml:space="preserve">que ofrezcan </w:t>
      </w:r>
      <w:r w:rsidR="00AE528C" w:rsidRPr="00733ABB">
        <w:rPr>
          <w:rFonts w:eastAsia="Times New Roman" w:cs="Arial"/>
          <w:iCs/>
          <w:color w:val="333333"/>
          <w:u w:val="single"/>
          <w:lang w:val="es-ES"/>
        </w:rPr>
        <w:t>apoyo</w:t>
      </w:r>
      <w:r w:rsidR="00AE528C" w:rsidRPr="00733ABB">
        <w:rPr>
          <w:rFonts w:eastAsia="Times New Roman" w:cs="Arial"/>
          <w:iCs/>
          <w:color w:val="333333"/>
          <w:lang w:val="es-ES"/>
        </w:rPr>
        <w:t xml:space="preserve"> </w:t>
      </w:r>
      <w:r w:rsidR="00E71F4E" w:rsidRPr="00733ABB">
        <w:rPr>
          <w:rFonts w:eastAsia="Times New Roman" w:cs="Arial"/>
          <w:iCs/>
          <w:strike/>
          <w:color w:val="333333"/>
          <w:lang w:val="es-ES"/>
        </w:rPr>
        <w:t>financiero</w:t>
      </w:r>
      <w:r w:rsidR="00E71F4E" w:rsidRPr="00733ABB">
        <w:rPr>
          <w:rFonts w:eastAsia="Times New Roman" w:cs="Arial"/>
          <w:iCs/>
          <w:color w:val="333333"/>
          <w:lang w:val="es-ES"/>
        </w:rPr>
        <w:t xml:space="preserve"> para desarrollar el Plan de </w:t>
      </w:r>
      <w:r w:rsidR="007E58DF" w:rsidRPr="00733ABB">
        <w:rPr>
          <w:rFonts w:eastAsia="Times New Roman" w:cs="Arial"/>
          <w:iCs/>
          <w:color w:val="333333"/>
          <w:u w:val="single"/>
          <w:lang w:val="es-ES"/>
        </w:rPr>
        <w:t>Acción,</w:t>
      </w:r>
      <w:r w:rsidR="007E58DF" w:rsidRPr="00733ABB">
        <w:rPr>
          <w:rFonts w:eastAsia="Times New Roman" w:cs="Arial"/>
          <w:iCs/>
          <w:color w:val="333333"/>
          <w:lang w:val="es-ES"/>
        </w:rPr>
        <w:t xml:space="preserve"> incluida la organización de la reunión de los Estados del área de distribución para finalizarlo.</w:t>
      </w:r>
    </w:p>
    <w:p w14:paraId="224B9176" w14:textId="77777777" w:rsidR="00DD07FD" w:rsidRPr="00733ABB" w:rsidRDefault="00DD07FD" w:rsidP="00DD07FD">
      <w:pPr>
        <w:spacing w:after="0" w:line="240" w:lineRule="auto"/>
        <w:jc w:val="both"/>
        <w:rPr>
          <w:rFonts w:cs="Arial"/>
          <w:lang w:val="es-ES"/>
        </w:rPr>
      </w:pPr>
    </w:p>
    <w:p w14:paraId="4FAAB4D9" w14:textId="383A6158" w:rsidR="00DD07FD" w:rsidRPr="00701DE1" w:rsidRDefault="00DD07FD" w:rsidP="00DD07FD">
      <w:pPr>
        <w:spacing w:after="0" w:line="240" w:lineRule="auto"/>
        <w:jc w:val="both"/>
        <w:rPr>
          <w:rFonts w:cs="Arial"/>
          <w:b/>
          <w:i/>
          <w:lang w:val="es-ES"/>
        </w:rPr>
      </w:pPr>
      <w:r w:rsidRPr="00701DE1">
        <w:rPr>
          <w:rFonts w:cs="Arial"/>
          <w:b/>
          <w:i/>
          <w:lang w:val="es-ES"/>
        </w:rPr>
        <w:t>Dir</w:t>
      </w:r>
      <w:r w:rsidR="001922C0" w:rsidRPr="00701DE1">
        <w:rPr>
          <w:rFonts w:cs="Arial"/>
          <w:b/>
          <w:i/>
          <w:lang w:val="es-ES"/>
        </w:rPr>
        <w:t>igido a las organizaciones intergubernamentales y no gubernamentales</w:t>
      </w:r>
    </w:p>
    <w:p w14:paraId="62E8CC69" w14:textId="77777777" w:rsidR="00DD07FD" w:rsidRPr="00701DE1" w:rsidRDefault="00DD07FD" w:rsidP="00DD07FD">
      <w:pPr>
        <w:spacing w:after="0" w:line="240" w:lineRule="auto"/>
        <w:jc w:val="both"/>
        <w:rPr>
          <w:rFonts w:cs="Arial"/>
          <w:lang w:val="es-ES"/>
        </w:rPr>
      </w:pPr>
    </w:p>
    <w:p w14:paraId="1EAA37D2" w14:textId="4831DBBC" w:rsidR="00DD07FD" w:rsidRPr="00701DE1" w:rsidRDefault="00DD07FD" w:rsidP="00080387">
      <w:pPr>
        <w:spacing w:after="0" w:line="240" w:lineRule="auto"/>
        <w:ind w:left="851" w:hanging="851"/>
        <w:jc w:val="both"/>
        <w:rPr>
          <w:rFonts w:cs="Arial"/>
          <w:lang w:val="es-ES"/>
        </w:rPr>
      </w:pPr>
      <w:r w:rsidRPr="00701DE1">
        <w:rPr>
          <w:rFonts w:cs="Arial"/>
          <w:lang w:val="es-ES"/>
        </w:rPr>
        <w:t>1</w:t>
      </w:r>
      <w:r w:rsidR="00F25E90" w:rsidRPr="00701DE1">
        <w:rPr>
          <w:rFonts w:cs="Arial"/>
          <w:lang w:val="es-ES"/>
        </w:rPr>
        <w:t>4</w:t>
      </w:r>
      <w:r w:rsidRPr="00701DE1">
        <w:rPr>
          <w:rFonts w:cs="Arial"/>
          <w:lang w:val="es-ES"/>
        </w:rPr>
        <w:t>.BB</w:t>
      </w:r>
      <w:r w:rsidRPr="00701DE1">
        <w:rPr>
          <w:rFonts w:cs="Arial"/>
          <w:lang w:val="es-ES"/>
        </w:rPr>
        <w:tab/>
      </w:r>
      <w:r w:rsidR="006B2652" w:rsidRPr="00701DE1">
        <w:rPr>
          <w:rFonts w:cs="Arial"/>
          <w:lang w:val="es-ES"/>
        </w:rPr>
        <w:t>(</w:t>
      </w:r>
      <w:r w:rsidR="001123DB" w:rsidRPr="00701DE1">
        <w:rPr>
          <w:rFonts w:cs="Arial"/>
          <w:lang w:val="es-ES"/>
        </w:rPr>
        <w:t>13.78</w:t>
      </w:r>
      <w:r w:rsidR="006B2652" w:rsidRPr="00701DE1">
        <w:rPr>
          <w:rFonts w:cs="Arial"/>
          <w:lang w:val="es-ES"/>
        </w:rPr>
        <w:t>)</w:t>
      </w:r>
      <w:r w:rsidRPr="00701DE1">
        <w:rPr>
          <w:rFonts w:cs="Arial"/>
          <w:lang w:val="es-ES"/>
        </w:rPr>
        <w:t xml:space="preserve"> </w:t>
      </w:r>
      <w:r w:rsidR="001922C0" w:rsidRPr="00701DE1">
        <w:rPr>
          <w:rFonts w:eastAsia="Times New Roman" w:cs="Arial"/>
          <w:color w:val="333333"/>
          <w:lang w:val="es-ES"/>
        </w:rPr>
        <w:t>Se insta a las organizaciones intergubernamentales y no gubernamentales a proporcionar conocimientos y financiación para el desarrollo del plan, incluida la convocatoria de una reunión de Estados del área de distribución para finalizar el plan.</w:t>
      </w:r>
    </w:p>
    <w:p w14:paraId="032C32E8" w14:textId="77777777" w:rsidR="00DD07FD" w:rsidRPr="00701DE1" w:rsidRDefault="00DD07FD" w:rsidP="00DD07FD">
      <w:pPr>
        <w:spacing w:after="0" w:line="240" w:lineRule="auto"/>
        <w:jc w:val="both"/>
        <w:rPr>
          <w:rFonts w:cs="Arial"/>
          <w:b/>
          <w:i/>
          <w:lang w:val="es-ES"/>
        </w:rPr>
      </w:pPr>
    </w:p>
    <w:p w14:paraId="51A9A9EC" w14:textId="57115ADB" w:rsidR="00DD07FD" w:rsidRPr="00C53176" w:rsidRDefault="00DD07FD" w:rsidP="00DD07FD">
      <w:pPr>
        <w:spacing w:after="0" w:line="240" w:lineRule="auto"/>
        <w:jc w:val="both"/>
        <w:rPr>
          <w:rFonts w:cs="Arial"/>
          <w:b/>
          <w:i/>
          <w:lang w:val="es-ES"/>
        </w:rPr>
      </w:pPr>
      <w:r w:rsidRPr="00C53176">
        <w:rPr>
          <w:rFonts w:cs="Arial"/>
          <w:b/>
          <w:i/>
          <w:lang w:val="es-ES"/>
        </w:rPr>
        <w:t>Dir</w:t>
      </w:r>
      <w:r w:rsidR="00701DE1" w:rsidRPr="00C53176">
        <w:rPr>
          <w:rFonts w:cs="Arial"/>
          <w:b/>
          <w:i/>
          <w:lang w:val="es-ES"/>
        </w:rPr>
        <w:t>igido al Comité Permanente</w:t>
      </w:r>
    </w:p>
    <w:p w14:paraId="74E8B30D" w14:textId="77777777" w:rsidR="00DD07FD" w:rsidRPr="00C53176" w:rsidRDefault="00DD07FD" w:rsidP="00DD07FD">
      <w:pPr>
        <w:spacing w:after="0" w:line="240" w:lineRule="auto"/>
        <w:jc w:val="both"/>
        <w:rPr>
          <w:rFonts w:cs="Arial"/>
          <w:lang w:val="es-ES"/>
        </w:rPr>
      </w:pPr>
    </w:p>
    <w:p w14:paraId="747DE060" w14:textId="67E8DD9D" w:rsidR="000E052A" w:rsidRPr="00835006" w:rsidRDefault="00DD07FD" w:rsidP="007D1EA2">
      <w:pPr>
        <w:spacing w:after="0" w:line="240" w:lineRule="auto"/>
        <w:ind w:left="851" w:hanging="851"/>
        <w:jc w:val="both"/>
        <w:rPr>
          <w:rFonts w:cs="Arial"/>
          <w:b/>
          <w:i/>
          <w:lang w:val="es-ES"/>
        </w:rPr>
      </w:pPr>
      <w:r w:rsidRPr="00835006">
        <w:rPr>
          <w:rFonts w:cs="Arial"/>
          <w:lang w:val="es-ES"/>
        </w:rPr>
        <w:t>1</w:t>
      </w:r>
      <w:r w:rsidR="00F25E90" w:rsidRPr="00835006">
        <w:rPr>
          <w:rFonts w:cs="Arial"/>
          <w:lang w:val="es-ES"/>
        </w:rPr>
        <w:t>4</w:t>
      </w:r>
      <w:r w:rsidRPr="00835006">
        <w:rPr>
          <w:rFonts w:cs="Arial"/>
          <w:lang w:val="es-ES"/>
        </w:rPr>
        <w:t>.CC</w:t>
      </w:r>
      <w:r w:rsidRPr="00835006">
        <w:rPr>
          <w:rFonts w:cs="Arial"/>
          <w:lang w:val="es-ES"/>
        </w:rPr>
        <w:tab/>
      </w:r>
      <w:r w:rsidR="000D318F" w:rsidRPr="00835006">
        <w:rPr>
          <w:rFonts w:cs="Arial"/>
          <w:lang w:val="es-ES"/>
        </w:rPr>
        <w:t>(1</w:t>
      </w:r>
      <w:r w:rsidR="00F25E90" w:rsidRPr="00835006">
        <w:rPr>
          <w:rFonts w:cs="Arial"/>
          <w:lang w:val="es-ES"/>
        </w:rPr>
        <w:t>3</w:t>
      </w:r>
      <w:r w:rsidR="000D318F" w:rsidRPr="00835006">
        <w:rPr>
          <w:rFonts w:cs="Arial"/>
          <w:lang w:val="es-ES"/>
        </w:rPr>
        <w:t>.</w:t>
      </w:r>
      <w:r w:rsidR="001A4508" w:rsidRPr="00835006">
        <w:rPr>
          <w:rFonts w:cs="Arial"/>
          <w:lang w:val="es-ES"/>
        </w:rPr>
        <w:t>77</w:t>
      </w:r>
      <w:r w:rsidR="000D318F" w:rsidRPr="00835006">
        <w:rPr>
          <w:rFonts w:cs="Arial"/>
          <w:lang w:val="es-ES"/>
        </w:rPr>
        <w:t xml:space="preserve">) </w:t>
      </w:r>
      <w:r w:rsidR="00E85F83" w:rsidRPr="00835006">
        <w:rPr>
          <w:rFonts w:cs="Arial"/>
          <w:strike/>
          <w:lang w:val="es-ES"/>
        </w:rPr>
        <w:t>Solicitud a</w:t>
      </w:r>
      <w:r w:rsidR="006B5903">
        <w:rPr>
          <w:rFonts w:cs="Arial"/>
          <w:strike/>
          <w:lang w:val="es-ES"/>
        </w:rPr>
        <w:t xml:space="preserve"> </w:t>
      </w:r>
      <w:r w:rsidR="005013CE" w:rsidRPr="00835006">
        <w:rPr>
          <w:rFonts w:cs="Arial"/>
          <w:lang w:val="es-ES"/>
        </w:rPr>
        <w:t>E</w:t>
      </w:r>
      <w:r w:rsidR="00E85F83" w:rsidRPr="00835006">
        <w:rPr>
          <w:rFonts w:cs="Arial"/>
          <w:lang w:val="es-ES"/>
        </w:rPr>
        <w:t xml:space="preserve">l Comité Permanente </w:t>
      </w:r>
      <w:r w:rsidR="00E85F83" w:rsidRPr="00835006">
        <w:rPr>
          <w:rFonts w:cs="Arial"/>
          <w:strike/>
          <w:lang w:val="es-ES"/>
        </w:rPr>
        <w:t>para</w:t>
      </w:r>
      <w:r w:rsidR="00E85F83" w:rsidRPr="00835006">
        <w:rPr>
          <w:rFonts w:cs="Arial"/>
          <w:lang w:val="es-ES"/>
        </w:rPr>
        <w:t xml:space="preserve"> </w:t>
      </w:r>
      <w:r w:rsidR="00C53C53" w:rsidRPr="00835006">
        <w:rPr>
          <w:rFonts w:cs="Arial"/>
          <w:u w:val="single"/>
          <w:lang w:val="es-ES"/>
        </w:rPr>
        <w:t xml:space="preserve">deberá </w:t>
      </w:r>
      <w:r w:rsidR="00E85F83" w:rsidRPr="00835006">
        <w:rPr>
          <w:rFonts w:cs="Arial"/>
          <w:lang w:val="es-ES"/>
        </w:rPr>
        <w:t xml:space="preserve">adoptar el Plan </w:t>
      </w:r>
      <w:r w:rsidR="00E85F83" w:rsidRPr="00835006">
        <w:rPr>
          <w:rFonts w:cs="Arial"/>
          <w:u w:val="single"/>
          <w:lang w:val="es-ES"/>
        </w:rPr>
        <w:t>de Acción</w:t>
      </w:r>
      <w:r w:rsidR="00E85F83" w:rsidRPr="00835006">
        <w:rPr>
          <w:rFonts w:cs="Arial"/>
          <w:lang w:val="es-ES"/>
        </w:rPr>
        <w:t xml:space="preserve">, en caso de que lo reciba el Comité Permanente, </w:t>
      </w:r>
      <w:r w:rsidR="00E85F83" w:rsidRPr="00835006">
        <w:rPr>
          <w:rFonts w:cs="Arial"/>
          <w:strike/>
          <w:lang w:val="es-ES"/>
        </w:rPr>
        <w:t>durante su 52ª o 53ª reunión</w:t>
      </w:r>
      <w:r w:rsidR="00155197" w:rsidRPr="00835006">
        <w:rPr>
          <w:rFonts w:cs="Arial"/>
          <w:lang w:val="es-ES"/>
        </w:rPr>
        <w:t xml:space="preserve"> </w:t>
      </w:r>
      <w:r w:rsidR="00155197" w:rsidRPr="00835006">
        <w:rPr>
          <w:rFonts w:cs="Arial"/>
          <w:u w:val="single"/>
          <w:lang w:val="es-ES"/>
        </w:rPr>
        <w:t>en una de sus reuniones antes de la COP15</w:t>
      </w:r>
      <w:r w:rsidR="00E85F83" w:rsidRPr="00835006">
        <w:rPr>
          <w:rFonts w:cs="Arial"/>
          <w:lang w:val="es-ES"/>
        </w:rPr>
        <w:t>.</w:t>
      </w:r>
    </w:p>
    <w:p w14:paraId="53D16355" w14:textId="77777777" w:rsidR="00E85F83" w:rsidRPr="00835006" w:rsidRDefault="00E85F83" w:rsidP="00DD07FD">
      <w:pPr>
        <w:spacing w:after="0" w:line="240" w:lineRule="auto"/>
        <w:jc w:val="both"/>
        <w:rPr>
          <w:rFonts w:cs="Arial"/>
          <w:b/>
          <w:i/>
          <w:lang w:val="es-ES"/>
        </w:rPr>
      </w:pPr>
    </w:p>
    <w:p w14:paraId="50B23BA1" w14:textId="6689C8AA" w:rsidR="00DD07FD" w:rsidRPr="00835006" w:rsidRDefault="00DD07FD" w:rsidP="00DD07FD">
      <w:pPr>
        <w:spacing w:after="0" w:line="240" w:lineRule="auto"/>
        <w:jc w:val="both"/>
        <w:rPr>
          <w:rFonts w:cs="Arial"/>
          <w:b/>
          <w:i/>
          <w:lang w:val="es-ES"/>
        </w:rPr>
      </w:pPr>
      <w:r w:rsidRPr="00835006">
        <w:rPr>
          <w:rFonts w:cs="Arial"/>
          <w:b/>
          <w:i/>
          <w:lang w:val="es-ES"/>
        </w:rPr>
        <w:t>Dir</w:t>
      </w:r>
      <w:r w:rsidR="00155197" w:rsidRPr="00835006">
        <w:rPr>
          <w:rFonts w:cs="Arial"/>
          <w:b/>
          <w:i/>
          <w:lang w:val="es-ES"/>
        </w:rPr>
        <w:t>igido a la Secretaría</w:t>
      </w:r>
    </w:p>
    <w:p w14:paraId="60A66C66" w14:textId="77777777" w:rsidR="00DD07FD" w:rsidRPr="00835006" w:rsidRDefault="00DD07FD" w:rsidP="00DD07FD">
      <w:pPr>
        <w:spacing w:after="0" w:line="240" w:lineRule="auto"/>
        <w:jc w:val="both"/>
        <w:rPr>
          <w:rFonts w:cs="Arial"/>
          <w:lang w:val="es-ES"/>
        </w:rPr>
      </w:pPr>
    </w:p>
    <w:p w14:paraId="71B8AA84" w14:textId="77777777" w:rsidR="00DC3C83" w:rsidRPr="00DC3C83" w:rsidRDefault="00DD07FD" w:rsidP="00DC3C83">
      <w:pPr>
        <w:spacing w:after="0" w:line="240" w:lineRule="auto"/>
        <w:ind w:left="794" w:hanging="794"/>
        <w:rPr>
          <w:rFonts w:eastAsia="Times New Roman" w:cs="Arial"/>
          <w:lang w:val="es-ES"/>
        </w:rPr>
      </w:pPr>
      <w:r w:rsidRPr="00835006">
        <w:rPr>
          <w:rFonts w:cs="Arial"/>
          <w:lang w:val="es-ES"/>
        </w:rPr>
        <w:t>1</w:t>
      </w:r>
      <w:r w:rsidR="00F25E90" w:rsidRPr="00835006">
        <w:rPr>
          <w:rFonts w:cs="Arial"/>
          <w:lang w:val="es-ES"/>
        </w:rPr>
        <w:t>4</w:t>
      </w:r>
      <w:r w:rsidRPr="00835006">
        <w:rPr>
          <w:rFonts w:cs="Arial"/>
          <w:lang w:val="es-ES"/>
        </w:rPr>
        <w:t>.</w:t>
      </w:r>
      <w:r w:rsidR="00DE3B3F" w:rsidRPr="00835006">
        <w:rPr>
          <w:rFonts w:cs="Arial"/>
          <w:lang w:val="es-ES"/>
        </w:rPr>
        <w:t>DD</w:t>
      </w:r>
      <w:r w:rsidRPr="00835006">
        <w:rPr>
          <w:rFonts w:cs="Arial"/>
          <w:lang w:val="es-ES"/>
        </w:rPr>
        <w:tab/>
      </w:r>
      <w:r w:rsidR="00264C4B" w:rsidRPr="00835006">
        <w:rPr>
          <w:rFonts w:eastAsia="Times New Roman" w:cs="Arial"/>
          <w:i/>
          <w:lang w:val="es-ES"/>
        </w:rPr>
        <w:t>(</w:t>
      </w:r>
      <w:r w:rsidR="00264C4B" w:rsidRPr="00835006">
        <w:rPr>
          <w:rFonts w:eastAsia="Times New Roman" w:cs="Arial"/>
          <w:lang w:val="es-ES"/>
        </w:rPr>
        <w:t>13.79)</w:t>
      </w:r>
      <w:r w:rsidR="00F345B1" w:rsidRPr="00835006">
        <w:rPr>
          <w:rFonts w:eastAsia="Times New Roman" w:cs="Arial"/>
          <w:lang w:val="es-ES"/>
        </w:rPr>
        <w:t xml:space="preserve"> </w:t>
      </w:r>
      <w:r w:rsidR="00DC3C83" w:rsidRPr="00835006">
        <w:rPr>
          <w:rFonts w:eastAsia="Times New Roman" w:cs="Arial"/>
          <w:lang w:val="es-ES"/>
        </w:rPr>
        <w:t>La</w:t>
      </w:r>
      <w:r w:rsidR="00DC3C83" w:rsidRPr="00DC3C83">
        <w:rPr>
          <w:rFonts w:eastAsia="Times New Roman" w:cs="Arial"/>
          <w:lang w:val="es-ES"/>
        </w:rPr>
        <w:t xml:space="preserve"> Secretaría, sujeta a la disponibilidad de recursos, deberá:</w:t>
      </w:r>
    </w:p>
    <w:p w14:paraId="5472885B" w14:textId="77777777" w:rsidR="00DC3C83" w:rsidRPr="00DC3C83" w:rsidRDefault="00DC3C83" w:rsidP="00DC3C83">
      <w:pPr>
        <w:spacing w:after="0" w:line="240" w:lineRule="auto"/>
        <w:ind w:left="794" w:hanging="794"/>
        <w:rPr>
          <w:rFonts w:eastAsia="Times New Roman" w:cs="Arial"/>
          <w:lang w:val="es-ES"/>
        </w:rPr>
      </w:pPr>
    </w:p>
    <w:p w14:paraId="48E5F562" w14:textId="2482F488" w:rsidR="00DC3C83" w:rsidRPr="00DC3C83" w:rsidRDefault="00DC3C83" w:rsidP="00DC3C83">
      <w:pPr>
        <w:pStyle w:val="ListParagraph"/>
        <w:numPr>
          <w:ilvl w:val="0"/>
          <w:numId w:val="24"/>
        </w:numPr>
        <w:spacing w:after="0" w:line="240" w:lineRule="auto"/>
        <w:ind w:left="1350" w:hanging="450"/>
        <w:jc w:val="both"/>
        <w:rPr>
          <w:rFonts w:eastAsia="Times New Roman" w:cs="Arial"/>
          <w:lang w:val="es-ES"/>
        </w:rPr>
      </w:pPr>
      <w:r w:rsidRPr="00422DE4">
        <w:rPr>
          <w:rFonts w:eastAsia="Times New Roman" w:cs="Arial"/>
          <w:strike/>
          <w:lang w:val="es-ES"/>
        </w:rPr>
        <w:t>desarrollar</w:t>
      </w:r>
      <w:r w:rsidRPr="00DC3C83">
        <w:rPr>
          <w:rFonts w:eastAsia="Times New Roman" w:cs="Arial"/>
          <w:lang w:val="es-ES"/>
        </w:rPr>
        <w:t xml:space="preserve"> </w:t>
      </w:r>
      <w:r w:rsidR="00422DE4">
        <w:rPr>
          <w:rFonts w:eastAsia="Times New Roman" w:cs="Arial"/>
          <w:u w:val="single"/>
          <w:lang w:val="es-ES"/>
        </w:rPr>
        <w:t xml:space="preserve">finalizar </w:t>
      </w:r>
      <w:r w:rsidRPr="00DC3C83">
        <w:rPr>
          <w:rFonts w:eastAsia="Times New Roman" w:cs="Arial"/>
          <w:lang w:val="es-ES"/>
        </w:rPr>
        <w:t>un borrador de un Plan de Acción para la anguila europea (</w:t>
      </w:r>
      <w:r w:rsidRPr="00422DE4">
        <w:rPr>
          <w:rFonts w:eastAsia="Times New Roman" w:cs="Arial"/>
          <w:i/>
          <w:iCs/>
          <w:lang w:val="es-ES"/>
        </w:rPr>
        <w:t>Anguilla anguilla</w:t>
      </w:r>
      <w:r w:rsidRPr="00DC3C83">
        <w:rPr>
          <w:rFonts w:eastAsia="Times New Roman" w:cs="Arial"/>
          <w:lang w:val="es-ES"/>
        </w:rPr>
        <w:t>)</w:t>
      </w:r>
      <w:r w:rsidRPr="000E4374">
        <w:rPr>
          <w:rFonts w:eastAsia="Times New Roman" w:cs="Arial"/>
          <w:strike/>
          <w:lang w:val="es-ES"/>
        </w:rPr>
        <w:t>, de acuerdo con la orientación que proporcionen las Partes que constituyan Estados del área de distribución</w:t>
      </w:r>
      <w:r w:rsidRPr="00DC3C83">
        <w:rPr>
          <w:rFonts w:eastAsia="Times New Roman" w:cs="Arial"/>
          <w:lang w:val="es-ES"/>
        </w:rPr>
        <w:t>;</w:t>
      </w:r>
    </w:p>
    <w:p w14:paraId="390380C7" w14:textId="77777777" w:rsidR="00DC3C83" w:rsidRPr="00DC3C83" w:rsidRDefault="00DC3C83" w:rsidP="00DC3C83">
      <w:pPr>
        <w:spacing w:after="0" w:line="240" w:lineRule="auto"/>
        <w:ind w:left="1350" w:hanging="450"/>
        <w:jc w:val="both"/>
        <w:rPr>
          <w:rFonts w:eastAsia="Times New Roman" w:cs="Arial"/>
          <w:lang w:val="es-ES"/>
        </w:rPr>
      </w:pPr>
    </w:p>
    <w:p w14:paraId="56701368" w14:textId="3F5AB774" w:rsidR="00DC3C83" w:rsidRPr="00DC3C83" w:rsidRDefault="00DC3C83" w:rsidP="00DC3C83">
      <w:pPr>
        <w:pStyle w:val="ListParagraph"/>
        <w:numPr>
          <w:ilvl w:val="0"/>
          <w:numId w:val="24"/>
        </w:numPr>
        <w:spacing w:after="0" w:line="240" w:lineRule="auto"/>
        <w:ind w:left="1350" w:hanging="450"/>
        <w:jc w:val="both"/>
        <w:rPr>
          <w:rFonts w:eastAsia="Times New Roman" w:cs="Arial"/>
          <w:lang w:val="es-ES"/>
        </w:rPr>
      </w:pPr>
      <w:r w:rsidRPr="00DC3C83">
        <w:rPr>
          <w:rFonts w:eastAsia="Times New Roman" w:cs="Arial"/>
          <w:lang w:val="es-ES"/>
        </w:rPr>
        <w:t>llevar a cabo consultas entre los Estados del área de distribución y organizaciones intergubernamentales y no gubernamentales pertinentes acerca del borrador del Plan de Acción por correspondencia convocando otra reunión de los Estados del área de distribución, si los fondos lo permiten:</w:t>
      </w:r>
    </w:p>
    <w:p w14:paraId="24A550B4" w14:textId="77777777" w:rsidR="00DC3C83" w:rsidRPr="00DC3C83" w:rsidRDefault="00DC3C83" w:rsidP="00DC3C83">
      <w:pPr>
        <w:spacing w:after="0" w:line="240" w:lineRule="auto"/>
        <w:ind w:left="1350" w:hanging="450"/>
        <w:jc w:val="both"/>
        <w:rPr>
          <w:rFonts w:eastAsia="Times New Roman" w:cs="Arial"/>
          <w:lang w:val="es-ES"/>
        </w:rPr>
      </w:pPr>
    </w:p>
    <w:p w14:paraId="7A20D774" w14:textId="2FD699BF" w:rsidR="00EF7ADB" w:rsidRPr="00DC3C83" w:rsidRDefault="00DC3C83" w:rsidP="00DC3C83">
      <w:pPr>
        <w:pStyle w:val="ListParagraph"/>
        <w:numPr>
          <w:ilvl w:val="0"/>
          <w:numId w:val="24"/>
        </w:numPr>
        <w:spacing w:after="0" w:line="240" w:lineRule="auto"/>
        <w:ind w:left="1350" w:hanging="450"/>
        <w:jc w:val="both"/>
        <w:rPr>
          <w:lang w:val="es-ES"/>
        </w:rPr>
      </w:pPr>
      <w:r w:rsidRPr="00DC3C83">
        <w:rPr>
          <w:rFonts w:eastAsia="Times New Roman" w:cs="Arial"/>
          <w:lang w:val="es-ES"/>
        </w:rPr>
        <w:t xml:space="preserve">enviar el borrador del plan al Comité Permanente </w:t>
      </w:r>
      <w:r w:rsidRPr="000E4374">
        <w:rPr>
          <w:rFonts w:eastAsia="Times New Roman" w:cs="Arial"/>
          <w:lang w:val="es-ES"/>
        </w:rPr>
        <w:t>durante</w:t>
      </w:r>
      <w:r w:rsidRPr="000E4374">
        <w:rPr>
          <w:rFonts w:eastAsia="Times New Roman" w:cs="Arial"/>
          <w:strike/>
          <w:lang w:val="es-ES"/>
        </w:rPr>
        <w:t xml:space="preserve"> su 52ª o 53ª</w:t>
      </w:r>
      <w:r w:rsidRPr="00DC3C83">
        <w:rPr>
          <w:rFonts w:eastAsia="Times New Roman" w:cs="Arial"/>
          <w:lang w:val="es-ES"/>
        </w:rPr>
        <w:t xml:space="preserve"> </w:t>
      </w:r>
      <w:r w:rsidR="00835006">
        <w:rPr>
          <w:rFonts w:eastAsia="Times New Roman" w:cs="Arial"/>
          <w:u w:val="single"/>
          <w:lang w:val="es-ES"/>
        </w:rPr>
        <w:t xml:space="preserve">una </w:t>
      </w:r>
      <w:r w:rsidRPr="00DC3C83">
        <w:rPr>
          <w:rFonts w:eastAsia="Times New Roman" w:cs="Arial"/>
          <w:lang w:val="es-ES"/>
        </w:rPr>
        <w:t xml:space="preserve">reunión </w:t>
      </w:r>
      <w:r w:rsidR="00835006">
        <w:rPr>
          <w:rFonts w:eastAsia="Times New Roman" w:cs="Arial"/>
          <w:u w:val="single"/>
          <w:lang w:val="es-ES"/>
        </w:rPr>
        <w:t xml:space="preserve">antes de la COP15 </w:t>
      </w:r>
      <w:r w:rsidRPr="00DC3C83">
        <w:rPr>
          <w:rFonts w:eastAsia="Times New Roman" w:cs="Arial"/>
          <w:lang w:val="es-ES"/>
        </w:rPr>
        <w:t xml:space="preserve">para su adopción o, en caso de que no se finalice a tiempo, a la </w:t>
      </w:r>
      <w:r w:rsidRPr="00835006">
        <w:rPr>
          <w:rFonts w:eastAsia="Times New Roman" w:cs="Arial"/>
          <w:strike/>
          <w:lang w:val="es-ES"/>
        </w:rPr>
        <w:t>14</w:t>
      </w:r>
      <w:r w:rsidR="00835006">
        <w:rPr>
          <w:rFonts w:eastAsia="Times New Roman" w:cs="Arial"/>
          <w:lang w:val="es-ES"/>
        </w:rPr>
        <w:t xml:space="preserve"> </w:t>
      </w:r>
      <w:r w:rsidR="00835006">
        <w:rPr>
          <w:rFonts w:eastAsia="Times New Roman" w:cs="Arial"/>
          <w:u w:val="single"/>
          <w:lang w:val="es-ES"/>
        </w:rPr>
        <w:t>15</w:t>
      </w:r>
      <w:r w:rsidRPr="00DC3C83">
        <w:rPr>
          <w:rFonts w:eastAsia="Times New Roman" w:cs="Arial"/>
          <w:lang w:val="es-ES"/>
        </w:rPr>
        <w:t>ª reunión de la Conferencia de las Partes.</w:t>
      </w:r>
    </w:p>
    <w:p w14:paraId="28B375A9" w14:textId="77777777" w:rsidR="00E21E34" w:rsidRPr="00DC3C83" w:rsidRDefault="00E21E34" w:rsidP="00DC3C83">
      <w:pPr>
        <w:pStyle w:val="Secondnumbering"/>
        <w:numPr>
          <w:ilvl w:val="0"/>
          <w:numId w:val="0"/>
        </w:numPr>
        <w:ind w:left="1350" w:hanging="450"/>
        <w:jc w:val="both"/>
        <w:rPr>
          <w:lang w:val="es-ES"/>
        </w:rPr>
      </w:pPr>
    </w:p>
    <w:p w14:paraId="7375AAB8" w14:textId="674E9DDE" w:rsidR="00E21E34" w:rsidRPr="00733ABB" w:rsidRDefault="00E21E34" w:rsidP="00E21E34">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r w:rsidRPr="00733ABB">
        <w:rPr>
          <w:rFonts w:cs="Arial"/>
          <w:b/>
          <w:caps/>
          <w:lang w:val="es-ES"/>
        </w:rPr>
        <w:t>Peces de agua dulce</w:t>
      </w:r>
    </w:p>
    <w:p w14:paraId="04233EA5" w14:textId="77777777" w:rsidR="00E21E34" w:rsidRPr="00733ABB" w:rsidRDefault="00E21E34" w:rsidP="00E21E34">
      <w:pPr>
        <w:spacing w:after="0" w:line="240" w:lineRule="auto"/>
        <w:jc w:val="both"/>
        <w:rPr>
          <w:rFonts w:cs="Arial"/>
          <w:lang w:val="es-ES"/>
        </w:rPr>
      </w:pPr>
    </w:p>
    <w:p w14:paraId="572705B3" w14:textId="4BC9C766" w:rsidR="00E21E34" w:rsidRPr="00733ABB" w:rsidRDefault="00E21E34" w:rsidP="00E21E34">
      <w:pPr>
        <w:spacing w:after="0" w:line="240" w:lineRule="auto"/>
        <w:jc w:val="both"/>
        <w:rPr>
          <w:rFonts w:cs="Arial"/>
          <w:b/>
          <w:i/>
          <w:lang w:val="es-ES"/>
        </w:rPr>
      </w:pPr>
      <w:r w:rsidRPr="00733ABB">
        <w:rPr>
          <w:rFonts w:cs="Arial"/>
          <w:b/>
          <w:i/>
          <w:lang w:val="es-ES"/>
        </w:rPr>
        <w:t xml:space="preserve">Dirigido a las Partes </w:t>
      </w:r>
    </w:p>
    <w:p w14:paraId="0F1281FE" w14:textId="77777777" w:rsidR="00E21E34" w:rsidRPr="00733ABB" w:rsidRDefault="00E21E34" w:rsidP="00E21E34">
      <w:pPr>
        <w:spacing w:after="0" w:line="240" w:lineRule="auto"/>
        <w:jc w:val="both"/>
        <w:rPr>
          <w:rFonts w:cs="Arial"/>
          <w:lang w:val="es-ES"/>
        </w:rPr>
      </w:pPr>
    </w:p>
    <w:p w14:paraId="54119835" w14:textId="5D1D0254" w:rsidR="00E21E34" w:rsidRPr="00733ABB" w:rsidRDefault="00E21E34" w:rsidP="00E21E34">
      <w:pPr>
        <w:spacing w:after="0" w:line="240" w:lineRule="auto"/>
        <w:ind w:left="851" w:hanging="851"/>
        <w:jc w:val="both"/>
        <w:rPr>
          <w:rFonts w:cs="Arial"/>
          <w:iCs/>
          <w:lang w:val="es-ES"/>
        </w:rPr>
      </w:pPr>
      <w:r w:rsidRPr="00733ABB">
        <w:rPr>
          <w:rFonts w:cs="Arial"/>
          <w:lang w:val="es-ES"/>
        </w:rPr>
        <w:t>14.EE</w:t>
      </w:r>
      <w:r w:rsidRPr="00733ABB">
        <w:rPr>
          <w:rFonts w:cs="Arial"/>
          <w:lang w:val="es-ES"/>
        </w:rPr>
        <w:tab/>
      </w:r>
      <w:r w:rsidRPr="00733ABB">
        <w:rPr>
          <w:rFonts w:cs="Arial"/>
          <w:iCs/>
          <w:lang w:val="es-ES"/>
        </w:rPr>
        <w:t xml:space="preserve">Se insta a las </w:t>
      </w:r>
      <w:r w:rsidRPr="00733ABB">
        <w:rPr>
          <w:rFonts w:eastAsia="Times New Roman" w:cs="Arial"/>
          <w:color w:val="333333"/>
          <w:lang w:val="es-ES"/>
        </w:rPr>
        <w:t>Partes a</w:t>
      </w:r>
      <w:r w:rsidRPr="00733ABB">
        <w:rPr>
          <w:rFonts w:eastAsia="Times New Roman" w:cs="Arial"/>
          <w:iCs/>
          <w:color w:val="333333"/>
          <w:lang w:val="es-ES"/>
        </w:rPr>
        <w:t xml:space="preserve"> </w:t>
      </w:r>
    </w:p>
    <w:p w14:paraId="4536FD2B" w14:textId="77777777" w:rsidR="00E21E34" w:rsidRPr="00733ABB" w:rsidRDefault="00E21E34" w:rsidP="00E21E34">
      <w:pPr>
        <w:spacing w:after="0" w:line="240" w:lineRule="auto"/>
        <w:jc w:val="both"/>
        <w:rPr>
          <w:rFonts w:cs="Arial"/>
          <w:lang w:val="es-ES"/>
        </w:rPr>
      </w:pPr>
    </w:p>
    <w:p w14:paraId="47371A47" w14:textId="310D60F2" w:rsidR="002D2755" w:rsidRPr="00733ABB" w:rsidRDefault="004A29E8" w:rsidP="002D2755">
      <w:pPr>
        <w:pStyle w:val="ListParagraph"/>
        <w:numPr>
          <w:ilvl w:val="0"/>
          <w:numId w:val="20"/>
        </w:numPr>
        <w:spacing w:after="0" w:line="240" w:lineRule="auto"/>
        <w:jc w:val="both"/>
        <w:rPr>
          <w:rFonts w:eastAsia="Times New Roman" w:cs="Arial"/>
          <w:color w:val="333333"/>
          <w:lang w:val="es-ES"/>
        </w:rPr>
      </w:pPr>
      <w:r>
        <w:rPr>
          <w:rFonts w:eastAsia="Times New Roman" w:cs="Arial"/>
          <w:color w:val="333333"/>
          <w:lang w:val="es-ES"/>
        </w:rPr>
        <w:t>promocionar</w:t>
      </w:r>
      <w:r w:rsidR="00CA44D1" w:rsidRPr="00733ABB">
        <w:rPr>
          <w:rFonts w:eastAsia="Times New Roman" w:cs="Arial"/>
          <w:color w:val="333333"/>
          <w:lang w:val="es-ES"/>
        </w:rPr>
        <w:t xml:space="preserve"> y compart</w:t>
      </w:r>
      <w:r>
        <w:rPr>
          <w:rFonts w:eastAsia="Times New Roman" w:cs="Arial"/>
          <w:color w:val="333333"/>
          <w:lang w:val="es-ES"/>
        </w:rPr>
        <w:t>ir</w:t>
      </w:r>
      <w:r w:rsidR="00CA44D1" w:rsidRPr="00733ABB">
        <w:rPr>
          <w:rFonts w:eastAsia="Times New Roman" w:cs="Arial"/>
          <w:color w:val="333333"/>
          <w:lang w:val="es-ES"/>
        </w:rPr>
        <w:t xml:space="preserve"> los datos sobre las especies de peces migratorios de agua dulce transfronterizos, incluida la abundancia, la ecología piscícola y la degradación del hábitat actuales, sobre todo para aquellas especies que se encuentran en las listas rojas tanto nacionales como regionales o mundiales,</w:t>
      </w:r>
    </w:p>
    <w:p w14:paraId="27F7E824" w14:textId="77777777" w:rsidR="002D2755" w:rsidRPr="00733ABB" w:rsidRDefault="002D2755" w:rsidP="002D2755">
      <w:pPr>
        <w:spacing w:after="0" w:line="240" w:lineRule="auto"/>
        <w:jc w:val="both"/>
        <w:rPr>
          <w:rFonts w:eastAsia="Times New Roman" w:cs="Arial"/>
          <w:color w:val="333333"/>
          <w:lang w:val="es-ES"/>
        </w:rPr>
      </w:pPr>
    </w:p>
    <w:p w14:paraId="6C917874" w14:textId="74761346" w:rsidR="002D2755" w:rsidRDefault="00484246" w:rsidP="002D2755">
      <w:pPr>
        <w:pStyle w:val="ListParagraph"/>
        <w:numPr>
          <w:ilvl w:val="0"/>
          <w:numId w:val="20"/>
        </w:numPr>
        <w:spacing w:after="0" w:line="240" w:lineRule="auto"/>
        <w:jc w:val="both"/>
        <w:rPr>
          <w:rFonts w:eastAsia="Times New Roman" w:cs="Arial"/>
          <w:color w:val="333333"/>
          <w:lang w:val="es-ES"/>
        </w:rPr>
      </w:pPr>
      <w:r w:rsidRPr="00733ABB">
        <w:rPr>
          <w:rFonts w:eastAsia="Times New Roman" w:cs="Arial"/>
          <w:color w:val="333333"/>
          <w:lang w:val="es-ES"/>
        </w:rPr>
        <w:t>tom</w:t>
      </w:r>
      <w:r w:rsidR="00A16FE6">
        <w:rPr>
          <w:rFonts w:eastAsia="Times New Roman" w:cs="Arial"/>
          <w:color w:val="333333"/>
          <w:lang w:val="es-ES"/>
        </w:rPr>
        <w:t>ar</w:t>
      </w:r>
      <w:r w:rsidRPr="00733ABB">
        <w:rPr>
          <w:rFonts w:eastAsia="Times New Roman" w:cs="Arial"/>
          <w:color w:val="333333"/>
          <w:lang w:val="es-ES"/>
        </w:rPr>
        <w:t xml:space="preserve"> medidas con respecto a las presas hidroeléctricas para mitigar los efectos de las barreras en los ríos, como la creación de áreas de </w:t>
      </w:r>
      <w:r w:rsidR="00D95D0C">
        <w:rPr>
          <w:rFonts w:eastAsia="Times New Roman" w:cs="Arial"/>
          <w:color w:val="333333"/>
          <w:lang w:val="es-ES"/>
        </w:rPr>
        <w:t>protección</w:t>
      </w:r>
      <w:r w:rsidRPr="00733ABB">
        <w:rPr>
          <w:rFonts w:eastAsia="Times New Roman" w:cs="Arial"/>
          <w:color w:val="333333"/>
          <w:lang w:val="es-ES"/>
        </w:rPr>
        <w:t xml:space="preserve"> </w:t>
      </w:r>
      <w:r w:rsidR="000E2A0E" w:rsidRPr="000E2A0E">
        <w:rPr>
          <w:rFonts w:eastAsia="Times New Roman" w:cs="Arial"/>
          <w:color w:val="333333"/>
          <w:lang w:val="es-ES"/>
        </w:rPr>
        <w:t>y otras medidas eficaces de conservación por zonas</w:t>
      </w:r>
      <w:r w:rsidR="00943021">
        <w:rPr>
          <w:rFonts w:eastAsia="Times New Roman" w:cs="Arial"/>
          <w:color w:val="333333"/>
          <w:lang w:val="es-ES"/>
        </w:rPr>
        <w:t xml:space="preserve"> </w:t>
      </w:r>
      <w:r w:rsidRPr="00733ABB">
        <w:rPr>
          <w:rFonts w:eastAsia="Times New Roman" w:cs="Arial"/>
          <w:color w:val="333333"/>
          <w:lang w:val="es-ES"/>
        </w:rPr>
        <w:t xml:space="preserve">en las </w:t>
      </w:r>
      <w:r w:rsidR="002D2755" w:rsidRPr="00733ABB">
        <w:rPr>
          <w:rFonts w:eastAsia="Times New Roman" w:cs="Arial"/>
          <w:color w:val="333333"/>
          <w:lang w:val="es-ES"/>
        </w:rPr>
        <w:t>vegas altas y bajas que son importantes para los ciclos de alimentación y de desove de las poblaciones de peces migratorias,</w:t>
      </w:r>
    </w:p>
    <w:p w14:paraId="11F856A0" w14:textId="77777777" w:rsidR="001C6948" w:rsidRPr="001C6948" w:rsidRDefault="001C6948" w:rsidP="001C6948">
      <w:pPr>
        <w:pStyle w:val="ListParagraph"/>
        <w:rPr>
          <w:rFonts w:eastAsia="Times New Roman" w:cs="Arial"/>
          <w:color w:val="333333"/>
          <w:lang w:val="es-ES"/>
        </w:rPr>
      </w:pPr>
    </w:p>
    <w:p w14:paraId="2A40C5FD" w14:textId="46C238D0" w:rsidR="001C6948" w:rsidRPr="00733ABB" w:rsidRDefault="001C6948" w:rsidP="002D2755">
      <w:pPr>
        <w:pStyle w:val="ListParagraph"/>
        <w:numPr>
          <w:ilvl w:val="0"/>
          <w:numId w:val="20"/>
        </w:numPr>
        <w:spacing w:after="0" w:line="240" w:lineRule="auto"/>
        <w:jc w:val="both"/>
        <w:rPr>
          <w:rFonts w:eastAsia="Times New Roman" w:cs="Arial"/>
          <w:color w:val="333333"/>
          <w:lang w:val="es-ES"/>
        </w:rPr>
      </w:pPr>
      <w:r w:rsidRPr="001C6948">
        <w:rPr>
          <w:rFonts w:eastAsia="Times New Roman" w:cs="Arial"/>
          <w:color w:val="333333"/>
          <w:lang w:val="es-ES"/>
        </w:rPr>
        <w:t>considerar el desarrollo de un plan de acción multiespecie basado en la minimización de las principales amenazas para un grupo de especies;</w:t>
      </w:r>
    </w:p>
    <w:p w14:paraId="23C6F001" w14:textId="77777777" w:rsidR="002D2755" w:rsidRPr="00733ABB" w:rsidRDefault="002D2755" w:rsidP="002D2755">
      <w:pPr>
        <w:pStyle w:val="ListParagraph"/>
        <w:rPr>
          <w:rFonts w:eastAsia="Times New Roman" w:cs="Arial"/>
          <w:color w:val="333333"/>
          <w:lang w:val="es-ES"/>
        </w:rPr>
      </w:pPr>
    </w:p>
    <w:p w14:paraId="21F22591" w14:textId="10207D31" w:rsidR="002D2755" w:rsidRPr="00733ABB" w:rsidRDefault="00E37263" w:rsidP="002D2755">
      <w:pPr>
        <w:pStyle w:val="ListParagraph"/>
        <w:numPr>
          <w:ilvl w:val="0"/>
          <w:numId w:val="20"/>
        </w:numPr>
        <w:spacing w:after="0" w:line="240" w:lineRule="auto"/>
        <w:jc w:val="both"/>
        <w:rPr>
          <w:rFonts w:eastAsia="Times New Roman" w:cs="Arial"/>
          <w:color w:val="333333"/>
          <w:lang w:val="es-ES"/>
        </w:rPr>
      </w:pPr>
      <w:r w:rsidRPr="00733ABB">
        <w:rPr>
          <w:rFonts w:eastAsia="Times New Roman" w:cs="Arial"/>
          <w:color w:val="333333"/>
          <w:lang w:val="es-ES"/>
        </w:rPr>
        <w:t>colaboren con otros Estados del área de distribución para proponer la inclusión de más especies de peces de agua dulce migratorias que estén en peligro en los Apéndices de la CMS.</w:t>
      </w:r>
    </w:p>
    <w:p w14:paraId="3139D84F" w14:textId="77777777" w:rsidR="002D2755" w:rsidRPr="00733ABB" w:rsidRDefault="002D2755" w:rsidP="00E21E34">
      <w:pPr>
        <w:spacing w:after="0" w:line="240" w:lineRule="auto"/>
        <w:jc w:val="both"/>
        <w:rPr>
          <w:rFonts w:cs="Arial"/>
          <w:lang w:val="es-ES"/>
        </w:rPr>
      </w:pPr>
    </w:p>
    <w:p w14:paraId="728CA485" w14:textId="18906A9F" w:rsidR="00241B36" w:rsidRPr="00733ABB" w:rsidRDefault="00241B36" w:rsidP="00241B36">
      <w:pPr>
        <w:spacing w:after="0" w:line="240" w:lineRule="auto"/>
        <w:jc w:val="both"/>
        <w:rPr>
          <w:rFonts w:cs="Arial"/>
          <w:b/>
          <w:i/>
          <w:lang w:val="es-ES"/>
        </w:rPr>
      </w:pPr>
      <w:r w:rsidRPr="00733ABB">
        <w:rPr>
          <w:rFonts w:cs="Arial"/>
          <w:b/>
          <w:i/>
          <w:lang w:val="es-ES"/>
        </w:rPr>
        <w:t>Dirigido a las organizaciones no gubernamentales</w:t>
      </w:r>
    </w:p>
    <w:p w14:paraId="17AD6872" w14:textId="77777777" w:rsidR="00241B36" w:rsidRPr="00733ABB" w:rsidRDefault="00241B36" w:rsidP="00E21E34">
      <w:pPr>
        <w:spacing w:after="0" w:line="240" w:lineRule="auto"/>
        <w:jc w:val="both"/>
        <w:rPr>
          <w:rFonts w:cs="Arial"/>
          <w:lang w:val="es-ES"/>
        </w:rPr>
      </w:pPr>
    </w:p>
    <w:p w14:paraId="738ACA7D" w14:textId="77777777" w:rsidR="00743FC2" w:rsidRDefault="00241B36" w:rsidP="00845083">
      <w:pPr>
        <w:spacing w:after="0" w:line="240" w:lineRule="auto"/>
        <w:ind w:left="794" w:hanging="794"/>
        <w:jc w:val="both"/>
        <w:rPr>
          <w:rFonts w:eastAsia="Times New Roman" w:cs="Arial"/>
          <w:color w:val="333333"/>
          <w:lang w:val="es-ES"/>
        </w:rPr>
      </w:pPr>
      <w:r w:rsidRPr="00733ABB">
        <w:rPr>
          <w:rFonts w:cs="Arial"/>
          <w:lang w:val="es-ES"/>
        </w:rPr>
        <w:t>14.FF</w:t>
      </w:r>
      <w:r w:rsidRPr="00733ABB">
        <w:rPr>
          <w:rFonts w:cs="Arial"/>
          <w:lang w:val="es-ES"/>
        </w:rPr>
        <w:tab/>
        <w:t xml:space="preserve">Se insta a las </w:t>
      </w:r>
      <w:r w:rsidR="00C10BFA" w:rsidRPr="00733ABB">
        <w:rPr>
          <w:rFonts w:cs="Arial"/>
          <w:iCs/>
          <w:lang w:val="es-ES"/>
        </w:rPr>
        <w:t xml:space="preserve">organizaciones no gubernamentales </w:t>
      </w:r>
      <w:r w:rsidRPr="00733ABB">
        <w:rPr>
          <w:rFonts w:eastAsia="Times New Roman" w:cs="Arial"/>
          <w:color w:val="333333"/>
          <w:lang w:val="es-ES"/>
        </w:rPr>
        <w:t>a</w:t>
      </w:r>
    </w:p>
    <w:p w14:paraId="10A1C08C" w14:textId="77777777" w:rsidR="00743FC2" w:rsidRDefault="00743FC2" w:rsidP="00845083">
      <w:pPr>
        <w:spacing w:after="0" w:line="240" w:lineRule="auto"/>
        <w:ind w:left="794" w:hanging="794"/>
        <w:jc w:val="both"/>
        <w:rPr>
          <w:rFonts w:eastAsia="Times New Roman" w:cs="Arial"/>
          <w:color w:val="333333"/>
          <w:lang w:val="es-ES"/>
        </w:rPr>
      </w:pPr>
    </w:p>
    <w:p w14:paraId="6A0AE0B4" w14:textId="735774D0" w:rsidR="00C10BFA" w:rsidRDefault="00743FC2" w:rsidP="00845083">
      <w:pPr>
        <w:pStyle w:val="ListParagraph"/>
        <w:numPr>
          <w:ilvl w:val="0"/>
          <w:numId w:val="25"/>
        </w:numPr>
        <w:spacing w:after="0" w:line="240" w:lineRule="auto"/>
        <w:jc w:val="both"/>
        <w:rPr>
          <w:rFonts w:eastAsia="Times New Roman" w:cs="Arial"/>
          <w:color w:val="333333"/>
          <w:lang w:val="es-ES"/>
        </w:rPr>
      </w:pPr>
      <w:r>
        <w:rPr>
          <w:rFonts w:eastAsia="Times New Roman" w:cs="Arial"/>
          <w:color w:val="333333"/>
          <w:lang w:val="es-ES"/>
        </w:rPr>
        <w:t>trabajar</w:t>
      </w:r>
      <w:r w:rsidR="00241B36" w:rsidRPr="00743FC2">
        <w:rPr>
          <w:rFonts w:eastAsia="Times New Roman" w:cs="Arial"/>
          <w:color w:val="333333"/>
          <w:lang w:val="es-ES"/>
        </w:rPr>
        <w:t xml:space="preserve"> junto a los Estados del área de distribución para </w:t>
      </w:r>
      <w:r w:rsidR="00CF7978" w:rsidRPr="00743FC2">
        <w:rPr>
          <w:rFonts w:eastAsia="Times New Roman" w:cs="Arial"/>
          <w:color w:val="333333"/>
          <w:lang w:val="es-ES"/>
        </w:rPr>
        <w:t xml:space="preserve">proporcionar conocimientos técnicos y financiación para </w:t>
      </w:r>
      <w:r w:rsidR="00241B36" w:rsidRPr="00743FC2">
        <w:rPr>
          <w:rFonts w:eastAsia="Times New Roman" w:cs="Arial"/>
          <w:color w:val="333333"/>
          <w:lang w:val="es-ES"/>
        </w:rPr>
        <w:t>recoger y compartir los datos sobre las especies de peces migratorios de agua dulce transfronterizos, incluida la abundancia, la ecología piscícola y la degradación del hábitat actuales, sobre todo para aquellas especies que se encuentran en las listas rojas tanto nacionales como regionales o mundiales.</w:t>
      </w:r>
    </w:p>
    <w:p w14:paraId="19F80838" w14:textId="77777777" w:rsidR="00743FC2" w:rsidRDefault="00743FC2" w:rsidP="00845083">
      <w:pPr>
        <w:pStyle w:val="ListParagraph"/>
        <w:spacing w:after="0" w:line="240" w:lineRule="auto"/>
        <w:ind w:left="774"/>
        <w:jc w:val="both"/>
        <w:rPr>
          <w:rFonts w:eastAsia="Times New Roman" w:cs="Arial"/>
          <w:color w:val="333333"/>
          <w:lang w:val="es-ES"/>
        </w:rPr>
      </w:pPr>
    </w:p>
    <w:p w14:paraId="340B6DC8" w14:textId="707A64C7" w:rsidR="00743FC2" w:rsidRPr="00743FC2" w:rsidRDefault="00743FC2" w:rsidP="00845083">
      <w:pPr>
        <w:pStyle w:val="ListParagraph"/>
        <w:numPr>
          <w:ilvl w:val="0"/>
          <w:numId w:val="25"/>
        </w:numPr>
        <w:spacing w:after="0" w:line="240" w:lineRule="auto"/>
        <w:jc w:val="both"/>
        <w:rPr>
          <w:rFonts w:eastAsia="Times New Roman" w:cs="Arial"/>
          <w:color w:val="333333"/>
          <w:lang w:val="es-ES"/>
        </w:rPr>
      </w:pPr>
      <w:r w:rsidRPr="00743FC2">
        <w:rPr>
          <w:rFonts w:eastAsia="Times New Roman" w:cs="Arial"/>
          <w:color w:val="333333"/>
          <w:lang w:val="es-ES"/>
        </w:rPr>
        <w:t>proporcionar conocimientos técnicos y fondos a los Estados del área de distribución para apoyar su investigación y el intercambio de datos</w:t>
      </w:r>
    </w:p>
    <w:p w14:paraId="51FDAE86" w14:textId="77777777" w:rsidR="00233B2D" w:rsidRPr="00733ABB" w:rsidRDefault="00233B2D" w:rsidP="00845083">
      <w:pPr>
        <w:spacing w:after="0" w:line="240" w:lineRule="auto"/>
        <w:ind w:left="794" w:hanging="794"/>
        <w:jc w:val="both"/>
        <w:rPr>
          <w:rFonts w:eastAsia="Times New Roman" w:cs="Arial"/>
          <w:color w:val="333333"/>
          <w:lang w:val="es-ES"/>
        </w:rPr>
      </w:pPr>
    </w:p>
    <w:p w14:paraId="6AC74F38" w14:textId="77777777" w:rsidR="00D15415" w:rsidRPr="00733ABB" w:rsidRDefault="00D15415" w:rsidP="00845083">
      <w:pPr>
        <w:spacing w:after="0" w:line="240" w:lineRule="auto"/>
        <w:jc w:val="both"/>
        <w:rPr>
          <w:rFonts w:cs="Arial"/>
          <w:b/>
          <w:i/>
          <w:lang w:val="es-ES"/>
        </w:rPr>
      </w:pPr>
    </w:p>
    <w:p w14:paraId="699B3C53" w14:textId="629FFE71" w:rsidR="00E21E34" w:rsidRPr="00733ABB" w:rsidRDefault="00E21E34" w:rsidP="00845083">
      <w:pPr>
        <w:spacing w:after="0" w:line="240" w:lineRule="auto"/>
        <w:jc w:val="both"/>
        <w:rPr>
          <w:rFonts w:cs="Arial"/>
          <w:b/>
          <w:i/>
          <w:lang w:val="es-ES"/>
        </w:rPr>
      </w:pPr>
      <w:r w:rsidRPr="00733ABB">
        <w:rPr>
          <w:rFonts w:cs="Arial"/>
          <w:b/>
          <w:i/>
          <w:lang w:val="es-ES"/>
        </w:rPr>
        <w:t>Dirigido al Consejo Científico</w:t>
      </w:r>
    </w:p>
    <w:p w14:paraId="036636F7" w14:textId="77777777" w:rsidR="00E21E34" w:rsidRPr="00733ABB" w:rsidRDefault="00E21E34" w:rsidP="00845083">
      <w:pPr>
        <w:spacing w:after="0" w:line="240" w:lineRule="auto"/>
        <w:jc w:val="both"/>
        <w:rPr>
          <w:rFonts w:cs="Arial"/>
          <w:lang w:val="es-ES"/>
        </w:rPr>
      </w:pPr>
    </w:p>
    <w:p w14:paraId="0C9A50DB" w14:textId="5B498A20" w:rsidR="00AA61B1" w:rsidRPr="00733ABB" w:rsidRDefault="00E21E34" w:rsidP="00845083">
      <w:pPr>
        <w:spacing w:after="0" w:line="240" w:lineRule="auto"/>
        <w:ind w:left="851" w:hanging="851"/>
        <w:jc w:val="both"/>
        <w:rPr>
          <w:rFonts w:cs="Arial"/>
          <w:lang w:val="es-ES"/>
        </w:rPr>
      </w:pPr>
      <w:r w:rsidRPr="00733ABB">
        <w:rPr>
          <w:rFonts w:cs="Arial"/>
          <w:lang w:val="es-ES"/>
        </w:rPr>
        <w:t>14.GG</w:t>
      </w:r>
      <w:r w:rsidRPr="00733ABB">
        <w:rPr>
          <w:rFonts w:cs="Arial"/>
          <w:lang w:val="es-ES"/>
        </w:rPr>
        <w:tab/>
      </w:r>
      <w:r w:rsidR="009826D5">
        <w:rPr>
          <w:rFonts w:cs="Arial"/>
          <w:lang w:val="es-ES"/>
        </w:rPr>
        <w:t>Se solicit</w:t>
      </w:r>
      <w:r w:rsidR="00A85516">
        <w:rPr>
          <w:rFonts w:cs="Arial"/>
          <w:lang w:val="es-ES"/>
        </w:rPr>
        <w:t>a</w:t>
      </w:r>
      <w:r w:rsidR="009826D5">
        <w:rPr>
          <w:rFonts w:cs="Arial"/>
          <w:lang w:val="es-ES"/>
        </w:rPr>
        <w:t xml:space="preserve"> al</w:t>
      </w:r>
      <w:r w:rsidRPr="00733ABB">
        <w:rPr>
          <w:rFonts w:cs="Arial"/>
          <w:lang w:val="es-ES"/>
        </w:rPr>
        <w:t xml:space="preserve"> Consejo Científico, sujeto a la disponibilidad de recursos externos</w:t>
      </w:r>
      <w:r w:rsidR="009826D5">
        <w:rPr>
          <w:rFonts w:cs="Arial"/>
          <w:lang w:val="es-ES"/>
        </w:rPr>
        <w:t>:</w:t>
      </w:r>
    </w:p>
    <w:p w14:paraId="404EB7C4" w14:textId="77777777" w:rsidR="00AA61B1" w:rsidRPr="00733ABB" w:rsidRDefault="00AA61B1" w:rsidP="00845083">
      <w:pPr>
        <w:spacing w:after="0" w:line="240" w:lineRule="auto"/>
        <w:ind w:left="851" w:hanging="851"/>
        <w:jc w:val="both"/>
        <w:rPr>
          <w:rFonts w:cs="Arial"/>
          <w:lang w:val="es-ES"/>
        </w:rPr>
      </w:pPr>
    </w:p>
    <w:p w14:paraId="41D30136" w14:textId="4C1827D6" w:rsidR="00C42C5E" w:rsidRPr="00733ABB" w:rsidRDefault="0026456B" w:rsidP="00845083">
      <w:pPr>
        <w:pStyle w:val="ListParagraph"/>
        <w:numPr>
          <w:ilvl w:val="0"/>
          <w:numId w:val="19"/>
        </w:numPr>
        <w:spacing w:after="0" w:line="240" w:lineRule="auto"/>
        <w:jc w:val="both"/>
        <w:rPr>
          <w:rFonts w:cs="Arial"/>
          <w:lang w:val="es-ES"/>
        </w:rPr>
      </w:pPr>
      <w:r w:rsidRPr="00733ABB">
        <w:rPr>
          <w:rFonts w:cs="Arial"/>
          <w:lang w:val="es-ES"/>
        </w:rPr>
        <w:t xml:space="preserve">llevar a cabo una revisión de los peces de agua dulce para actualizar aquellos que se encuentran en el </w:t>
      </w:r>
      <w:hyperlink r:id="rId26" w:history="1">
        <w:r w:rsidR="001F10D5" w:rsidRPr="00733ABB">
          <w:rPr>
            <w:rStyle w:val="Hyperlink"/>
            <w:lang w:val="es-ES"/>
          </w:rPr>
          <w:t xml:space="preserve">UNEP/CMS/Inf.10.33 </w:t>
        </w:r>
      </w:hyperlink>
      <w:r w:rsidRPr="00733ABB">
        <w:rPr>
          <w:rFonts w:cs="Arial"/>
          <w:lang w:val="es-ES"/>
        </w:rPr>
        <w:t>y proporcionar directrices para incluir más peces de agua dulce en los Apéndices de la CMS,</w:t>
      </w:r>
    </w:p>
    <w:p w14:paraId="1D526B31" w14:textId="77777777" w:rsidR="00C92714" w:rsidRPr="00733ABB" w:rsidRDefault="00C92714" w:rsidP="00845083">
      <w:pPr>
        <w:spacing w:after="0" w:line="240" w:lineRule="auto"/>
        <w:jc w:val="both"/>
        <w:rPr>
          <w:rFonts w:cs="Arial"/>
          <w:lang w:val="es-ES"/>
        </w:rPr>
      </w:pPr>
    </w:p>
    <w:p w14:paraId="0535FA65" w14:textId="284DBBCB" w:rsidR="00E55D0D" w:rsidRPr="00733ABB" w:rsidRDefault="00E37263" w:rsidP="00845083">
      <w:pPr>
        <w:pStyle w:val="ListParagraph"/>
        <w:numPr>
          <w:ilvl w:val="0"/>
          <w:numId w:val="19"/>
        </w:numPr>
        <w:spacing w:after="0" w:line="240" w:lineRule="auto"/>
        <w:jc w:val="both"/>
        <w:rPr>
          <w:rFonts w:cs="Arial"/>
          <w:lang w:val="es-ES"/>
        </w:rPr>
      </w:pPr>
      <w:r w:rsidRPr="00733ABB">
        <w:rPr>
          <w:rStyle w:val="normaltextrun"/>
          <w:rFonts w:cs="Arial"/>
          <w:color w:val="000000"/>
          <w:shd w:val="clear" w:color="auto" w:fill="FFFFFF"/>
          <w:lang w:val="es-ES"/>
        </w:rPr>
        <w:t>informar a la Conferencia de las Partes en su 15.</w:t>
      </w:r>
      <w:r w:rsidR="003B2E96" w:rsidRPr="00733ABB">
        <w:rPr>
          <w:rStyle w:val="normaltextrun"/>
          <w:rFonts w:cs="Arial"/>
          <w:color w:val="000000"/>
          <w:shd w:val="clear" w:color="auto" w:fill="FFFFFF"/>
          <w:vertAlign w:val="superscript"/>
          <w:lang w:val="es-ES"/>
        </w:rPr>
        <w:t>ª</w:t>
      </w:r>
      <w:r w:rsidR="002D3D1C">
        <w:rPr>
          <w:rStyle w:val="normaltextrun"/>
          <w:rFonts w:cs="Arial"/>
          <w:color w:val="000000"/>
          <w:shd w:val="clear" w:color="auto" w:fill="FFFFFF"/>
          <w:vertAlign w:val="superscript"/>
          <w:lang w:val="es-ES"/>
        </w:rPr>
        <w:t xml:space="preserve"> </w:t>
      </w:r>
      <w:r w:rsidR="003B2E96" w:rsidRPr="00733ABB">
        <w:rPr>
          <w:rStyle w:val="normaltextrun"/>
          <w:rFonts w:cs="Arial"/>
          <w:color w:val="000000"/>
          <w:shd w:val="clear" w:color="auto" w:fill="FFFFFF"/>
          <w:lang w:val="es-ES"/>
        </w:rPr>
        <w:t>reunión acerca de los avances realizados en la implementación de la presente Decisión.</w:t>
      </w:r>
      <w:r w:rsidR="003B2E96" w:rsidRPr="00733ABB">
        <w:rPr>
          <w:rStyle w:val="eop"/>
          <w:rFonts w:cs="Arial"/>
          <w:color w:val="000000"/>
          <w:shd w:val="clear" w:color="auto" w:fill="FFFFFF"/>
          <w:lang w:val="es-ES"/>
        </w:rPr>
        <w:t> </w:t>
      </w:r>
    </w:p>
    <w:p w14:paraId="46C05732" w14:textId="77777777" w:rsidR="00E21E34" w:rsidRPr="00733ABB" w:rsidRDefault="00E21E34" w:rsidP="00845083">
      <w:pPr>
        <w:spacing w:after="0" w:line="240" w:lineRule="auto"/>
        <w:jc w:val="both"/>
        <w:rPr>
          <w:rFonts w:cs="Arial"/>
          <w:b/>
          <w:i/>
          <w:lang w:val="es-ES"/>
        </w:rPr>
      </w:pPr>
    </w:p>
    <w:p w14:paraId="5BDDF2C7" w14:textId="77777777" w:rsidR="00E21E34" w:rsidRPr="00733ABB" w:rsidRDefault="00E21E34" w:rsidP="00845083">
      <w:pPr>
        <w:spacing w:after="0" w:line="240" w:lineRule="auto"/>
        <w:jc w:val="both"/>
        <w:rPr>
          <w:rFonts w:cs="Arial"/>
          <w:b/>
          <w:i/>
          <w:lang w:val="es-ES"/>
        </w:rPr>
      </w:pPr>
      <w:r w:rsidRPr="00733ABB">
        <w:rPr>
          <w:rFonts w:cs="Arial"/>
          <w:b/>
          <w:i/>
          <w:lang w:val="es-ES"/>
        </w:rPr>
        <w:t>Dirigido a la Secretaría</w:t>
      </w:r>
    </w:p>
    <w:p w14:paraId="6CB79F6C" w14:textId="77777777" w:rsidR="00E21E34" w:rsidRPr="00733ABB" w:rsidRDefault="00E21E34" w:rsidP="00845083">
      <w:pPr>
        <w:spacing w:after="0" w:line="240" w:lineRule="auto"/>
        <w:jc w:val="both"/>
        <w:rPr>
          <w:rFonts w:cs="Arial"/>
          <w:lang w:val="es-ES"/>
        </w:rPr>
      </w:pPr>
    </w:p>
    <w:p w14:paraId="193E1D2F" w14:textId="77777777" w:rsidR="00FA76FC" w:rsidRDefault="00E21E34" w:rsidP="00845083">
      <w:pPr>
        <w:spacing w:after="0" w:line="240" w:lineRule="auto"/>
        <w:ind w:left="794" w:hanging="794"/>
        <w:jc w:val="both"/>
        <w:rPr>
          <w:rFonts w:cs="Arial"/>
          <w:lang w:val="es-ES"/>
        </w:rPr>
      </w:pPr>
      <w:r w:rsidRPr="00733ABB">
        <w:rPr>
          <w:rFonts w:cs="Arial"/>
          <w:lang w:val="es-ES"/>
        </w:rPr>
        <w:t>14.HH</w:t>
      </w:r>
      <w:r w:rsidRPr="00733ABB">
        <w:rPr>
          <w:rFonts w:cs="Arial"/>
          <w:lang w:val="es-ES"/>
        </w:rPr>
        <w:tab/>
        <w:t>La Secretaría, sujeta a la disponibilidad de recursos externos, deberá</w:t>
      </w:r>
      <w:r w:rsidR="00FA76FC">
        <w:rPr>
          <w:rFonts w:cs="Arial"/>
          <w:lang w:val="es-ES"/>
        </w:rPr>
        <w:t>:</w:t>
      </w:r>
    </w:p>
    <w:p w14:paraId="32B21B3C" w14:textId="77777777" w:rsidR="00FA76FC" w:rsidRDefault="00FA76FC" w:rsidP="00845083">
      <w:pPr>
        <w:spacing w:after="0" w:line="240" w:lineRule="auto"/>
        <w:ind w:left="794" w:hanging="794"/>
        <w:jc w:val="both"/>
        <w:rPr>
          <w:rFonts w:cs="Arial"/>
          <w:lang w:val="es-ES"/>
        </w:rPr>
      </w:pPr>
    </w:p>
    <w:p w14:paraId="29AC0F20" w14:textId="77777777" w:rsidR="00FA76FC" w:rsidRPr="006F209D" w:rsidRDefault="00E21E34" w:rsidP="00845083">
      <w:pPr>
        <w:pStyle w:val="ListParagraph"/>
        <w:numPr>
          <w:ilvl w:val="0"/>
          <w:numId w:val="26"/>
        </w:numPr>
        <w:spacing w:after="0" w:line="240" w:lineRule="auto"/>
        <w:jc w:val="both"/>
        <w:rPr>
          <w:rFonts w:eastAsia="Times New Roman" w:cs="Arial"/>
          <w:lang w:val="es-ES"/>
        </w:rPr>
      </w:pPr>
      <w:r w:rsidRPr="00FA76FC">
        <w:rPr>
          <w:rFonts w:cs="Arial"/>
          <w:lang w:val="es-ES"/>
        </w:rPr>
        <w:t>apoyar al Consejo Científico en el desarrollo de los informes descritos en la Decisión 14.GG.</w:t>
      </w:r>
      <w:r w:rsidR="00B952D1" w:rsidRPr="00FA76FC">
        <w:rPr>
          <w:rFonts w:cs="Arial"/>
          <w:lang w:val="es-ES"/>
        </w:rPr>
        <w:t xml:space="preserve"> </w:t>
      </w:r>
    </w:p>
    <w:p w14:paraId="0CBBEF28" w14:textId="77777777" w:rsidR="006F209D" w:rsidRPr="00FA76FC" w:rsidRDefault="006F209D" w:rsidP="00845083">
      <w:pPr>
        <w:pStyle w:val="ListParagraph"/>
        <w:spacing w:after="0" w:line="240" w:lineRule="auto"/>
        <w:ind w:left="774"/>
        <w:jc w:val="both"/>
        <w:rPr>
          <w:rFonts w:eastAsia="Times New Roman" w:cs="Arial"/>
          <w:lang w:val="es-ES"/>
        </w:rPr>
      </w:pPr>
    </w:p>
    <w:p w14:paraId="52105326" w14:textId="29AD8CE3" w:rsidR="00E21E34" w:rsidRPr="006F209D" w:rsidRDefault="00E21E34" w:rsidP="00845083">
      <w:pPr>
        <w:pStyle w:val="ListParagraph"/>
        <w:numPr>
          <w:ilvl w:val="0"/>
          <w:numId w:val="26"/>
        </w:numPr>
        <w:spacing w:after="0" w:line="240" w:lineRule="auto"/>
        <w:jc w:val="both"/>
        <w:rPr>
          <w:rFonts w:eastAsia="Times New Roman" w:cs="Arial"/>
          <w:lang w:val="es-ES"/>
        </w:rPr>
      </w:pPr>
      <w:r w:rsidRPr="00FA76FC">
        <w:rPr>
          <w:rFonts w:cs="Arial"/>
          <w:lang w:val="es-ES"/>
        </w:rPr>
        <w:t xml:space="preserve"> </w:t>
      </w:r>
      <w:r w:rsidR="002D3BF5">
        <w:rPr>
          <w:rFonts w:cs="Arial"/>
          <w:lang w:val="es-ES"/>
        </w:rPr>
        <w:t>proporcionar apoyo técnico a las Partes para la ejecución de las actividades descritas en la Decisión 14</w:t>
      </w:r>
      <w:r w:rsidR="00845083">
        <w:rPr>
          <w:rFonts w:cs="Arial"/>
          <w:lang w:val="es-ES"/>
        </w:rPr>
        <w:t>.</w:t>
      </w:r>
      <w:r w:rsidR="002D3BF5">
        <w:rPr>
          <w:rFonts w:cs="Arial"/>
          <w:lang w:val="es-ES"/>
        </w:rPr>
        <w:t>EE</w:t>
      </w:r>
      <w:r w:rsidR="006F209D">
        <w:rPr>
          <w:rFonts w:cs="Arial"/>
          <w:lang w:val="es-ES"/>
        </w:rPr>
        <w:t>.</w:t>
      </w:r>
    </w:p>
    <w:p w14:paraId="5B7D0936" w14:textId="77777777" w:rsidR="006F209D" w:rsidRPr="006F209D" w:rsidRDefault="006F209D" w:rsidP="00845083">
      <w:pPr>
        <w:spacing w:after="0" w:line="240" w:lineRule="auto"/>
        <w:jc w:val="both"/>
        <w:rPr>
          <w:rFonts w:eastAsia="Times New Roman" w:cs="Arial"/>
          <w:lang w:val="es-ES"/>
        </w:rPr>
      </w:pPr>
    </w:p>
    <w:p w14:paraId="271929C0" w14:textId="4EEB1348" w:rsidR="002D3BF5" w:rsidRPr="00FA76FC" w:rsidRDefault="002D3BF5" w:rsidP="00845083">
      <w:pPr>
        <w:pStyle w:val="ListParagraph"/>
        <w:numPr>
          <w:ilvl w:val="0"/>
          <w:numId w:val="26"/>
        </w:numPr>
        <w:spacing w:after="0" w:line="240" w:lineRule="auto"/>
        <w:jc w:val="both"/>
        <w:rPr>
          <w:rFonts w:eastAsia="Times New Roman" w:cs="Arial"/>
          <w:lang w:val="es-ES"/>
        </w:rPr>
      </w:pPr>
      <w:r>
        <w:rPr>
          <w:rFonts w:cs="Arial"/>
          <w:lang w:val="es-ES"/>
        </w:rPr>
        <w:t xml:space="preserve">Elaborar y difundir directrices </w:t>
      </w:r>
      <w:r w:rsidR="00E81089">
        <w:rPr>
          <w:rFonts w:cs="Arial"/>
          <w:lang w:val="es-ES"/>
        </w:rPr>
        <w:t>y herramientas de gestión pertinentes para las Partes y otras partes interesadas.</w:t>
      </w:r>
    </w:p>
    <w:p w14:paraId="5C2430EC" w14:textId="77777777" w:rsidR="00E21E34" w:rsidRPr="00733ABB" w:rsidRDefault="00E21E34" w:rsidP="00845083">
      <w:pPr>
        <w:pStyle w:val="Secondnumbering"/>
        <w:numPr>
          <w:ilvl w:val="0"/>
          <w:numId w:val="0"/>
        </w:numPr>
        <w:jc w:val="both"/>
        <w:rPr>
          <w:lang w:val="es-ES"/>
        </w:rPr>
      </w:pPr>
    </w:p>
    <w:sectPr w:rsidR="00E21E34" w:rsidRPr="00733ABB" w:rsidSect="00743E7C">
      <w:headerReference w:type="even" r:id="rId27"/>
      <w:headerReference w:type="first" r:id="rId2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F8F8" w14:textId="77777777" w:rsidR="00B407B5" w:rsidRDefault="00B407B5" w:rsidP="002E0DE9">
      <w:pPr>
        <w:spacing w:after="0" w:line="240" w:lineRule="auto"/>
      </w:pPr>
      <w:r>
        <w:separator/>
      </w:r>
    </w:p>
  </w:endnote>
  <w:endnote w:type="continuationSeparator" w:id="0">
    <w:p w14:paraId="2FE6CCC5" w14:textId="77777777" w:rsidR="00B407B5" w:rsidRDefault="00B407B5" w:rsidP="002E0DE9">
      <w:pPr>
        <w:spacing w:after="0" w:line="240" w:lineRule="auto"/>
      </w:pPr>
      <w:r>
        <w:continuationSeparator/>
      </w:r>
    </w:p>
  </w:endnote>
  <w:endnote w:type="continuationNotice" w:id="1">
    <w:p w14:paraId="757078DA" w14:textId="77777777" w:rsidR="00B407B5" w:rsidRDefault="00B40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CDFF" w14:textId="77777777" w:rsidR="00D63611" w:rsidRDefault="00D63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6AE5" w14:textId="77777777" w:rsidR="00D63611" w:rsidRDefault="00D636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972331"/>
      <w:docPartObj>
        <w:docPartGallery w:val="Page Numbers (Bottom of Page)"/>
        <w:docPartUnique/>
      </w:docPartObj>
    </w:sdtPr>
    <w:sdtEndPr>
      <w:rPr>
        <w:noProof/>
        <w:sz w:val="18"/>
        <w:szCs w:val="18"/>
      </w:rPr>
    </w:sdtEndPr>
    <w:sdtContent>
      <w:p w14:paraId="693E0C9C" w14:textId="2E1ECEE8" w:rsidR="00DC0942" w:rsidRPr="00DC0942" w:rsidRDefault="00DC0942">
        <w:pPr>
          <w:pStyle w:val="Footer"/>
          <w:jc w:val="center"/>
          <w:rPr>
            <w:sz w:val="18"/>
            <w:szCs w:val="18"/>
          </w:rPr>
        </w:pPr>
        <w:r w:rsidRPr="00DC0942">
          <w:rPr>
            <w:sz w:val="18"/>
            <w:szCs w:val="18"/>
          </w:rPr>
          <w:fldChar w:fldCharType="begin"/>
        </w:r>
        <w:r w:rsidRPr="00DC0942">
          <w:rPr>
            <w:sz w:val="18"/>
            <w:szCs w:val="18"/>
          </w:rPr>
          <w:instrText xml:space="preserve"> PAGE   \* MERGEFORMAT </w:instrText>
        </w:r>
        <w:r w:rsidRPr="00DC0942">
          <w:rPr>
            <w:sz w:val="18"/>
            <w:szCs w:val="18"/>
          </w:rPr>
          <w:fldChar w:fldCharType="separate"/>
        </w:r>
        <w:r w:rsidRPr="00DC0942">
          <w:rPr>
            <w:noProof/>
            <w:sz w:val="18"/>
            <w:szCs w:val="18"/>
          </w:rPr>
          <w:t>2</w:t>
        </w:r>
        <w:r w:rsidRPr="00DC0942">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724471"/>
      <w:docPartObj>
        <w:docPartGallery w:val="Page Numbers (Bottom of Page)"/>
        <w:docPartUnique/>
      </w:docPartObj>
    </w:sdtPr>
    <w:sdtEndPr>
      <w:rPr>
        <w:noProof/>
        <w:sz w:val="18"/>
        <w:szCs w:val="18"/>
      </w:rPr>
    </w:sdtEndPr>
    <w:sdtContent>
      <w:p w14:paraId="3C76AA9D" w14:textId="63932DAE" w:rsidR="00AE4058" w:rsidRPr="00AE4058" w:rsidRDefault="00AE4058">
        <w:pPr>
          <w:pStyle w:val="Footer"/>
          <w:jc w:val="center"/>
          <w:rPr>
            <w:sz w:val="18"/>
            <w:szCs w:val="18"/>
          </w:rPr>
        </w:pPr>
        <w:r w:rsidRPr="00AE4058">
          <w:rPr>
            <w:sz w:val="18"/>
            <w:szCs w:val="18"/>
          </w:rPr>
          <w:fldChar w:fldCharType="begin"/>
        </w:r>
        <w:r w:rsidRPr="00AE4058">
          <w:rPr>
            <w:sz w:val="18"/>
            <w:szCs w:val="18"/>
          </w:rPr>
          <w:instrText xml:space="preserve"> PAGE   \* MERGEFORMAT </w:instrText>
        </w:r>
        <w:r w:rsidRPr="00AE4058">
          <w:rPr>
            <w:sz w:val="18"/>
            <w:szCs w:val="18"/>
          </w:rPr>
          <w:fldChar w:fldCharType="separate"/>
        </w:r>
        <w:r w:rsidRPr="00AE4058">
          <w:rPr>
            <w:noProof/>
            <w:sz w:val="18"/>
            <w:szCs w:val="18"/>
          </w:rPr>
          <w:t>2</w:t>
        </w:r>
        <w:r w:rsidRPr="00AE405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F0CF" w14:textId="77777777" w:rsidR="00B407B5" w:rsidRDefault="00B407B5" w:rsidP="002E0DE9">
      <w:pPr>
        <w:spacing w:after="0" w:line="240" w:lineRule="auto"/>
      </w:pPr>
      <w:r>
        <w:separator/>
      </w:r>
    </w:p>
  </w:footnote>
  <w:footnote w:type="continuationSeparator" w:id="0">
    <w:p w14:paraId="4B66F614" w14:textId="77777777" w:rsidR="00B407B5" w:rsidRDefault="00B407B5" w:rsidP="002E0DE9">
      <w:pPr>
        <w:spacing w:after="0" w:line="240" w:lineRule="auto"/>
      </w:pPr>
      <w:r>
        <w:continuationSeparator/>
      </w:r>
    </w:p>
  </w:footnote>
  <w:footnote w:type="continuationNotice" w:id="1">
    <w:p w14:paraId="0C7ACD1A" w14:textId="77777777" w:rsidR="00B407B5" w:rsidRDefault="00B407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339D" w14:textId="77777777" w:rsidR="00501EDF" w:rsidRPr="00002A97" w:rsidRDefault="00501EDF" w:rsidP="00501EDF">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5D06C782" wp14:editId="6820B3EB">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49A33B93" wp14:editId="16316440">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3"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7FDFA9A9" wp14:editId="427CC45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00607201" w14:textId="77777777" w:rsidR="00501EDF" w:rsidRDefault="00501E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2B4CD8FA" w:rsidR="002D6582" w:rsidRPr="001C1790" w:rsidRDefault="002D6582" w:rsidP="00371DE1">
    <w:pPr>
      <w:pStyle w:val="Header"/>
      <w:pBdr>
        <w:bottom w:val="single" w:sz="4" w:space="1" w:color="auto"/>
      </w:pBdr>
      <w:rPr>
        <w:rFonts w:cs="Arial"/>
        <w:i/>
        <w:sz w:val="18"/>
        <w:szCs w:val="18"/>
        <w:lang w:val="en-US"/>
      </w:rPr>
    </w:pPr>
    <w:r w:rsidRPr="001C1790">
      <w:rPr>
        <w:rFonts w:cs="Arial"/>
        <w:i/>
        <w:sz w:val="18"/>
        <w:szCs w:val="18"/>
        <w:lang w:val="en-US"/>
      </w:rPr>
      <w:t>UNEP/CMS/COP14/Doc.</w:t>
    </w:r>
    <w:r w:rsidR="00AE4058" w:rsidRPr="001C1790">
      <w:rPr>
        <w:rFonts w:cs="Arial"/>
        <w:i/>
        <w:sz w:val="18"/>
        <w:szCs w:val="18"/>
        <w:lang w:val="en-US"/>
      </w:rPr>
      <w:t>27.7.2</w:t>
    </w:r>
    <w:r w:rsidR="001C1790" w:rsidRPr="001C1790">
      <w:rPr>
        <w:rFonts w:cs="Arial"/>
        <w:i/>
        <w:sz w:val="18"/>
        <w:szCs w:val="18"/>
        <w:lang w:val="en-US"/>
      </w:rPr>
      <w:t>/Rev</w:t>
    </w:r>
    <w:r w:rsidR="001C1790">
      <w:rPr>
        <w:rFonts w:cs="Arial"/>
        <w:i/>
        <w:sz w:val="18"/>
        <w:szCs w:val="18"/>
        <w:lang w:val="en-US"/>
      </w:rPr>
      <w:t>.1</w:t>
    </w:r>
  </w:p>
  <w:p w14:paraId="0EB2F9BE" w14:textId="77777777" w:rsidR="002D6582" w:rsidRPr="00371DE1" w:rsidRDefault="002D6582"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5A2B03B1" w:rsidR="00A836DB" w:rsidRPr="001C1790" w:rsidRDefault="00A836DB" w:rsidP="00A836DB">
    <w:pPr>
      <w:pStyle w:val="Header"/>
      <w:pBdr>
        <w:bottom w:val="single" w:sz="4" w:space="1" w:color="auto"/>
      </w:pBdr>
      <w:jc w:val="right"/>
      <w:rPr>
        <w:rFonts w:cs="Arial"/>
        <w:i/>
        <w:sz w:val="18"/>
        <w:szCs w:val="18"/>
        <w:lang w:val="en-US"/>
      </w:rPr>
    </w:pPr>
    <w:r w:rsidRPr="001C1790">
      <w:rPr>
        <w:rFonts w:cs="Arial"/>
        <w:i/>
        <w:sz w:val="18"/>
        <w:szCs w:val="18"/>
        <w:lang w:val="en-US"/>
      </w:rPr>
      <w:t>UNEP/CMS/COP14/Doc.27.7.2</w:t>
    </w:r>
    <w:r w:rsidR="001C1790" w:rsidRPr="001C1790">
      <w:rPr>
        <w:rFonts w:cs="Arial"/>
        <w:i/>
        <w:sz w:val="18"/>
        <w:szCs w:val="18"/>
        <w:lang w:val="en-US"/>
      </w:rPr>
      <w:t>/Rev</w:t>
    </w:r>
    <w:r w:rsidR="001C1790">
      <w:rPr>
        <w:rFonts w:cs="Arial"/>
        <w:i/>
        <w:sz w:val="18"/>
        <w:szCs w:val="18"/>
        <w:lang w:val="en-US"/>
      </w:rPr>
      <w:t>.1</w:t>
    </w:r>
  </w:p>
  <w:p w14:paraId="0E24A8B0" w14:textId="402AB1F3"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2B1C0578" w:rsidR="00A836DB" w:rsidRPr="001C1790" w:rsidRDefault="00A836DB" w:rsidP="00A836DB">
    <w:pPr>
      <w:pStyle w:val="Header"/>
      <w:pBdr>
        <w:bottom w:val="single" w:sz="4" w:space="1" w:color="auto"/>
      </w:pBdr>
      <w:rPr>
        <w:rFonts w:cs="Arial"/>
        <w:i/>
        <w:sz w:val="18"/>
        <w:szCs w:val="18"/>
        <w:lang w:val="en-US"/>
      </w:rPr>
    </w:pPr>
    <w:r w:rsidRPr="001C1790">
      <w:rPr>
        <w:rFonts w:cs="Arial"/>
        <w:i/>
        <w:sz w:val="18"/>
        <w:szCs w:val="18"/>
        <w:lang w:val="en-US"/>
      </w:rPr>
      <w:t>UNEP/CMS/COP14/Doc.27.7.2</w:t>
    </w:r>
    <w:r w:rsidR="001C1790" w:rsidRPr="001C1790">
      <w:rPr>
        <w:rFonts w:cs="Arial"/>
        <w:i/>
        <w:sz w:val="18"/>
        <w:szCs w:val="18"/>
        <w:lang w:val="en-US"/>
      </w:rPr>
      <w:t>/Rev.</w:t>
    </w:r>
    <w:r w:rsidR="001C1790">
      <w:rPr>
        <w:rFonts w:cs="Arial"/>
        <w:i/>
        <w:sz w:val="18"/>
        <w:szCs w:val="18"/>
        <w:lang w:val="en-U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9521" w14:textId="468F6854" w:rsidR="00371DE1" w:rsidRPr="00371DE1" w:rsidRDefault="00EF7ADB" w:rsidP="00DC0942">
    <w:pPr>
      <w:pStyle w:val="Header"/>
      <w:pBdr>
        <w:bottom w:val="single" w:sz="4" w:space="1" w:color="auto"/>
      </w:pBdr>
    </w:pPr>
    <w:r w:rsidRPr="001C1790">
      <w:rPr>
        <w:rFonts w:cs="Arial"/>
        <w:i/>
        <w:sz w:val="18"/>
        <w:szCs w:val="18"/>
        <w:lang w:val="en-US"/>
      </w:rPr>
      <w:t>UNEP/CMS/COP14/Doc.</w:t>
    </w:r>
    <w:r w:rsidR="00DC0942" w:rsidRPr="001C1790">
      <w:rPr>
        <w:rFonts w:cs="Arial"/>
        <w:i/>
        <w:sz w:val="18"/>
        <w:szCs w:val="18"/>
        <w:lang w:val="en-US"/>
      </w:rPr>
      <w:t>27.7.2</w:t>
    </w:r>
    <w:r w:rsidR="00A8341C" w:rsidRPr="001C1790">
      <w:rPr>
        <w:rFonts w:cs="Arial"/>
        <w:i/>
        <w:sz w:val="18"/>
        <w:szCs w:val="18"/>
        <w:lang w:val="en-US"/>
      </w:rPr>
      <w:t>/</w:t>
    </w:r>
    <w:r w:rsidR="001C1790" w:rsidRPr="001C1790">
      <w:rPr>
        <w:rFonts w:cs="Arial"/>
        <w:i/>
        <w:sz w:val="18"/>
        <w:szCs w:val="18"/>
        <w:lang w:val="en-US"/>
      </w:rPr>
      <w:t>Rev</w:t>
    </w:r>
    <w:r w:rsidR="00D63611">
      <w:rPr>
        <w:rFonts w:cs="Arial"/>
        <w:i/>
        <w:sz w:val="18"/>
        <w:szCs w:val="18"/>
        <w:lang w:val="en-US"/>
      </w:rPr>
      <w:t>.</w:t>
    </w:r>
    <w:r w:rsidR="001C1790" w:rsidRPr="001C1790">
      <w:rPr>
        <w:rFonts w:cs="Arial"/>
        <w:i/>
        <w:sz w:val="18"/>
        <w:szCs w:val="18"/>
        <w:lang w:val="en-US"/>
      </w:rPr>
      <w:t>1/</w:t>
    </w:r>
    <w:r w:rsidR="00A8341C" w:rsidRPr="001C1790">
      <w:rPr>
        <w:rFonts w:cs="Arial"/>
        <w:i/>
        <w:sz w:val="18"/>
        <w:szCs w:val="18"/>
        <w:lang w:val="en-US"/>
      </w:rPr>
      <w:t>Anexo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391133A2" w:rsidR="00371DE1" w:rsidRPr="00EF18FF" w:rsidRDefault="00371DE1" w:rsidP="00DC0942">
    <w:pPr>
      <w:pStyle w:val="Header"/>
      <w:pBdr>
        <w:bottom w:val="single" w:sz="4" w:space="1" w:color="auto"/>
      </w:pBdr>
      <w:jc w:val="right"/>
      <w:rPr>
        <w:rFonts w:cs="Arial"/>
        <w:i/>
        <w:sz w:val="18"/>
        <w:szCs w:val="18"/>
        <w:lang w:val="en-US"/>
      </w:rPr>
    </w:pPr>
    <w:r w:rsidRPr="001C1790">
      <w:rPr>
        <w:rFonts w:cs="Arial"/>
        <w:i/>
        <w:sz w:val="18"/>
        <w:szCs w:val="18"/>
        <w:lang w:val="en-US"/>
      </w:rPr>
      <w:t>UNEP/CMS/COP14/Doc.27.7.2/</w:t>
    </w:r>
    <w:r w:rsidR="001C1790" w:rsidRPr="001C1790">
      <w:rPr>
        <w:rFonts w:cs="Arial"/>
        <w:i/>
        <w:sz w:val="18"/>
        <w:szCs w:val="18"/>
        <w:lang w:val="en-US"/>
      </w:rPr>
      <w:t>Rev.1/</w:t>
    </w:r>
    <w:r w:rsidRPr="001C1790">
      <w:rPr>
        <w:rFonts w:cs="Arial"/>
        <w:i/>
        <w:sz w:val="18"/>
        <w:szCs w:val="18"/>
        <w:lang w:val="en-US"/>
      </w:rPr>
      <w:t>Anexo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F35"/>
    <w:multiLevelType w:val="hybridMultilevel"/>
    <w:tmpl w:val="87E61348"/>
    <w:lvl w:ilvl="0" w:tplc="10000017">
      <w:start w:val="1"/>
      <w:numFmt w:val="lowerLetter"/>
      <w:lvlText w:val="%1)"/>
      <w:lvlJc w:val="left"/>
      <w:pPr>
        <w:ind w:left="774" w:hanging="360"/>
      </w:pPr>
    </w:lvl>
    <w:lvl w:ilvl="1" w:tplc="10000019" w:tentative="1">
      <w:start w:val="1"/>
      <w:numFmt w:val="lowerLetter"/>
      <w:lvlText w:val="%2."/>
      <w:lvlJc w:val="left"/>
      <w:pPr>
        <w:ind w:left="1494" w:hanging="360"/>
      </w:pPr>
    </w:lvl>
    <w:lvl w:ilvl="2" w:tplc="1000001B" w:tentative="1">
      <w:start w:val="1"/>
      <w:numFmt w:val="lowerRoman"/>
      <w:lvlText w:val="%3."/>
      <w:lvlJc w:val="right"/>
      <w:pPr>
        <w:ind w:left="2214" w:hanging="180"/>
      </w:pPr>
    </w:lvl>
    <w:lvl w:ilvl="3" w:tplc="1000000F" w:tentative="1">
      <w:start w:val="1"/>
      <w:numFmt w:val="decimal"/>
      <w:lvlText w:val="%4."/>
      <w:lvlJc w:val="left"/>
      <w:pPr>
        <w:ind w:left="2934" w:hanging="360"/>
      </w:pPr>
    </w:lvl>
    <w:lvl w:ilvl="4" w:tplc="10000019" w:tentative="1">
      <w:start w:val="1"/>
      <w:numFmt w:val="lowerLetter"/>
      <w:lvlText w:val="%5."/>
      <w:lvlJc w:val="left"/>
      <w:pPr>
        <w:ind w:left="3654" w:hanging="360"/>
      </w:pPr>
    </w:lvl>
    <w:lvl w:ilvl="5" w:tplc="1000001B" w:tentative="1">
      <w:start w:val="1"/>
      <w:numFmt w:val="lowerRoman"/>
      <w:lvlText w:val="%6."/>
      <w:lvlJc w:val="right"/>
      <w:pPr>
        <w:ind w:left="4374" w:hanging="180"/>
      </w:pPr>
    </w:lvl>
    <w:lvl w:ilvl="6" w:tplc="1000000F" w:tentative="1">
      <w:start w:val="1"/>
      <w:numFmt w:val="decimal"/>
      <w:lvlText w:val="%7."/>
      <w:lvlJc w:val="left"/>
      <w:pPr>
        <w:ind w:left="5094" w:hanging="360"/>
      </w:pPr>
    </w:lvl>
    <w:lvl w:ilvl="7" w:tplc="10000019" w:tentative="1">
      <w:start w:val="1"/>
      <w:numFmt w:val="lowerLetter"/>
      <w:lvlText w:val="%8."/>
      <w:lvlJc w:val="left"/>
      <w:pPr>
        <w:ind w:left="5814" w:hanging="360"/>
      </w:pPr>
    </w:lvl>
    <w:lvl w:ilvl="8" w:tplc="1000001B" w:tentative="1">
      <w:start w:val="1"/>
      <w:numFmt w:val="lowerRoman"/>
      <w:lvlText w:val="%9."/>
      <w:lvlJc w:val="right"/>
      <w:pPr>
        <w:ind w:left="6534" w:hanging="180"/>
      </w:pPr>
    </w:lvl>
  </w:abstractNum>
  <w:abstractNum w:abstractNumId="1"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7A31B5"/>
    <w:multiLevelType w:val="hybridMultilevel"/>
    <w:tmpl w:val="4C12A79C"/>
    <w:lvl w:ilvl="0" w:tplc="540A0017">
      <w:start w:val="1"/>
      <w:numFmt w:val="lowerLetter"/>
      <w:lvlText w:val="%1)"/>
      <w:lvlJc w:val="left"/>
      <w:pPr>
        <w:ind w:left="1154" w:hanging="360"/>
      </w:pPr>
      <w:rPr>
        <w:rFonts w:hint="default"/>
      </w:rPr>
    </w:lvl>
    <w:lvl w:ilvl="1" w:tplc="540A0019" w:tentative="1">
      <w:start w:val="1"/>
      <w:numFmt w:val="lowerLetter"/>
      <w:lvlText w:val="%2."/>
      <w:lvlJc w:val="left"/>
      <w:pPr>
        <w:ind w:left="1874" w:hanging="360"/>
      </w:pPr>
    </w:lvl>
    <w:lvl w:ilvl="2" w:tplc="540A001B" w:tentative="1">
      <w:start w:val="1"/>
      <w:numFmt w:val="lowerRoman"/>
      <w:lvlText w:val="%3."/>
      <w:lvlJc w:val="right"/>
      <w:pPr>
        <w:ind w:left="2594" w:hanging="180"/>
      </w:pPr>
    </w:lvl>
    <w:lvl w:ilvl="3" w:tplc="540A000F" w:tentative="1">
      <w:start w:val="1"/>
      <w:numFmt w:val="decimal"/>
      <w:lvlText w:val="%4."/>
      <w:lvlJc w:val="left"/>
      <w:pPr>
        <w:ind w:left="3314" w:hanging="360"/>
      </w:pPr>
    </w:lvl>
    <w:lvl w:ilvl="4" w:tplc="540A0019" w:tentative="1">
      <w:start w:val="1"/>
      <w:numFmt w:val="lowerLetter"/>
      <w:lvlText w:val="%5."/>
      <w:lvlJc w:val="left"/>
      <w:pPr>
        <w:ind w:left="4034" w:hanging="360"/>
      </w:pPr>
    </w:lvl>
    <w:lvl w:ilvl="5" w:tplc="540A001B" w:tentative="1">
      <w:start w:val="1"/>
      <w:numFmt w:val="lowerRoman"/>
      <w:lvlText w:val="%6."/>
      <w:lvlJc w:val="right"/>
      <w:pPr>
        <w:ind w:left="4754" w:hanging="180"/>
      </w:pPr>
    </w:lvl>
    <w:lvl w:ilvl="6" w:tplc="540A000F" w:tentative="1">
      <w:start w:val="1"/>
      <w:numFmt w:val="decimal"/>
      <w:lvlText w:val="%7."/>
      <w:lvlJc w:val="left"/>
      <w:pPr>
        <w:ind w:left="5474" w:hanging="360"/>
      </w:pPr>
    </w:lvl>
    <w:lvl w:ilvl="7" w:tplc="540A0019" w:tentative="1">
      <w:start w:val="1"/>
      <w:numFmt w:val="lowerLetter"/>
      <w:lvlText w:val="%8."/>
      <w:lvlJc w:val="left"/>
      <w:pPr>
        <w:ind w:left="6194" w:hanging="360"/>
      </w:pPr>
    </w:lvl>
    <w:lvl w:ilvl="8" w:tplc="540A001B" w:tentative="1">
      <w:start w:val="1"/>
      <w:numFmt w:val="lowerRoman"/>
      <w:lvlText w:val="%9."/>
      <w:lvlJc w:val="right"/>
      <w:pPr>
        <w:ind w:left="6914" w:hanging="180"/>
      </w:p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909510C"/>
    <w:multiLevelType w:val="hybridMultilevel"/>
    <w:tmpl w:val="E9BC7CC8"/>
    <w:lvl w:ilvl="0" w:tplc="10000017">
      <w:start w:val="1"/>
      <w:numFmt w:val="lowerLetter"/>
      <w:lvlText w:val="%1)"/>
      <w:lvlJc w:val="left"/>
      <w:pPr>
        <w:ind w:left="774" w:hanging="360"/>
      </w:pPr>
    </w:lvl>
    <w:lvl w:ilvl="1" w:tplc="10000019" w:tentative="1">
      <w:start w:val="1"/>
      <w:numFmt w:val="lowerLetter"/>
      <w:lvlText w:val="%2."/>
      <w:lvlJc w:val="left"/>
      <w:pPr>
        <w:ind w:left="1494" w:hanging="360"/>
      </w:pPr>
    </w:lvl>
    <w:lvl w:ilvl="2" w:tplc="1000001B" w:tentative="1">
      <w:start w:val="1"/>
      <w:numFmt w:val="lowerRoman"/>
      <w:lvlText w:val="%3."/>
      <w:lvlJc w:val="right"/>
      <w:pPr>
        <w:ind w:left="2214" w:hanging="180"/>
      </w:pPr>
    </w:lvl>
    <w:lvl w:ilvl="3" w:tplc="1000000F" w:tentative="1">
      <w:start w:val="1"/>
      <w:numFmt w:val="decimal"/>
      <w:lvlText w:val="%4."/>
      <w:lvlJc w:val="left"/>
      <w:pPr>
        <w:ind w:left="2934" w:hanging="360"/>
      </w:pPr>
    </w:lvl>
    <w:lvl w:ilvl="4" w:tplc="10000019" w:tentative="1">
      <w:start w:val="1"/>
      <w:numFmt w:val="lowerLetter"/>
      <w:lvlText w:val="%5."/>
      <w:lvlJc w:val="left"/>
      <w:pPr>
        <w:ind w:left="3654" w:hanging="360"/>
      </w:pPr>
    </w:lvl>
    <w:lvl w:ilvl="5" w:tplc="1000001B" w:tentative="1">
      <w:start w:val="1"/>
      <w:numFmt w:val="lowerRoman"/>
      <w:lvlText w:val="%6."/>
      <w:lvlJc w:val="right"/>
      <w:pPr>
        <w:ind w:left="4374" w:hanging="180"/>
      </w:pPr>
    </w:lvl>
    <w:lvl w:ilvl="6" w:tplc="1000000F" w:tentative="1">
      <w:start w:val="1"/>
      <w:numFmt w:val="decimal"/>
      <w:lvlText w:val="%7."/>
      <w:lvlJc w:val="left"/>
      <w:pPr>
        <w:ind w:left="5094" w:hanging="360"/>
      </w:pPr>
    </w:lvl>
    <w:lvl w:ilvl="7" w:tplc="10000019" w:tentative="1">
      <w:start w:val="1"/>
      <w:numFmt w:val="lowerLetter"/>
      <w:lvlText w:val="%8."/>
      <w:lvlJc w:val="left"/>
      <w:pPr>
        <w:ind w:left="5814" w:hanging="360"/>
      </w:pPr>
    </w:lvl>
    <w:lvl w:ilvl="8" w:tplc="1000001B" w:tentative="1">
      <w:start w:val="1"/>
      <w:numFmt w:val="lowerRoman"/>
      <w:lvlText w:val="%9."/>
      <w:lvlJc w:val="right"/>
      <w:pPr>
        <w:ind w:left="6534" w:hanging="180"/>
      </w:pPr>
    </w:lvl>
  </w:abstractNum>
  <w:abstractNum w:abstractNumId="8"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77296C"/>
    <w:multiLevelType w:val="hybridMultilevel"/>
    <w:tmpl w:val="B2F29798"/>
    <w:lvl w:ilvl="0" w:tplc="C51A1EE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1"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15539"/>
    <w:multiLevelType w:val="hybridMultilevel"/>
    <w:tmpl w:val="8B42DC54"/>
    <w:lvl w:ilvl="0" w:tplc="F558BD6C">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4"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5"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6D8671AB"/>
    <w:multiLevelType w:val="hybridMultilevel"/>
    <w:tmpl w:val="AFF4CA9A"/>
    <w:lvl w:ilvl="0" w:tplc="18221194">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9"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334DB"/>
    <w:multiLevelType w:val="hybridMultilevel"/>
    <w:tmpl w:val="4C12A79C"/>
    <w:lvl w:ilvl="0" w:tplc="FFFFFFFF">
      <w:start w:val="1"/>
      <w:numFmt w:val="lowerLetter"/>
      <w:lvlText w:val="%1)"/>
      <w:lvlJc w:val="left"/>
      <w:pPr>
        <w:ind w:left="1154" w:hanging="360"/>
      </w:pPr>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21" w15:restartNumberingAfterBreak="0">
    <w:nsid w:val="78C31574"/>
    <w:multiLevelType w:val="hybridMultilevel"/>
    <w:tmpl w:val="C4C8B236"/>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16cid:durableId="2051882461">
    <w:abstractNumId w:val="12"/>
  </w:num>
  <w:num w:numId="2" w16cid:durableId="964459839">
    <w:abstractNumId w:val="19"/>
  </w:num>
  <w:num w:numId="3" w16cid:durableId="1187406991">
    <w:abstractNumId w:val="4"/>
  </w:num>
  <w:num w:numId="4" w16cid:durableId="1552964646">
    <w:abstractNumId w:val="10"/>
  </w:num>
  <w:num w:numId="5" w16cid:durableId="1668751723">
    <w:abstractNumId w:val="3"/>
  </w:num>
  <w:num w:numId="6" w16cid:durableId="269526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080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21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1270786">
    <w:abstractNumId w:val="14"/>
  </w:num>
  <w:num w:numId="10" w16cid:durableId="746532556">
    <w:abstractNumId w:val="15"/>
  </w:num>
  <w:num w:numId="11" w16cid:durableId="375472755">
    <w:abstractNumId w:val="4"/>
    <w:lvlOverride w:ilvl="0">
      <w:startOverride w:val="1"/>
    </w:lvlOverride>
  </w:num>
  <w:num w:numId="12" w16cid:durableId="962728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980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137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7904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4793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965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5576250">
    <w:abstractNumId w:val="17"/>
  </w:num>
  <w:num w:numId="19" w16cid:durableId="502820670">
    <w:abstractNumId w:val="9"/>
  </w:num>
  <w:num w:numId="20" w16cid:durableId="823354761">
    <w:abstractNumId w:val="2"/>
  </w:num>
  <w:num w:numId="21" w16cid:durableId="2016766399">
    <w:abstractNumId w:val="20"/>
  </w:num>
  <w:num w:numId="22" w16cid:durableId="1471362528">
    <w:abstractNumId w:val="18"/>
  </w:num>
  <w:num w:numId="23" w16cid:durableId="2049602417">
    <w:abstractNumId w:val="13"/>
  </w:num>
  <w:num w:numId="24" w16cid:durableId="669329913">
    <w:abstractNumId w:val="21"/>
  </w:num>
  <w:num w:numId="25" w16cid:durableId="1184633186">
    <w:abstractNumId w:val="0"/>
  </w:num>
  <w:num w:numId="26" w16cid:durableId="688604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zMLMwMjO3MDNQ0lEKTi0uzszPAykwrAUAkLKWCywAAAA="/>
  </w:docVars>
  <w:rsids>
    <w:rsidRoot w:val="002E0DE9"/>
    <w:rsid w:val="000034B2"/>
    <w:rsid w:val="00005EBD"/>
    <w:rsid w:val="00010E38"/>
    <w:rsid w:val="0001212C"/>
    <w:rsid w:val="000172CD"/>
    <w:rsid w:val="0002274A"/>
    <w:rsid w:val="00025845"/>
    <w:rsid w:val="00031E8B"/>
    <w:rsid w:val="00032864"/>
    <w:rsid w:val="00032C49"/>
    <w:rsid w:val="00037CBD"/>
    <w:rsid w:val="000411DB"/>
    <w:rsid w:val="00042F71"/>
    <w:rsid w:val="00050B10"/>
    <w:rsid w:val="00050CA1"/>
    <w:rsid w:val="00053D27"/>
    <w:rsid w:val="0005403B"/>
    <w:rsid w:val="000552F7"/>
    <w:rsid w:val="00064704"/>
    <w:rsid w:val="0006629E"/>
    <w:rsid w:val="0007131F"/>
    <w:rsid w:val="00072DDE"/>
    <w:rsid w:val="00080387"/>
    <w:rsid w:val="00080BEA"/>
    <w:rsid w:val="000815F8"/>
    <w:rsid w:val="00095FB0"/>
    <w:rsid w:val="00096D8C"/>
    <w:rsid w:val="00096E55"/>
    <w:rsid w:val="00097CA4"/>
    <w:rsid w:val="000B2C91"/>
    <w:rsid w:val="000B380F"/>
    <w:rsid w:val="000C2721"/>
    <w:rsid w:val="000C349E"/>
    <w:rsid w:val="000D045C"/>
    <w:rsid w:val="000D318F"/>
    <w:rsid w:val="000D4281"/>
    <w:rsid w:val="000D785A"/>
    <w:rsid w:val="000E052A"/>
    <w:rsid w:val="000E229F"/>
    <w:rsid w:val="000E2A0E"/>
    <w:rsid w:val="000E4374"/>
    <w:rsid w:val="000E788E"/>
    <w:rsid w:val="000F026A"/>
    <w:rsid w:val="000F0AD9"/>
    <w:rsid w:val="001068E1"/>
    <w:rsid w:val="001123DB"/>
    <w:rsid w:val="00115E68"/>
    <w:rsid w:val="00120701"/>
    <w:rsid w:val="00141859"/>
    <w:rsid w:val="00147933"/>
    <w:rsid w:val="00155197"/>
    <w:rsid w:val="00155FD6"/>
    <w:rsid w:val="00171815"/>
    <w:rsid w:val="0017266D"/>
    <w:rsid w:val="00175C6E"/>
    <w:rsid w:val="00187607"/>
    <w:rsid w:val="001922C0"/>
    <w:rsid w:val="001A2ED9"/>
    <w:rsid w:val="001A4508"/>
    <w:rsid w:val="001B0C62"/>
    <w:rsid w:val="001C1790"/>
    <w:rsid w:val="001C59FD"/>
    <w:rsid w:val="001C6948"/>
    <w:rsid w:val="001D10E7"/>
    <w:rsid w:val="001D526B"/>
    <w:rsid w:val="001D69E5"/>
    <w:rsid w:val="001E0F67"/>
    <w:rsid w:val="001E6F3E"/>
    <w:rsid w:val="001F10D5"/>
    <w:rsid w:val="001F2CA4"/>
    <w:rsid w:val="001F3903"/>
    <w:rsid w:val="00200821"/>
    <w:rsid w:val="00201DFA"/>
    <w:rsid w:val="00210459"/>
    <w:rsid w:val="002118CF"/>
    <w:rsid w:val="002145CE"/>
    <w:rsid w:val="00215782"/>
    <w:rsid w:val="00233B2D"/>
    <w:rsid w:val="00240F90"/>
    <w:rsid w:val="00241B36"/>
    <w:rsid w:val="002456C3"/>
    <w:rsid w:val="00257F00"/>
    <w:rsid w:val="0026456B"/>
    <w:rsid w:val="00264C4B"/>
    <w:rsid w:val="00264F93"/>
    <w:rsid w:val="00267156"/>
    <w:rsid w:val="00267551"/>
    <w:rsid w:val="00273B6E"/>
    <w:rsid w:val="0027617B"/>
    <w:rsid w:val="00281B9F"/>
    <w:rsid w:val="00285F92"/>
    <w:rsid w:val="00293EF2"/>
    <w:rsid w:val="002954CF"/>
    <w:rsid w:val="002973D3"/>
    <w:rsid w:val="002A012C"/>
    <w:rsid w:val="002A178B"/>
    <w:rsid w:val="002B11B4"/>
    <w:rsid w:val="002B1DDF"/>
    <w:rsid w:val="002C49EB"/>
    <w:rsid w:val="002C6BD6"/>
    <w:rsid w:val="002C6FF6"/>
    <w:rsid w:val="002D2755"/>
    <w:rsid w:val="002D3BF5"/>
    <w:rsid w:val="002D3D1C"/>
    <w:rsid w:val="002D6582"/>
    <w:rsid w:val="002E0DE9"/>
    <w:rsid w:val="002F2A93"/>
    <w:rsid w:val="00310B43"/>
    <w:rsid w:val="003140F0"/>
    <w:rsid w:val="003209CB"/>
    <w:rsid w:val="00322248"/>
    <w:rsid w:val="00323FFF"/>
    <w:rsid w:val="00324E3F"/>
    <w:rsid w:val="00332BD7"/>
    <w:rsid w:val="00335E07"/>
    <w:rsid w:val="00360838"/>
    <w:rsid w:val="003629AA"/>
    <w:rsid w:val="00371DE1"/>
    <w:rsid w:val="00372F3E"/>
    <w:rsid w:val="0037384B"/>
    <w:rsid w:val="00377847"/>
    <w:rsid w:val="00383651"/>
    <w:rsid w:val="00392513"/>
    <w:rsid w:val="00396118"/>
    <w:rsid w:val="0039645D"/>
    <w:rsid w:val="00397342"/>
    <w:rsid w:val="003A10D2"/>
    <w:rsid w:val="003A2660"/>
    <w:rsid w:val="003B2E96"/>
    <w:rsid w:val="003B608F"/>
    <w:rsid w:val="003B62DE"/>
    <w:rsid w:val="003B7E71"/>
    <w:rsid w:val="003C1B2A"/>
    <w:rsid w:val="003D6072"/>
    <w:rsid w:val="003E0665"/>
    <w:rsid w:val="003E0F1E"/>
    <w:rsid w:val="003E4E97"/>
    <w:rsid w:val="003F0B0F"/>
    <w:rsid w:val="003F4A60"/>
    <w:rsid w:val="003F4FF8"/>
    <w:rsid w:val="00413342"/>
    <w:rsid w:val="004155CD"/>
    <w:rsid w:val="00422DE4"/>
    <w:rsid w:val="00425853"/>
    <w:rsid w:val="00432F0B"/>
    <w:rsid w:val="00461356"/>
    <w:rsid w:val="00466D4A"/>
    <w:rsid w:val="004728AD"/>
    <w:rsid w:val="0048118D"/>
    <w:rsid w:val="00484246"/>
    <w:rsid w:val="00492368"/>
    <w:rsid w:val="00492C34"/>
    <w:rsid w:val="00494E65"/>
    <w:rsid w:val="004A0249"/>
    <w:rsid w:val="004A29E8"/>
    <w:rsid w:val="004A3D62"/>
    <w:rsid w:val="004B279B"/>
    <w:rsid w:val="004B2E83"/>
    <w:rsid w:val="004B7071"/>
    <w:rsid w:val="004C52E0"/>
    <w:rsid w:val="004C6104"/>
    <w:rsid w:val="004C6DAD"/>
    <w:rsid w:val="004D12BB"/>
    <w:rsid w:val="004D1914"/>
    <w:rsid w:val="004D3D30"/>
    <w:rsid w:val="004D415F"/>
    <w:rsid w:val="004E2264"/>
    <w:rsid w:val="004F2AB3"/>
    <w:rsid w:val="004F3FAD"/>
    <w:rsid w:val="005013CE"/>
    <w:rsid w:val="00501EDF"/>
    <w:rsid w:val="005104FA"/>
    <w:rsid w:val="00516AB6"/>
    <w:rsid w:val="0051766A"/>
    <w:rsid w:val="005330F7"/>
    <w:rsid w:val="005342EB"/>
    <w:rsid w:val="00540656"/>
    <w:rsid w:val="005441E5"/>
    <w:rsid w:val="00552AD3"/>
    <w:rsid w:val="00553D11"/>
    <w:rsid w:val="0055622E"/>
    <w:rsid w:val="00556349"/>
    <w:rsid w:val="00556E09"/>
    <w:rsid w:val="00562153"/>
    <w:rsid w:val="00562A3C"/>
    <w:rsid w:val="00563598"/>
    <w:rsid w:val="00570F49"/>
    <w:rsid w:val="00576575"/>
    <w:rsid w:val="0057673D"/>
    <w:rsid w:val="00584C11"/>
    <w:rsid w:val="005A2951"/>
    <w:rsid w:val="005A3A10"/>
    <w:rsid w:val="005B15D5"/>
    <w:rsid w:val="005B5EBA"/>
    <w:rsid w:val="005B6E52"/>
    <w:rsid w:val="005B72AB"/>
    <w:rsid w:val="005C7E1A"/>
    <w:rsid w:val="005D06A2"/>
    <w:rsid w:val="005D488F"/>
    <w:rsid w:val="005D4CAB"/>
    <w:rsid w:val="005E64DD"/>
    <w:rsid w:val="005F7EA5"/>
    <w:rsid w:val="006037E1"/>
    <w:rsid w:val="00603826"/>
    <w:rsid w:val="006100C4"/>
    <w:rsid w:val="006239A0"/>
    <w:rsid w:val="0063026B"/>
    <w:rsid w:val="00631B33"/>
    <w:rsid w:val="0063279B"/>
    <w:rsid w:val="006361B1"/>
    <w:rsid w:val="00645B35"/>
    <w:rsid w:val="00646D15"/>
    <w:rsid w:val="00652364"/>
    <w:rsid w:val="00660885"/>
    <w:rsid w:val="00661875"/>
    <w:rsid w:val="0066571E"/>
    <w:rsid w:val="006671A3"/>
    <w:rsid w:val="0067351A"/>
    <w:rsid w:val="00686749"/>
    <w:rsid w:val="00695AAD"/>
    <w:rsid w:val="00696DB9"/>
    <w:rsid w:val="0069797E"/>
    <w:rsid w:val="006A354F"/>
    <w:rsid w:val="006A6B50"/>
    <w:rsid w:val="006B2652"/>
    <w:rsid w:val="006B5610"/>
    <w:rsid w:val="006B5903"/>
    <w:rsid w:val="006D1635"/>
    <w:rsid w:val="006D713B"/>
    <w:rsid w:val="006E3B8C"/>
    <w:rsid w:val="006E4B7D"/>
    <w:rsid w:val="006E51C8"/>
    <w:rsid w:val="006F1523"/>
    <w:rsid w:val="006F1960"/>
    <w:rsid w:val="006F209D"/>
    <w:rsid w:val="00701DE1"/>
    <w:rsid w:val="00707192"/>
    <w:rsid w:val="007109AF"/>
    <w:rsid w:val="00711296"/>
    <w:rsid w:val="00711A29"/>
    <w:rsid w:val="00715FB6"/>
    <w:rsid w:val="00721B0C"/>
    <w:rsid w:val="007245CD"/>
    <w:rsid w:val="007246FF"/>
    <w:rsid w:val="0073015A"/>
    <w:rsid w:val="00733ABB"/>
    <w:rsid w:val="007428E7"/>
    <w:rsid w:val="00743E7C"/>
    <w:rsid w:val="00743FC2"/>
    <w:rsid w:val="007572E4"/>
    <w:rsid w:val="00761E80"/>
    <w:rsid w:val="00763467"/>
    <w:rsid w:val="007951AB"/>
    <w:rsid w:val="0079526A"/>
    <w:rsid w:val="007953E9"/>
    <w:rsid w:val="00797DF3"/>
    <w:rsid w:val="007A44C6"/>
    <w:rsid w:val="007B52D9"/>
    <w:rsid w:val="007C1614"/>
    <w:rsid w:val="007C304E"/>
    <w:rsid w:val="007C35FE"/>
    <w:rsid w:val="007C4ED6"/>
    <w:rsid w:val="007C666D"/>
    <w:rsid w:val="007D0139"/>
    <w:rsid w:val="007D1EA2"/>
    <w:rsid w:val="007D52DB"/>
    <w:rsid w:val="007D5DD1"/>
    <w:rsid w:val="007D77D9"/>
    <w:rsid w:val="007E4F59"/>
    <w:rsid w:val="007E58DF"/>
    <w:rsid w:val="007E641E"/>
    <w:rsid w:val="007F44BD"/>
    <w:rsid w:val="007F4775"/>
    <w:rsid w:val="00803CE1"/>
    <w:rsid w:val="00806CD3"/>
    <w:rsid w:val="00814DD2"/>
    <w:rsid w:val="008156DF"/>
    <w:rsid w:val="00815A1E"/>
    <w:rsid w:val="00820D6B"/>
    <w:rsid w:val="008226C3"/>
    <w:rsid w:val="00826C65"/>
    <w:rsid w:val="00831DC2"/>
    <w:rsid w:val="00833781"/>
    <w:rsid w:val="00835006"/>
    <w:rsid w:val="00836DEE"/>
    <w:rsid w:val="0084195A"/>
    <w:rsid w:val="00845083"/>
    <w:rsid w:val="008469CD"/>
    <w:rsid w:val="00862A46"/>
    <w:rsid w:val="00873459"/>
    <w:rsid w:val="008752D6"/>
    <w:rsid w:val="00877F0A"/>
    <w:rsid w:val="00882CB3"/>
    <w:rsid w:val="00887A35"/>
    <w:rsid w:val="008955DC"/>
    <w:rsid w:val="00895E8B"/>
    <w:rsid w:val="008B0AC3"/>
    <w:rsid w:val="008B1154"/>
    <w:rsid w:val="008B1B57"/>
    <w:rsid w:val="008B6387"/>
    <w:rsid w:val="008C26EB"/>
    <w:rsid w:val="008C3546"/>
    <w:rsid w:val="008C39BA"/>
    <w:rsid w:val="008D0753"/>
    <w:rsid w:val="008D66E6"/>
    <w:rsid w:val="008E40B9"/>
    <w:rsid w:val="0090477C"/>
    <w:rsid w:val="00904EA8"/>
    <w:rsid w:val="0090727B"/>
    <w:rsid w:val="00907CBD"/>
    <w:rsid w:val="0091470C"/>
    <w:rsid w:val="00917922"/>
    <w:rsid w:val="0092302C"/>
    <w:rsid w:val="0092353B"/>
    <w:rsid w:val="00925551"/>
    <w:rsid w:val="00934817"/>
    <w:rsid w:val="00935A01"/>
    <w:rsid w:val="00943021"/>
    <w:rsid w:val="00945AD8"/>
    <w:rsid w:val="00947FE4"/>
    <w:rsid w:val="00950AC9"/>
    <w:rsid w:val="009724C9"/>
    <w:rsid w:val="009743E0"/>
    <w:rsid w:val="00974C2E"/>
    <w:rsid w:val="009826D5"/>
    <w:rsid w:val="0098492F"/>
    <w:rsid w:val="00993D37"/>
    <w:rsid w:val="00996F5D"/>
    <w:rsid w:val="009A1489"/>
    <w:rsid w:val="009B4731"/>
    <w:rsid w:val="009B4781"/>
    <w:rsid w:val="009C1079"/>
    <w:rsid w:val="009C1C9F"/>
    <w:rsid w:val="009C313D"/>
    <w:rsid w:val="009D558A"/>
    <w:rsid w:val="009E685B"/>
    <w:rsid w:val="009F2C2F"/>
    <w:rsid w:val="009F5895"/>
    <w:rsid w:val="009F6F9F"/>
    <w:rsid w:val="00A03A61"/>
    <w:rsid w:val="00A03D0C"/>
    <w:rsid w:val="00A0577A"/>
    <w:rsid w:val="00A113D6"/>
    <w:rsid w:val="00A128BC"/>
    <w:rsid w:val="00A16FE6"/>
    <w:rsid w:val="00A22058"/>
    <w:rsid w:val="00A2239B"/>
    <w:rsid w:val="00A25D48"/>
    <w:rsid w:val="00A25EB6"/>
    <w:rsid w:val="00A34291"/>
    <w:rsid w:val="00A45EB2"/>
    <w:rsid w:val="00A61D3A"/>
    <w:rsid w:val="00A66A56"/>
    <w:rsid w:val="00A678C8"/>
    <w:rsid w:val="00A719CB"/>
    <w:rsid w:val="00A8341C"/>
    <w:rsid w:val="00A836DB"/>
    <w:rsid w:val="00A839BA"/>
    <w:rsid w:val="00A85516"/>
    <w:rsid w:val="00A94DFE"/>
    <w:rsid w:val="00AA26FC"/>
    <w:rsid w:val="00AA61B1"/>
    <w:rsid w:val="00AA7D4A"/>
    <w:rsid w:val="00AC4C47"/>
    <w:rsid w:val="00AD2B69"/>
    <w:rsid w:val="00AD5A94"/>
    <w:rsid w:val="00AE3539"/>
    <w:rsid w:val="00AE3F5D"/>
    <w:rsid w:val="00AE4058"/>
    <w:rsid w:val="00AE528C"/>
    <w:rsid w:val="00AE67EB"/>
    <w:rsid w:val="00AE6D3C"/>
    <w:rsid w:val="00AE7CDB"/>
    <w:rsid w:val="00AF06C8"/>
    <w:rsid w:val="00AF33FF"/>
    <w:rsid w:val="00AF4D22"/>
    <w:rsid w:val="00AF4E9A"/>
    <w:rsid w:val="00B15664"/>
    <w:rsid w:val="00B213E5"/>
    <w:rsid w:val="00B34ED9"/>
    <w:rsid w:val="00B34F60"/>
    <w:rsid w:val="00B407B5"/>
    <w:rsid w:val="00B46A40"/>
    <w:rsid w:val="00B52751"/>
    <w:rsid w:val="00B57989"/>
    <w:rsid w:val="00B57E93"/>
    <w:rsid w:val="00B65DE5"/>
    <w:rsid w:val="00B80E16"/>
    <w:rsid w:val="00B82707"/>
    <w:rsid w:val="00B86408"/>
    <w:rsid w:val="00B952D1"/>
    <w:rsid w:val="00B97B5C"/>
    <w:rsid w:val="00BB0A48"/>
    <w:rsid w:val="00BB214E"/>
    <w:rsid w:val="00BB2683"/>
    <w:rsid w:val="00BC0A8F"/>
    <w:rsid w:val="00BC575D"/>
    <w:rsid w:val="00BC6606"/>
    <w:rsid w:val="00BD05CB"/>
    <w:rsid w:val="00BE0EA7"/>
    <w:rsid w:val="00C10BFA"/>
    <w:rsid w:val="00C12D5B"/>
    <w:rsid w:val="00C15318"/>
    <w:rsid w:val="00C15971"/>
    <w:rsid w:val="00C16D1E"/>
    <w:rsid w:val="00C2025E"/>
    <w:rsid w:val="00C2246F"/>
    <w:rsid w:val="00C2719B"/>
    <w:rsid w:val="00C27844"/>
    <w:rsid w:val="00C3469C"/>
    <w:rsid w:val="00C35A74"/>
    <w:rsid w:val="00C42C5E"/>
    <w:rsid w:val="00C53176"/>
    <w:rsid w:val="00C53972"/>
    <w:rsid w:val="00C53C53"/>
    <w:rsid w:val="00C54985"/>
    <w:rsid w:val="00C84A21"/>
    <w:rsid w:val="00C87871"/>
    <w:rsid w:val="00C92714"/>
    <w:rsid w:val="00C94751"/>
    <w:rsid w:val="00C962D4"/>
    <w:rsid w:val="00CA1F67"/>
    <w:rsid w:val="00CA44D1"/>
    <w:rsid w:val="00CA7268"/>
    <w:rsid w:val="00CA7802"/>
    <w:rsid w:val="00CB50BB"/>
    <w:rsid w:val="00CB603C"/>
    <w:rsid w:val="00CC1443"/>
    <w:rsid w:val="00CC2C21"/>
    <w:rsid w:val="00CC4EB5"/>
    <w:rsid w:val="00CD055E"/>
    <w:rsid w:val="00CD3F7C"/>
    <w:rsid w:val="00CD4924"/>
    <w:rsid w:val="00CD7007"/>
    <w:rsid w:val="00CE0D90"/>
    <w:rsid w:val="00CE1324"/>
    <w:rsid w:val="00CE35F0"/>
    <w:rsid w:val="00CF6CA9"/>
    <w:rsid w:val="00CF759D"/>
    <w:rsid w:val="00CF7978"/>
    <w:rsid w:val="00D03668"/>
    <w:rsid w:val="00D14760"/>
    <w:rsid w:val="00D15415"/>
    <w:rsid w:val="00D15CC9"/>
    <w:rsid w:val="00D16427"/>
    <w:rsid w:val="00D204CA"/>
    <w:rsid w:val="00D231BD"/>
    <w:rsid w:val="00D23A70"/>
    <w:rsid w:val="00D269B7"/>
    <w:rsid w:val="00D32661"/>
    <w:rsid w:val="00D32BE3"/>
    <w:rsid w:val="00D42D8C"/>
    <w:rsid w:val="00D537E4"/>
    <w:rsid w:val="00D63611"/>
    <w:rsid w:val="00D64094"/>
    <w:rsid w:val="00D8003B"/>
    <w:rsid w:val="00D81BA9"/>
    <w:rsid w:val="00D95D0C"/>
    <w:rsid w:val="00D95E08"/>
    <w:rsid w:val="00DA022D"/>
    <w:rsid w:val="00DA20C8"/>
    <w:rsid w:val="00DA728E"/>
    <w:rsid w:val="00DB58A4"/>
    <w:rsid w:val="00DB6DB6"/>
    <w:rsid w:val="00DC0942"/>
    <w:rsid w:val="00DC0CEF"/>
    <w:rsid w:val="00DC3C83"/>
    <w:rsid w:val="00DD07FD"/>
    <w:rsid w:val="00DD3E44"/>
    <w:rsid w:val="00DE1D2E"/>
    <w:rsid w:val="00DE30DA"/>
    <w:rsid w:val="00DE3B3F"/>
    <w:rsid w:val="00DF3BE9"/>
    <w:rsid w:val="00E00F18"/>
    <w:rsid w:val="00E16BDD"/>
    <w:rsid w:val="00E21E34"/>
    <w:rsid w:val="00E234BF"/>
    <w:rsid w:val="00E3100F"/>
    <w:rsid w:val="00E37263"/>
    <w:rsid w:val="00E40B70"/>
    <w:rsid w:val="00E4266D"/>
    <w:rsid w:val="00E5039B"/>
    <w:rsid w:val="00E53213"/>
    <w:rsid w:val="00E54124"/>
    <w:rsid w:val="00E55105"/>
    <w:rsid w:val="00E55D0D"/>
    <w:rsid w:val="00E57A02"/>
    <w:rsid w:val="00E6282A"/>
    <w:rsid w:val="00E64793"/>
    <w:rsid w:val="00E65E79"/>
    <w:rsid w:val="00E71F4E"/>
    <w:rsid w:val="00E73C41"/>
    <w:rsid w:val="00E7489B"/>
    <w:rsid w:val="00E77DC5"/>
    <w:rsid w:val="00E81089"/>
    <w:rsid w:val="00E84768"/>
    <w:rsid w:val="00E85F83"/>
    <w:rsid w:val="00E9136A"/>
    <w:rsid w:val="00E94029"/>
    <w:rsid w:val="00EA1C5C"/>
    <w:rsid w:val="00EA5CBB"/>
    <w:rsid w:val="00EA6929"/>
    <w:rsid w:val="00EC4F04"/>
    <w:rsid w:val="00EC57C9"/>
    <w:rsid w:val="00EC6EE1"/>
    <w:rsid w:val="00EE350D"/>
    <w:rsid w:val="00EE6ADB"/>
    <w:rsid w:val="00EE7D9B"/>
    <w:rsid w:val="00EF18FF"/>
    <w:rsid w:val="00EF4456"/>
    <w:rsid w:val="00EF7ADB"/>
    <w:rsid w:val="00F02F6D"/>
    <w:rsid w:val="00F04761"/>
    <w:rsid w:val="00F0494D"/>
    <w:rsid w:val="00F061FF"/>
    <w:rsid w:val="00F118AA"/>
    <w:rsid w:val="00F11A7A"/>
    <w:rsid w:val="00F234E4"/>
    <w:rsid w:val="00F25E58"/>
    <w:rsid w:val="00F25E90"/>
    <w:rsid w:val="00F30A77"/>
    <w:rsid w:val="00F345B1"/>
    <w:rsid w:val="00F36EF2"/>
    <w:rsid w:val="00F43493"/>
    <w:rsid w:val="00F464AB"/>
    <w:rsid w:val="00F67D6C"/>
    <w:rsid w:val="00F71D26"/>
    <w:rsid w:val="00F75F01"/>
    <w:rsid w:val="00F81B4A"/>
    <w:rsid w:val="00F937B1"/>
    <w:rsid w:val="00F963D5"/>
    <w:rsid w:val="00FA096D"/>
    <w:rsid w:val="00FA1E72"/>
    <w:rsid w:val="00FA76FC"/>
    <w:rsid w:val="00FB7CAA"/>
    <w:rsid w:val="00FC1295"/>
    <w:rsid w:val="00FC1350"/>
    <w:rsid w:val="00FD7994"/>
    <w:rsid w:val="00FE00E5"/>
    <w:rsid w:val="00FE08A1"/>
    <w:rsid w:val="00FF4926"/>
    <w:rsid w:val="00FF4F80"/>
    <w:rsid w:val="00FF564D"/>
    <w:rsid w:val="00FF72DB"/>
    <w:rsid w:val="42274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BBF097E2-C79C-4B59-A6F3-B4E2746B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CA726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D03668"/>
    <w:rPr>
      <w:color w:val="0563C1" w:themeColor="hyperlink"/>
      <w:u w:val="single"/>
    </w:rPr>
  </w:style>
  <w:style w:type="character" w:styleId="UnresolvedMention">
    <w:name w:val="Unresolved Mention"/>
    <w:basedOn w:val="DefaultParagraphFont"/>
    <w:uiPriority w:val="99"/>
    <w:semiHidden/>
    <w:unhideWhenUsed/>
    <w:rsid w:val="00D03668"/>
    <w:rPr>
      <w:color w:val="605E5C"/>
      <w:shd w:val="clear" w:color="auto" w:fill="E1DFDD"/>
    </w:rPr>
  </w:style>
  <w:style w:type="character" w:styleId="CommentReference">
    <w:name w:val="annotation reference"/>
    <w:basedOn w:val="DefaultParagraphFont"/>
    <w:uiPriority w:val="99"/>
    <w:semiHidden/>
    <w:unhideWhenUsed/>
    <w:rsid w:val="00A25EB6"/>
    <w:rPr>
      <w:sz w:val="16"/>
      <w:szCs w:val="16"/>
    </w:rPr>
  </w:style>
  <w:style w:type="paragraph" w:styleId="CommentText">
    <w:name w:val="annotation text"/>
    <w:basedOn w:val="Normal"/>
    <w:link w:val="CommentTextChar"/>
    <w:uiPriority w:val="99"/>
    <w:unhideWhenUsed/>
    <w:rsid w:val="00A25EB6"/>
    <w:pPr>
      <w:spacing w:line="240" w:lineRule="auto"/>
    </w:pPr>
    <w:rPr>
      <w:sz w:val="20"/>
      <w:szCs w:val="20"/>
    </w:rPr>
  </w:style>
  <w:style w:type="character" w:customStyle="1" w:styleId="CommentTextChar">
    <w:name w:val="Comment Text Char"/>
    <w:basedOn w:val="DefaultParagraphFont"/>
    <w:link w:val="CommentText"/>
    <w:uiPriority w:val="99"/>
    <w:rsid w:val="00A25EB6"/>
    <w:rPr>
      <w:sz w:val="20"/>
      <w:szCs w:val="20"/>
      <w:lang w:val="en-GB"/>
    </w:rPr>
  </w:style>
  <w:style w:type="paragraph" w:styleId="CommentSubject">
    <w:name w:val="annotation subject"/>
    <w:basedOn w:val="CommentText"/>
    <w:next w:val="CommentText"/>
    <w:link w:val="CommentSubjectChar"/>
    <w:uiPriority w:val="99"/>
    <w:semiHidden/>
    <w:unhideWhenUsed/>
    <w:rsid w:val="00A25EB6"/>
    <w:rPr>
      <w:b/>
      <w:bCs/>
    </w:rPr>
  </w:style>
  <w:style w:type="character" w:customStyle="1" w:styleId="CommentSubjectChar">
    <w:name w:val="Comment Subject Char"/>
    <w:basedOn w:val="CommentTextChar"/>
    <w:link w:val="CommentSubject"/>
    <w:uiPriority w:val="99"/>
    <w:semiHidden/>
    <w:rsid w:val="00A25EB6"/>
    <w:rPr>
      <w:b/>
      <w:bCs/>
      <w:sz w:val="20"/>
      <w:szCs w:val="20"/>
      <w:lang w:val="en-GB"/>
    </w:rPr>
  </w:style>
  <w:style w:type="character" w:styleId="FollowedHyperlink">
    <w:name w:val="FollowedHyperlink"/>
    <w:basedOn w:val="DefaultParagraphFont"/>
    <w:uiPriority w:val="99"/>
    <w:semiHidden/>
    <w:unhideWhenUsed/>
    <w:rsid w:val="00645B35"/>
    <w:rPr>
      <w:color w:val="954F72" w:themeColor="followedHyperlink"/>
      <w:u w:val="single"/>
    </w:rPr>
  </w:style>
  <w:style w:type="character" w:styleId="Mention">
    <w:name w:val="Mention"/>
    <w:basedOn w:val="DefaultParagraphFont"/>
    <w:uiPriority w:val="99"/>
    <w:unhideWhenUsed/>
    <w:rsid w:val="006E4B7D"/>
    <w:rPr>
      <w:color w:val="2B579A"/>
      <w:shd w:val="clear" w:color="auto" w:fill="E1DFDD"/>
    </w:rPr>
  </w:style>
  <w:style w:type="character" w:customStyle="1" w:styleId="Heading3Char">
    <w:name w:val="Heading 3 Char"/>
    <w:basedOn w:val="DefaultParagraphFont"/>
    <w:link w:val="Heading3"/>
    <w:uiPriority w:val="9"/>
    <w:rsid w:val="00CA7268"/>
    <w:rPr>
      <w:rFonts w:ascii="Times New Roman" w:eastAsia="Times New Roman" w:hAnsi="Times New Roman" w:cs="Times New Roman"/>
      <w:b/>
      <w:bCs/>
      <w:sz w:val="27"/>
      <w:szCs w:val="27"/>
    </w:rPr>
  </w:style>
  <w:style w:type="character" w:styleId="Strong">
    <w:name w:val="Strong"/>
    <w:basedOn w:val="DefaultParagraphFont"/>
    <w:uiPriority w:val="22"/>
    <w:qFormat/>
    <w:rsid w:val="00CA7268"/>
    <w:rPr>
      <w:b/>
      <w:bCs/>
    </w:rPr>
  </w:style>
  <w:style w:type="character" w:customStyle="1" w:styleId="field-content">
    <w:name w:val="field-content"/>
    <w:basedOn w:val="DefaultParagraphFont"/>
    <w:rsid w:val="00CA7268"/>
  </w:style>
  <w:style w:type="paragraph" w:styleId="NormalWeb">
    <w:name w:val="Normal (Web)"/>
    <w:basedOn w:val="Normal"/>
    <w:uiPriority w:val="99"/>
    <w:semiHidden/>
    <w:unhideWhenUsed/>
    <w:rsid w:val="00CA72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f0">
    <w:name w:val="pf0"/>
    <w:basedOn w:val="Normal"/>
    <w:rsid w:val="00332B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32BD7"/>
    <w:rPr>
      <w:rFonts w:ascii="Segoe UI" w:hAnsi="Segoe UI" w:cs="Segoe UI" w:hint="default"/>
      <w:sz w:val="18"/>
      <w:szCs w:val="18"/>
    </w:rPr>
  </w:style>
  <w:style w:type="character" w:customStyle="1" w:styleId="normaltextrun">
    <w:name w:val="normaltextrun"/>
    <w:basedOn w:val="DefaultParagraphFont"/>
    <w:rsid w:val="003B2E96"/>
  </w:style>
  <w:style w:type="character" w:customStyle="1" w:styleId="eop">
    <w:name w:val="eop"/>
    <w:basedOn w:val="DefaultParagraphFont"/>
    <w:rsid w:val="003B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6538">
      <w:bodyDiv w:val="1"/>
      <w:marLeft w:val="0"/>
      <w:marRight w:val="0"/>
      <w:marTop w:val="0"/>
      <w:marBottom w:val="0"/>
      <w:divBdr>
        <w:top w:val="none" w:sz="0" w:space="0" w:color="auto"/>
        <w:left w:val="none" w:sz="0" w:space="0" w:color="auto"/>
        <w:bottom w:val="none" w:sz="0" w:space="0" w:color="auto"/>
        <w:right w:val="none" w:sz="0" w:space="0" w:color="auto"/>
      </w:divBdr>
      <w:divsChild>
        <w:div w:id="1118453765">
          <w:marLeft w:val="0"/>
          <w:marRight w:val="0"/>
          <w:marTop w:val="0"/>
          <w:marBottom w:val="0"/>
          <w:divBdr>
            <w:top w:val="none" w:sz="0" w:space="0" w:color="auto"/>
            <w:left w:val="none" w:sz="0" w:space="0" w:color="auto"/>
            <w:bottom w:val="none" w:sz="0" w:space="0" w:color="auto"/>
            <w:right w:val="none" w:sz="0" w:space="0" w:color="auto"/>
          </w:divBdr>
          <w:divsChild>
            <w:div w:id="14887734">
              <w:marLeft w:val="0"/>
              <w:marRight w:val="0"/>
              <w:marTop w:val="0"/>
              <w:marBottom w:val="0"/>
              <w:divBdr>
                <w:top w:val="none" w:sz="0" w:space="0" w:color="auto"/>
                <w:left w:val="none" w:sz="0" w:space="0" w:color="auto"/>
                <w:bottom w:val="none" w:sz="0" w:space="0" w:color="auto"/>
                <w:right w:val="none" w:sz="0" w:space="0" w:color="auto"/>
              </w:divBdr>
            </w:div>
            <w:div w:id="899749879">
              <w:marLeft w:val="0"/>
              <w:marRight w:val="0"/>
              <w:marTop w:val="0"/>
              <w:marBottom w:val="0"/>
              <w:divBdr>
                <w:top w:val="none" w:sz="0" w:space="0" w:color="auto"/>
                <w:left w:val="none" w:sz="0" w:space="0" w:color="auto"/>
                <w:bottom w:val="none" w:sz="0" w:space="0" w:color="auto"/>
                <w:right w:val="none" w:sz="0" w:space="0" w:color="auto"/>
              </w:divBdr>
            </w:div>
            <w:div w:id="1821338553">
              <w:marLeft w:val="0"/>
              <w:marRight w:val="0"/>
              <w:marTop w:val="0"/>
              <w:marBottom w:val="0"/>
              <w:divBdr>
                <w:top w:val="none" w:sz="0" w:space="0" w:color="auto"/>
                <w:left w:val="none" w:sz="0" w:space="0" w:color="auto"/>
                <w:bottom w:val="none" w:sz="0" w:space="0" w:color="auto"/>
                <w:right w:val="none" w:sz="0" w:space="0" w:color="auto"/>
              </w:divBdr>
            </w:div>
            <w:div w:id="2079089017">
              <w:marLeft w:val="0"/>
              <w:marRight w:val="0"/>
              <w:marTop w:val="0"/>
              <w:marBottom w:val="0"/>
              <w:divBdr>
                <w:top w:val="none" w:sz="0" w:space="0" w:color="auto"/>
                <w:left w:val="none" w:sz="0" w:space="0" w:color="auto"/>
                <w:bottom w:val="none" w:sz="0" w:space="0" w:color="auto"/>
                <w:right w:val="none" w:sz="0" w:space="0" w:color="auto"/>
              </w:divBdr>
              <w:divsChild>
                <w:div w:id="15283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3019">
          <w:marLeft w:val="0"/>
          <w:marRight w:val="0"/>
          <w:marTop w:val="0"/>
          <w:marBottom w:val="0"/>
          <w:divBdr>
            <w:top w:val="none" w:sz="0" w:space="0" w:color="auto"/>
            <w:left w:val="none" w:sz="0" w:space="0" w:color="auto"/>
            <w:bottom w:val="none" w:sz="0" w:space="0" w:color="auto"/>
            <w:right w:val="none" w:sz="0" w:space="0" w:color="auto"/>
          </w:divBdr>
          <w:divsChild>
            <w:div w:id="13775117">
              <w:marLeft w:val="0"/>
              <w:marRight w:val="0"/>
              <w:marTop w:val="0"/>
              <w:marBottom w:val="0"/>
              <w:divBdr>
                <w:top w:val="none" w:sz="0" w:space="0" w:color="auto"/>
                <w:left w:val="none" w:sz="0" w:space="0" w:color="auto"/>
                <w:bottom w:val="none" w:sz="0" w:space="0" w:color="auto"/>
                <w:right w:val="none" w:sz="0" w:space="0" w:color="auto"/>
              </w:divBdr>
            </w:div>
            <w:div w:id="284582301">
              <w:marLeft w:val="0"/>
              <w:marRight w:val="0"/>
              <w:marTop w:val="0"/>
              <w:marBottom w:val="0"/>
              <w:divBdr>
                <w:top w:val="none" w:sz="0" w:space="0" w:color="auto"/>
                <w:left w:val="none" w:sz="0" w:space="0" w:color="auto"/>
                <w:bottom w:val="none" w:sz="0" w:space="0" w:color="auto"/>
                <w:right w:val="none" w:sz="0" w:space="0" w:color="auto"/>
              </w:divBdr>
            </w:div>
            <w:div w:id="553810996">
              <w:marLeft w:val="0"/>
              <w:marRight w:val="0"/>
              <w:marTop w:val="0"/>
              <w:marBottom w:val="0"/>
              <w:divBdr>
                <w:top w:val="none" w:sz="0" w:space="0" w:color="auto"/>
                <w:left w:val="none" w:sz="0" w:space="0" w:color="auto"/>
                <w:bottom w:val="none" w:sz="0" w:space="0" w:color="auto"/>
                <w:right w:val="none" w:sz="0" w:space="0" w:color="auto"/>
              </w:divBdr>
              <w:divsChild>
                <w:div w:id="1929535736">
                  <w:marLeft w:val="0"/>
                  <w:marRight w:val="0"/>
                  <w:marTop w:val="0"/>
                  <w:marBottom w:val="0"/>
                  <w:divBdr>
                    <w:top w:val="none" w:sz="0" w:space="0" w:color="auto"/>
                    <w:left w:val="none" w:sz="0" w:space="0" w:color="auto"/>
                    <w:bottom w:val="none" w:sz="0" w:space="0" w:color="auto"/>
                    <w:right w:val="none" w:sz="0" w:space="0" w:color="auto"/>
                  </w:divBdr>
                </w:div>
              </w:divsChild>
            </w:div>
            <w:div w:id="2063946787">
              <w:marLeft w:val="0"/>
              <w:marRight w:val="0"/>
              <w:marTop w:val="0"/>
              <w:marBottom w:val="0"/>
              <w:divBdr>
                <w:top w:val="none" w:sz="0" w:space="0" w:color="auto"/>
                <w:left w:val="none" w:sz="0" w:space="0" w:color="auto"/>
                <w:bottom w:val="none" w:sz="0" w:space="0" w:color="auto"/>
                <w:right w:val="none" w:sz="0" w:space="0" w:color="auto"/>
              </w:divBdr>
            </w:div>
          </w:divsChild>
        </w:div>
        <w:div w:id="1645701538">
          <w:marLeft w:val="0"/>
          <w:marRight w:val="0"/>
          <w:marTop w:val="0"/>
          <w:marBottom w:val="0"/>
          <w:divBdr>
            <w:top w:val="none" w:sz="0" w:space="0" w:color="auto"/>
            <w:left w:val="none" w:sz="0" w:space="0" w:color="auto"/>
            <w:bottom w:val="none" w:sz="0" w:space="0" w:color="auto"/>
            <w:right w:val="none" w:sz="0" w:space="0" w:color="auto"/>
          </w:divBdr>
          <w:divsChild>
            <w:div w:id="864711457">
              <w:marLeft w:val="0"/>
              <w:marRight w:val="0"/>
              <w:marTop w:val="0"/>
              <w:marBottom w:val="0"/>
              <w:divBdr>
                <w:top w:val="none" w:sz="0" w:space="0" w:color="auto"/>
                <w:left w:val="none" w:sz="0" w:space="0" w:color="auto"/>
                <w:bottom w:val="none" w:sz="0" w:space="0" w:color="auto"/>
                <w:right w:val="none" w:sz="0" w:space="0" w:color="auto"/>
              </w:divBdr>
              <w:divsChild>
                <w:div w:id="1632973929">
                  <w:marLeft w:val="0"/>
                  <w:marRight w:val="0"/>
                  <w:marTop w:val="0"/>
                  <w:marBottom w:val="0"/>
                  <w:divBdr>
                    <w:top w:val="none" w:sz="0" w:space="0" w:color="auto"/>
                    <w:left w:val="none" w:sz="0" w:space="0" w:color="auto"/>
                    <w:bottom w:val="none" w:sz="0" w:space="0" w:color="auto"/>
                    <w:right w:val="none" w:sz="0" w:space="0" w:color="auto"/>
                  </w:divBdr>
                </w:div>
              </w:divsChild>
            </w:div>
            <w:div w:id="1144928563">
              <w:marLeft w:val="0"/>
              <w:marRight w:val="0"/>
              <w:marTop w:val="0"/>
              <w:marBottom w:val="0"/>
              <w:divBdr>
                <w:top w:val="none" w:sz="0" w:space="0" w:color="auto"/>
                <w:left w:val="none" w:sz="0" w:space="0" w:color="auto"/>
                <w:bottom w:val="none" w:sz="0" w:space="0" w:color="auto"/>
                <w:right w:val="none" w:sz="0" w:space="0" w:color="auto"/>
              </w:divBdr>
            </w:div>
            <w:div w:id="1452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0111">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419056835">
      <w:bodyDiv w:val="1"/>
      <w:marLeft w:val="0"/>
      <w:marRight w:val="0"/>
      <w:marTop w:val="0"/>
      <w:marBottom w:val="0"/>
      <w:divBdr>
        <w:top w:val="none" w:sz="0" w:space="0" w:color="auto"/>
        <w:left w:val="none" w:sz="0" w:space="0" w:color="auto"/>
        <w:bottom w:val="none" w:sz="0" w:space="0" w:color="auto"/>
        <w:right w:val="none" w:sz="0" w:space="0" w:color="auto"/>
      </w:divBdr>
    </w:div>
    <w:div w:id="1424837598">
      <w:bodyDiv w:val="1"/>
      <w:marLeft w:val="0"/>
      <w:marRight w:val="0"/>
      <w:marTop w:val="0"/>
      <w:marBottom w:val="0"/>
      <w:divBdr>
        <w:top w:val="none" w:sz="0" w:space="0" w:color="auto"/>
        <w:left w:val="none" w:sz="0" w:space="0" w:color="auto"/>
        <w:bottom w:val="none" w:sz="0" w:space="0" w:color="auto"/>
        <w:right w:val="none" w:sz="0" w:space="0" w:color="auto"/>
      </w:divBdr>
      <w:divsChild>
        <w:div w:id="990254668">
          <w:marLeft w:val="0"/>
          <w:marRight w:val="0"/>
          <w:marTop w:val="0"/>
          <w:marBottom w:val="0"/>
          <w:divBdr>
            <w:top w:val="none" w:sz="0" w:space="0" w:color="auto"/>
            <w:left w:val="none" w:sz="0" w:space="0" w:color="auto"/>
            <w:bottom w:val="none" w:sz="0" w:space="0" w:color="auto"/>
            <w:right w:val="none" w:sz="0" w:space="0" w:color="auto"/>
          </w:divBdr>
        </w:div>
        <w:div w:id="1034160081">
          <w:marLeft w:val="0"/>
          <w:marRight w:val="0"/>
          <w:marTop w:val="0"/>
          <w:marBottom w:val="0"/>
          <w:divBdr>
            <w:top w:val="none" w:sz="0" w:space="0" w:color="auto"/>
            <w:left w:val="none" w:sz="0" w:space="0" w:color="auto"/>
            <w:bottom w:val="none" w:sz="0" w:space="0" w:color="auto"/>
            <w:right w:val="none" w:sz="0" w:space="0" w:color="auto"/>
          </w:divBdr>
          <w:divsChild>
            <w:div w:id="1589387551">
              <w:marLeft w:val="0"/>
              <w:marRight w:val="0"/>
              <w:marTop w:val="0"/>
              <w:marBottom w:val="0"/>
              <w:divBdr>
                <w:top w:val="none" w:sz="0" w:space="0" w:color="auto"/>
                <w:left w:val="none" w:sz="0" w:space="0" w:color="auto"/>
                <w:bottom w:val="none" w:sz="0" w:space="0" w:color="auto"/>
                <w:right w:val="none" w:sz="0" w:space="0" w:color="auto"/>
              </w:divBdr>
            </w:div>
          </w:divsChild>
        </w:div>
        <w:div w:id="205769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sites/default/files/document/inf_33_freshwater_fish_eonly_0.pdf" TargetMode="External"/><Relationship Id="rId26" Type="http://schemas.openxmlformats.org/officeDocument/2006/relationships/hyperlink" Target="https://www.cms.int/en/document/review-freshwater-fish"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en/document/migratory-freshwater-fis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cms.int/en/document/executive-summary-review-freshwater-fi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MediaLengthInSeconds xmlns="a7b50396-0b06-45c1-b28e-46f86d566a10" xsi:nil="true"/>
    <SharedWithUsers xmlns="c15478a5-0be8-4f5d-8383-b307d5ba8bf6">
      <UserInfo>
        <DisplayName>Andrea Pauly</DisplayName>
        <AccountId>15</AccountId>
        <AccountType/>
      </UserInfo>
      <UserInfo>
        <DisplayName>Jenny Renell</DisplayName>
        <AccountId>34</AccountId>
        <AccountType/>
      </UserInfo>
      <UserInfo>
        <DisplayName>Heidrun Frisch-Nwakanma</DisplayName>
        <AccountId>28</AccountId>
        <AccountType/>
      </UserInfo>
      <UserInfo>
        <DisplayName>Melanie Virtue</DisplayName>
        <AccountId>24</AccountId>
        <AccountType/>
      </UserInfo>
      <UserInfo>
        <DisplayName>Aydin Bahramlouian</DisplayName>
        <AccountId>29</AccountId>
        <AccountType/>
      </UserInfo>
    </SharedWithUsers>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Notes xmlns="a7b50396-0b06-45c1-b28e-46f86d566a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6B2E0-A983-4E00-92A5-9590D8E32781}">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2.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3.xml><?xml version="1.0" encoding="utf-8"?>
<ds:datastoreItem xmlns:ds="http://schemas.openxmlformats.org/officeDocument/2006/customXml" ds:itemID="{F5668C51-6D13-42C1-955A-4357D1D2C5C8}">
  <ds:schemaRefs>
    <ds:schemaRef ds:uri="http://schemas.microsoft.com/sharepoint/v3/contenttype/forms"/>
  </ds:schemaRefs>
</ds:datastoreItem>
</file>

<file path=customXml/itemProps4.xml><?xml version="1.0" encoding="utf-8"?>
<ds:datastoreItem xmlns:ds="http://schemas.openxmlformats.org/officeDocument/2006/customXml" ds:itemID="{D5A84C95-CF3D-4F44-B4B5-4198A8EAF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Links>
    <vt:vector size="24" baseType="variant">
      <vt:variant>
        <vt:i4>3604517</vt:i4>
      </vt:variant>
      <vt:variant>
        <vt:i4>9</vt:i4>
      </vt:variant>
      <vt:variant>
        <vt:i4>0</vt:i4>
      </vt:variant>
      <vt:variant>
        <vt:i4>5</vt:i4>
      </vt:variant>
      <vt:variant>
        <vt:lpwstr>https://www.cms.int/en/document/review-freshwater-fish</vt:lpwstr>
      </vt:variant>
      <vt:variant>
        <vt:lpwstr/>
      </vt:variant>
      <vt:variant>
        <vt:i4>5898330</vt:i4>
      </vt:variant>
      <vt:variant>
        <vt:i4>6</vt:i4>
      </vt:variant>
      <vt:variant>
        <vt:i4>0</vt:i4>
      </vt:variant>
      <vt:variant>
        <vt:i4>5</vt:i4>
      </vt:variant>
      <vt:variant>
        <vt:lpwstr>https://www.cms.int/en/document/migratory-freshwater-fish</vt:lpwstr>
      </vt:variant>
      <vt:variant>
        <vt:lpwstr/>
      </vt:variant>
      <vt:variant>
        <vt:i4>4456538</vt:i4>
      </vt:variant>
      <vt:variant>
        <vt:i4>3</vt:i4>
      </vt:variant>
      <vt:variant>
        <vt:i4>0</vt:i4>
      </vt:variant>
      <vt:variant>
        <vt:i4>5</vt:i4>
      </vt:variant>
      <vt:variant>
        <vt:lpwstr>https://www.cms.int/en/document/executive-summary-review-freshwater-fish</vt:lpwstr>
      </vt:variant>
      <vt:variant>
        <vt:lpwstr/>
      </vt:variant>
      <vt:variant>
        <vt:i4>4784233</vt:i4>
      </vt:variant>
      <vt:variant>
        <vt:i4>0</vt:i4>
      </vt:variant>
      <vt:variant>
        <vt:i4>0</vt:i4>
      </vt:variant>
      <vt:variant>
        <vt:i4>5</vt:i4>
      </vt:variant>
      <vt:variant>
        <vt:lpwstr>https://www.cms.int/sites/default/files/document/inf_33_freshwater_fish_eonly_0.pdf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84</cp:revision>
  <cp:lastPrinted>2019-09-19T20:54:00Z</cp:lastPrinted>
  <dcterms:created xsi:type="dcterms:W3CDTF">2023-06-22T20:05:00Z</dcterms:created>
  <dcterms:modified xsi:type="dcterms:W3CDTF">2023-08-07T14:45:00Z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TaxKeyword">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