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8E06FF" w:rsidRPr="00FD6430" w14:paraId="43975481" w14:textId="77777777" w:rsidTr="0029229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4BD13843" w14:textId="77777777" w:rsidR="008E06FF" w:rsidRPr="00002A97" w:rsidRDefault="008E06FF" w:rsidP="0029229A">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2B2F5E59" wp14:editId="53433E91">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34683104" w14:textId="77777777" w:rsidR="008E06FF" w:rsidRPr="00002A97" w:rsidRDefault="008E06FF" w:rsidP="0029229A">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1C2D35A8" w14:textId="77777777" w:rsidR="008E06FF" w:rsidRPr="00002A97" w:rsidRDefault="008E06FF"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D702149" w14:textId="77777777" w:rsidR="008E06FF" w:rsidRPr="00002A97" w:rsidRDefault="008E06FF"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21B9AA4A" w14:textId="77777777" w:rsidR="008E06FF" w:rsidRPr="00002A97" w:rsidRDefault="008E06FF" w:rsidP="0029229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6AC69845" w14:textId="5E3C416F" w:rsidR="008E06FF" w:rsidRPr="00E37B5F" w:rsidRDefault="008E06FF" w:rsidP="0029229A">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37B5F">
              <w:rPr>
                <w:rFonts w:eastAsia="Times New Roman" w:cs="Arial"/>
                <w:szCs w:val="24"/>
                <w:lang w:eastAsia="es-ES"/>
              </w:rPr>
              <w:t>UNEP/CMS/COP14/Doc.</w:t>
            </w:r>
            <w:r w:rsidR="00FD6430" w:rsidRPr="00E37B5F">
              <w:rPr>
                <w:rFonts w:eastAsia="Times New Roman" w:cs="Arial"/>
                <w:szCs w:val="24"/>
                <w:lang w:eastAsia="es-ES"/>
              </w:rPr>
              <w:t>29.1</w:t>
            </w:r>
            <w:r w:rsidR="00E37B5F" w:rsidRPr="00E37B5F">
              <w:rPr>
                <w:rFonts w:eastAsia="Times New Roman" w:cs="Arial"/>
                <w:szCs w:val="24"/>
                <w:lang w:eastAsia="es-ES"/>
              </w:rPr>
              <w:t>/Rev</w:t>
            </w:r>
            <w:r w:rsidR="00E37B5F">
              <w:rPr>
                <w:rFonts w:eastAsia="Times New Roman" w:cs="Arial"/>
                <w:szCs w:val="24"/>
                <w:lang w:eastAsia="es-ES"/>
              </w:rPr>
              <w:t>.1</w:t>
            </w:r>
          </w:p>
          <w:p w14:paraId="5FCC8287" w14:textId="2C9FB4B3" w:rsidR="008E06FF" w:rsidRPr="00FD6430" w:rsidRDefault="00FD6430" w:rsidP="0029229A">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w:t>
            </w:r>
            <w:r w:rsidR="00765279">
              <w:rPr>
                <w:rFonts w:eastAsia="Times New Roman" w:cs="Arial"/>
                <w:szCs w:val="24"/>
                <w:lang w:val="es-ES" w:eastAsia="es-ES"/>
              </w:rPr>
              <w:t>6</w:t>
            </w:r>
            <w:r>
              <w:rPr>
                <w:rFonts w:eastAsia="Times New Roman" w:cs="Arial"/>
                <w:szCs w:val="24"/>
                <w:lang w:val="es-ES" w:eastAsia="es-ES"/>
              </w:rPr>
              <w:t xml:space="preserve"> de ju</w:t>
            </w:r>
            <w:r w:rsidR="00765279">
              <w:rPr>
                <w:rFonts w:eastAsia="Times New Roman" w:cs="Arial"/>
                <w:szCs w:val="24"/>
                <w:lang w:val="es-ES" w:eastAsia="es-ES"/>
              </w:rPr>
              <w:t>l</w:t>
            </w:r>
            <w:r>
              <w:rPr>
                <w:rFonts w:eastAsia="Times New Roman" w:cs="Arial"/>
                <w:szCs w:val="24"/>
                <w:lang w:val="es-ES" w:eastAsia="es-ES"/>
              </w:rPr>
              <w:t>io</w:t>
            </w:r>
            <w:r w:rsidR="008E06FF" w:rsidRPr="00FD6430">
              <w:rPr>
                <w:rFonts w:eastAsia="Times New Roman" w:cs="Arial"/>
                <w:szCs w:val="24"/>
                <w:lang w:val="es-ES" w:eastAsia="es-ES"/>
              </w:rPr>
              <w:t xml:space="preserve"> 2023</w:t>
            </w:r>
          </w:p>
          <w:p w14:paraId="43B871CC" w14:textId="77777777" w:rsidR="008E06FF" w:rsidRPr="00002A97" w:rsidRDefault="008E06FF" w:rsidP="0029229A">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5F28983" w14:textId="77777777" w:rsidR="008E06FF" w:rsidRPr="000F4BDA" w:rsidRDefault="008E06FF" w:rsidP="0029229A">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1492175F" w14:textId="77777777" w:rsidR="008E06FF" w:rsidRPr="00002A97" w:rsidRDefault="008E06FF" w:rsidP="0029229A">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1F91AD29" w14:textId="77777777" w:rsidR="008E06FF" w:rsidRPr="00002A97" w:rsidRDefault="008E06FF" w:rsidP="008E06FF">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32ACBEA2" w14:textId="77777777" w:rsidR="008E06FF" w:rsidRPr="00002A97" w:rsidRDefault="008E06FF" w:rsidP="008E06FF">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281A244B" w14:textId="58FD7B52" w:rsidR="008E06FF" w:rsidRPr="00002A97" w:rsidRDefault="008E06FF" w:rsidP="008E06F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BC1163">
        <w:rPr>
          <w:rFonts w:eastAsia="Times New Roman" w:cs="Arial"/>
          <w:bCs/>
          <w:szCs w:val="24"/>
          <w:lang w:val="es-ES" w:eastAsia="es-ES"/>
        </w:rPr>
        <w:t>12 – 17 de febrero 2024</w:t>
      </w:r>
    </w:p>
    <w:p w14:paraId="0DEF2A1D" w14:textId="7E4D05B3" w:rsidR="008E06FF" w:rsidRPr="00002A97" w:rsidRDefault="008E06FF" w:rsidP="008E06FF">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FD6430">
        <w:rPr>
          <w:rFonts w:eastAsia="Times New Roman" w:cs="Arial"/>
          <w:szCs w:val="24"/>
          <w:lang w:val="es-ES" w:eastAsia="es-ES"/>
        </w:rPr>
        <w:t>29</w:t>
      </w:r>
      <w:r w:rsidRPr="00002A97">
        <w:rPr>
          <w:rFonts w:eastAsia="Times New Roman" w:cs="Arial"/>
          <w:szCs w:val="24"/>
          <w:lang w:val="es-ES" w:eastAsia="es-ES"/>
        </w:rPr>
        <w:t xml:space="preserve"> del orden del día</w:t>
      </w:r>
    </w:p>
    <w:p w14:paraId="258B44F2" w14:textId="77777777" w:rsidR="002E0DE9" w:rsidRPr="00CB07B6" w:rsidRDefault="002E0DE9" w:rsidP="002E0DE9">
      <w:pPr>
        <w:widowControl w:val="0"/>
        <w:suppressAutoHyphens/>
        <w:autoSpaceDE w:val="0"/>
        <w:autoSpaceDN w:val="0"/>
        <w:spacing w:after="0" w:line="240" w:lineRule="auto"/>
        <w:textAlignment w:val="baseline"/>
        <w:rPr>
          <w:rFonts w:eastAsia="Times New Roman" w:cs="Arial"/>
          <w:lang w:val="es-ES"/>
        </w:rPr>
      </w:pPr>
    </w:p>
    <w:p w14:paraId="6AE0B701" w14:textId="77777777" w:rsidR="002E0DE9" w:rsidRPr="00CB07B6" w:rsidRDefault="002E0DE9" w:rsidP="002E0DE9">
      <w:pPr>
        <w:widowControl w:val="0"/>
        <w:suppressAutoHyphens/>
        <w:autoSpaceDE w:val="0"/>
        <w:autoSpaceDN w:val="0"/>
        <w:spacing w:after="0" w:line="240" w:lineRule="auto"/>
        <w:textAlignment w:val="baseline"/>
        <w:rPr>
          <w:rFonts w:eastAsia="Times New Roman" w:cs="Arial"/>
          <w:lang w:val="es-ES"/>
        </w:rPr>
      </w:pPr>
    </w:p>
    <w:p w14:paraId="49D98475" w14:textId="22DC9B8D" w:rsidR="002E0DE9" w:rsidRPr="00CB07B6" w:rsidRDefault="008878BD" w:rsidP="00E37B5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CB07B6">
        <w:rPr>
          <w:b/>
          <w:bCs/>
          <w:lang w:val="es-ES"/>
        </w:rPr>
        <w:t>INICIATIVA CONJUNTA CITES-CMS SOBRE CARNÍVOROS AFRICANOS</w:t>
      </w:r>
    </w:p>
    <w:p w14:paraId="38BB4BB4" w14:textId="23A28953" w:rsidR="002E0DE9" w:rsidRPr="00CB07B6"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CB07B6">
        <w:rPr>
          <w:rFonts w:eastAsia="Times New Roman" w:cs="Arial"/>
          <w:i/>
          <w:lang w:val="es-ES"/>
        </w:rPr>
        <w:t>(Preparado por la Secretaría</w:t>
      </w:r>
      <w:r w:rsidR="00E37B5F">
        <w:rPr>
          <w:rFonts w:eastAsia="Times New Roman" w:cs="Arial"/>
          <w:i/>
          <w:lang w:val="es-ES"/>
        </w:rPr>
        <w:t xml:space="preserve"> y el Consejo Científico</w:t>
      </w:r>
      <w:r w:rsidRPr="00CB07B6">
        <w:rPr>
          <w:rFonts w:eastAsia="Times New Roman" w:cs="Arial"/>
          <w:i/>
          <w:lang w:val="es-ES"/>
        </w:rPr>
        <w:t>)</w:t>
      </w:r>
    </w:p>
    <w:p w14:paraId="04541202" w14:textId="77777777" w:rsidR="002E0DE9" w:rsidRPr="00CB07B6"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s-ES"/>
        </w:rPr>
      </w:pPr>
    </w:p>
    <w:p w14:paraId="2843937F" w14:textId="77777777" w:rsidR="002E0DE9" w:rsidRPr="00CB07B6"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55C6DA7A" w14:textId="5ECA564F"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69BF7C11" w:rsidR="002E0DE9" w:rsidRPr="00CB07B6" w:rsidRDefault="00FD03B6" w:rsidP="002E0DE9">
      <w:pPr>
        <w:widowControl w:val="0"/>
        <w:suppressAutoHyphens/>
        <w:autoSpaceDE w:val="0"/>
        <w:autoSpaceDN w:val="0"/>
        <w:spacing w:after="0" w:line="240" w:lineRule="auto"/>
        <w:textAlignment w:val="baseline"/>
        <w:rPr>
          <w:rFonts w:eastAsia="Times New Roman" w:cs="Arial"/>
          <w:sz w:val="21"/>
          <w:szCs w:val="21"/>
          <w:lang w:val="es-ES"/>
        </w:rPr>
      </w:pPr>
      <w:r w:rsidRPr="00CB07B6">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511D76F6">
                <wp:simplePos x="0" y="0"/>
                <wp:positionH relativeFrom="margin">
                  <wp:posOffset>809625</wp:posOffset>
                </wp:positionH>
                <wp:positionV relativeFrom="margin">
                  <wp:posOffset>2933700</wp:posOffset>
                </wp:positionV>
                <wp:extent cx="4486275" cy="25146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486275" cy="2514600"/>
                        </a:xfrm>
                        <a:prstGeom prst="rect">
                          <a:avLst/>
                        </a:prstGeom>
                        <a:solidFill>
                          <a:srgbClr val="FFFFFF"/>
                        </a:solidFill>
                        <a:ln w="3172">
                          <a:solidFill>
                            <a:srgbClr val="000000"/>
                          </a:solidFill>
                          <a:prstDash val="solid"/>
                        </a:ln>
                      </wps:spPr>
                      <wps:txbx>
                        <w:txbxContent>
                          <w:p w14:paraId="361301A9" w14:textId="77777777" w:rsidR="002E0DE9" w:rsidRPr="008E06FF" w:rsidRDefault="002E0DE9" w:rsidP="002E0DE9">
                            <w:pPr>
                              <w:spacing w:after="0"/>
                              <w:rPr>
                                <w:rFonts w:cs="Arial"/>
                                <w:lang w:val="es-CO"/>
                              </w:rPr>
                            </w:pPr>
                            <w:r w:rsidRPr="008E06FF">
                              <w:rPr>
                                <w:rFonts w:cs="Arial"/>
                                <w:lang w:val="es-CO"/>
                              </w:rPr>
                              <w:t>Resumen:</w:t>
                            </w:r>
                          </w:p>
                          <w:p w14:paraId="4769295D" w14:textId="77777777" w:rsidR="00056ADD" w:rsidRPr="008E06FF" w:rsidRDefault="00056ADD" w:rsidP="002E0DE9">
                            <w:pPr>
                              <w:spacing w:after="0"/>
                              <w:rPr>
                                <w:rFonts w:cs="Arial"/>
                                <w:lang w:val="es-CO"/>
                              </w:rPr>
                            </w:pPr>
                          </w:p>
                          <w:p w14:paraId="12338272" w14:textId="6D70D29F" w:rsidR="002E0DE9" w:rsidRPr="008E06FF" w:rsidRDefault="00056ADD" w:rsidP="00D11113">
                            <w:pPr>
                              <w:spacing w:after="0" w:line="240" w:lineRule="auto"/>
                              <w:jc w:val="both"/>
                              <w:rPr>
                                <w:rFonts w:cs="Arial"/>
                                <w:lang w:val="es-CO"/>
                              </w:rPr>
                            </w:pPr>
                            <w:r w:rsidRPr="008E06FF">
                              <w:rPr>
                                <w:rFonts w:cs="Arial"/>
                                <w:lang w:val="es-CO"/>
                              </w:rPr>
                              <w:t>Este documento informa de los avances para implementar las</w:t>
                            </w:r>
                            <w:r w:rsidR="00E451E8">
                              <w:rPr>
                                <w:rFonts w:cs="Arial"/>
                                <w:lang w:val="es-CO"/>
                              </w:rPr>
                              <w:t xml:space="preserve"> </w:t>
                            </w:r>
                            <w:hyperlink r:id="rId11" w:history="1">
                              <w:r w:rsidR="00E451E8" w:rsidRPr="00C53915">
                                <w:rPr>
                                  <w:rStyle w:val="Hyperlink"/>
                                  <w:rFonts w:cs="Arial"/>
                                  <w:lang w:val="es-CO"/>
                                </w:rPr>
                                <w:t>Decisiones 13.86 – 13.87</w:t>
                              </w:r>
                            </w:hyperlink>
                            <w:r w:rsidR="00C53915">
                              <w:rPr>
                                <w:rFonts w:cs="Arial"/>
                                <w:lang w:val="es-CO"/>
                              </w:rPr>
                              <w:t xml:space="preserve"> </w:t>
                            </w:r>
                            <w:r w:rsidR="007803CD" w:rsidRPr="008E06FF">
                              <w:rPr>
                                <w:rFonts w:cs="Arial"/>
                                <w:i/>
                                <w:lang w:val="es-CO"/>
                              </w:rPr>
                              <w:t>Iniciativa conjunta CITES-CMS sobre carnívoros africanos</w:t>
                            </w:r>
                            <w:r w:rsidRPr="008E06FF">
                              <w:rPr>
                                <w:rFonts w:cs="Arial"/>
                                <w:lang w:val="es-CO"/>
                              </w:rPr>
                              <w:t xml:space="preserve">, además de las Decisiones asociadas 13.88-13.91 </w:t>
                            </w:r>
                            <w:r w:rsidR="007803CD" w:rsidRPr="008E06FF">
                              <w:rPr>
                                <w:rFonts w:cs="Arial"/>
                                <w:i/>
                                <w:lang w:val="es-CO"/>
                              </w:rPr>
                              <w:t>Conservación y gestión del león africano</w:t>
                            </w:r>
                            <w:r w:rsidRPr="008E06FF">
                              <w:rPr>
                                <w:rFonts w:cs="Arial"/>
                                <w:lang w:val="es-CO"/>
                              </w:rPr>
                              <w:t xml:space="preserve"> (Panthera leo), Decisiones 13.92-13.95 </w:t>
                            </w:r>
                            <w:r w:rsidR="007803CD" w:rsidRPr="008E06FF">
                              <w:rPr>
                                <w:rFonts w:cs="Arial"/>
                                <w:i/>
                                <w:lang w:val="es-CO"/>
                              </w:rPr>
                              <w:t>Conservación y gestión del gueparpo (</w:t>
                            </w:r>
                            <w:r w:rsidRPr="008E06FF">
                              <w:rPr>
                                <w:rFonts w:cs="Arial"/>
                                <w:lang w:val="es-CO"/>
                              </w:rPr>
                              <w:t>Acinonyx jubatus</w:t>
                            </w:r>
                            <w:r w:rsidR="007803CD" w:rsidRPr="008E06FF">
                              <w:rPr>
                                <w:rFonts w:cs="Arial"/>
                                <w:i/>
                                <w:lang w:val="es-CO"/>
                              </w:rPr>
                              <w:t>) y el licaón africano (</w:t>
                            </w:r>
                            <w:r w:rsidRPr="008E06FF">
                              <w:rPr>
                                <w:rFonts w:cs="Arial"/>
                                <w:lang w:val="es-CO"/>
                              </w:rPr>
                              <w:t>Lycaon pictus</w:t>
                            </w:r>
                            <w:r w:rsidR="007803CD" w:rsidRPr="008E06FF">
                              <w:rPr>
                                <w:rFonts w:cs="Arial"/>
                                <w:i/>
                                <w:lang w:val="es-CO"/>
                              </w:rPr>
                              <w:t>)</w:t>
                            </w:r>
                            <w:r w:rsidRPr="008E06FF">
                              <w:rPr>
                                <w:rFonts w:cs="Arial"/>
                                <w:lang w:val="es-CO"/>
                              </w:rPr>
                              <w:t xml:space="preserve">, y Decisiones 13.96-13.97 </w:t>
                            </w:r>
                            <w:r w:rsidR="007803CD" w:rsidRPr="008E06FF">
                              <w:rPr>
                                <w:rFonts w:cs="Arial"/>
                                <w:i/>
                                <w:iCs/>
                                <w:lang w:val="es-CO"/>
                              </w:rPr>
                              <w:t>Conservación y gestión del leopardo (</w:t>
                            </w:r>
                            <w:r w:rsidRPr="008E06FF">
                              <w:rPr>
                                <w:rFonts w:cs="Arial"/>
                                <w:lang w:val="es-CO"/>
                              </w:rPr>
                              <w:t>Panthera pardus</w:t>
                            </w:r>
                            <w:r w:rsidR="007803CD" w:rsidRPr="008E06FF">
                              <w:rPr>
                                <w:rFonts w:cs="Arial"/>
                                <w:i/>
                                <w:iCs/>
                                <w:lang w:val="es-CO"/>
                              </w:rPr>
                              <w:t>) en África</w:t>
                            </w:r>
                            <w:r w:rsidRPr="008E06FF">
                              <w:rPr>
                                <w:rFonts w:cs="Arial"/>
                                <w:lang w:val="es-CO"/>
                              </w:rPr>
                              <w:t>, y propone nuevas Decisiones para su adopción.</w:t>
                            </w:r>
                          </w:p>
                          <w:p w14:paraId="1467657C" w14:textId="2E33EC4C" w:rsidR="002E0DE9" w:rsidRDefault="002E0DE9" w:rsidP="00D11113">
                            <w:pPr>
                              <w:spacing w:after="0" w:line="240" w:lineRule="auto"/>
                              <w:jc w:val="both"/>
                              <w:rPr>
                                <w:rFonts w:cs="Arial"/>
                                <w:lang w:val="es-CO"/>
                              </w:rPr>
                            </w:pPr>
                          </w:p>
                          <w:p w14:paraId="240105DE" w14:textId="444AED7C" w:rsidR="00FD03B6" w:rsidRPr="008E06FF" w:rsidRDefault="00FD03B6" w:rsidP="00D11113">
                            <w:pPr>
                              <w:spacing w:after="0" w:line="240" w:lineRule="auto"/>
                              <w:jc w:val="both"/>
                              <w:rPr>
                                <w:rFonts w:cs="Arial"/>
                                <w:lang w:val="es-CO"/>
                              </w:rPr>
                            </w:pPr>
                            <w:r w:rsidRPr="00FD03B6">
                              <w:rPr>
                                <w:rFonts w:cs="Arial"/>
                                <w:lang w:val="es-CO"/>
                              </w:rPr>
                              <w:t>Este documento fue revisado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63.75pt;margin-top:231pt;width:353.2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" strokeweight=".08811mm">
                <v:textbox>
                  <w:txbxContent>
                    <w:p w14:paraId="361301A9" w14:textId="77777777" w:rsidR="002E0DE9" w:rsidRPr="008E06FF" w:rsidRDefault="002E0DE9" w:rsidP="002E0DE9">
                      <w:pPr>
                        <w:spacing w:after="0"/>
                        <w:rPr>
                          <w:rFonts w:cs="Arial"/>
                          <w:lang w:val="es-CO"/>
                        </w:rPr>
                      </w:pPr>
                      <w:r w:rsidRPr="008E06FF">
                        <w:rPr>
                          <w:rFonts w:cs="Arial"/>
                          <w:lang w:val="es-CO"/>
                        </w:rPr>
                        <w:t>Resumen:</w:t>
                      </w:r>
                    </w:p>
                    <w:p w14:paraId="4769295D" w14:textId="77777777" w:rsidR="00056ADD" w:rsidRPr="008E06FF" w:rsidRDefault="00056ADD" w:rsidP="002E0DE9">
                      <w:pPr>
                        <w:spacing w:after="0"/>
                        <w:rPr>
                          <w:rFonts w:cs="Arial"/>
                          <w:lang w:val="es-CO"/>
                        </w:rPr>
                      </w:pPr>
                    </w:p>
                    <w:p w14:paraId="12338272" w14:textId="6D70D29F" w:rsidR="002E0DE9" w:rsidRPr="008E06FF" w:rsidRDefault="00056ADD" w:rsidP="00D11113">
                      <w:pPr>
                        <w:spacing w:after="0" w:line="240" w:lineRule="auto"/>
                        <w:jc w:val="both"/>
                        <w:rPr>
                          <w:rFonts w:cs="Arial"/>
                          <w:lang w:val="es-CO"/>
                        </w:rPr>
                      </w:pPr>
                      <w:r w:rsidRPr="008E06FF">
                        <w:rPr>
                          <w:rFonts w:cs="Arial"/>
                          <w:lang w:val="es-CO"/>
                        </w:rPr>
                        <w:t>Este documento informa de los avances para implementar las</w:t>
                      </w:r>
                      <w:r w:rsidR="00E451E8">
                        <w:rPr>
                          <w:rFonts w:cs="Arial"/>
                          <w:lang w:val="es-CO"/>
                        </w:rPr>
                        <w:t xml:space="preserve"> </w:t>
                      </w:r>
                      <w:hyperlink r:id="rId12" w:history="1">
                        <w:r w:rsidR="00E451E8" w:rsidRPr="00C53915">
                          <w:rPr>
                            <w:rStyle w:val="Hyperlink"/>
                            <w:rFonts w:cs="Arial"/>
                            <w:lang w:val="es-CO"/>
                          </w:rPr>
                          <w:t>Decisiones 13.86 – 13.87</w:t>
                        </w:r>
                      </w:hyperlink>
                      <w:r w:rsidR="00C53915">
                        <w:rPr>
                          <w:rFonts w:cs="Arial"/>
                          <w:lang w:val="es-CO"/>
                        </w:rPr>
                        <w:t xml:space="preserve"> </w:t>
                      </w:r>
                      <w:r w:rsidR="007803CD" w:rsidRPr="008E06FF">
                        <w:rPr>
                          <w:rFonts w:cs="Arial"/>
                          <w:i/>
                          <w:lang w:val="es-CO"/>
                        </w:rPr>
                        <w:t>Iniciativa conjunta CITES-CMS sobre carnívoros africanos</w:t>
                      </w:r>
                      <w:r w:rsidRPr="008E06FF">
                        <w:rPr>
                          <w:rFonts w:cs="Arial"/>
                          <w:lang w:val="es-CO"/>
                        </w:rPr>
                        <w:t xml:space="preserve">, además de las Decisiones asociadas 13.88-13.91 </w:t>
                      </w:r>
                      <w:r w:rsidR="007803CD" w:rsidRPr="008E06FF">
                        <w:rPr>
                          <w:rFonts w:cs="Arial"/>
                          <w:i/>
                          <w:lang w:val="es-CO"/>
                        </w:rPr>
                        <w:t>Conservación y gestión del león africano</w:t>
                      </w:r>
                      <w:r w:rsidRPr="008E06FF">
                        <w:rPr>
                          <w:rFonts w:cs="Arial"/>
                          <w:lang w:val="es-CO"/>
                        </w:rPr>
                        <w:t xml:space="preserve"> (Panthera leo), Decisiones 13.92-13.95 </w:t>
                      </w:r>
                      <w:r w:rsidR="007803CD" w:rsidRPr="008E06FF">
                        <w:rPr>
                          <w:rFonts w:cs="Arial"/>
                          <w:i/>
                          <w:lang w:val="es-CO"/>
                        </w:rPr>
                        <w:t>Conservación y gestión del gueparpo (</w:t>
                      </w:r>
                      <w:r w:rsidRPr="008E06FF">
                        <w:rPr>
                          <w:rFonts w:cs="Arial"/>
                          <w:lang w:val="es-CO"/>
                        </w:rPr>
                        <w:t>Acinonyx jubatus</w:t>
                      </w:r>
                      <w:r w:rsidR="007803CD" w:rsidRPr="008E06FF">
                        <w:rPr>
                          <w:rFonts w:cs="Arial"/>
                          <w:i/>
                          <w:lang w:val="es-CO"/>
                        </w:rPr>
                        <w:t>) y el licaón africano (</w:t>
                      </w:r>
                      <w:r w:rsidRPr="008E06FF">
                        <w:rPr>
                          <w:rFonts w:cs="Arial"/>
                          <w:lang w:val="es-CO"/>
                        </w:rPr>
                        <w:t>Lycaon pictus</w:t>
                      </w:r>
                      <w:r w:rsidR="007803CD" w:rsidRPr="008E06FF">
                        <w:rPr>
                          <w:rFonts w:cs="Arial"/>
                          <w:i/>
                          <w:lang w:val="es-CO"/>
                        </w:rPr>
                        <w:t>)</w:t>
                      </w:r>
                      <w:r w:rsidRPr="008E06FF">
                        <w:rPr>
                          <w:rFonts w:cs="Arial"/>
                          <w:lang w:val="es-CO"/>
                        </w:rPr>
                        <w:t xml:space="preserve">, y Decisiones 13.96-13.97 </w:t>
                      </w:r>
                      <w:r w:rsidR="007803CD" w:rsidRPr="008E06FF">
                        <w:rPr>
                          <w:rFonts w:cs="Arial"/>
                          <w:i/>
                          <w:iCs/>
                          <w:lang w:val="es-CO"/>
                        </w:rPr>
                        <w:t>Conservación y gestión del leopardo (</w:t>
                      </w:r>
                      <w:r w:rsidRPr="008E06FF">
                        <w:rPr>
                          <w:rFonts w:cs="Arial"/>
                          <w:lang w:val="es-CO"/>
                        </w:rPr>
                        <w:t>Panthera pardus</w:t>
                      </w:r>
                      <w:r w:rsidR="007803CD" w:rsidRPr="008E06FF">
                        <w:rPr>
                          <w:rFonts w:cs="Arial"/>
                          <w:i/>
                          <w:iCs/>
                          <w:lang w:val="es-CO"/>
                        </w:rPr>
                        <w:t>) en África</w:t>
                      </w:r>
                      <w:r w:rsidRPr="008E06FF">
                        <w:rPr>
                          <w:rFonts w:cs="Arial"/>
                          <w:lang w:val="es-CO"/>
                        </w:rPr>
                        <w:t>, y propone nuevas Decisiones para su adopción.</w:t>
                      </w:r>
                    </w:p>
                    <w:p w14:paraId="1467657C" w14:textId="2E33EC4C" w:rsidR="002E0DE9" w:rsidRDefault="002E0DE9" w:rsidP="00D11113">
                      <w:pPr>
                        <w:spacing w:after="0" w:line="240" w:lineRule="auto"/>
                        <w:jc w:val="both"/>
                        <w:rPr>
                          <w:rFonts w:cs="Arial"/>
                          <w:lang w:val="es-CO"/>
                        </w:rPr>
                      </w:pPr>
                    </w:p>
                    <w:p w14:paraId="240105DE" w14:textId="444AED7C" w:rsidR="00FD03B6" w:rsidRPr="008E06FF" w:rsidRDefault="00FD03B6" w:rsidP="00D11113">
                      <w:pPr>
                        <w:spacing w:after="0" w:line="240" w:lineRule="auto"/>
                        <w:jc w:val="both"/>
                        <w:rPr>
                          <w:rFonts w:cs="Arial"/>
                          <w:lang w:val="es-CO"/>
                        </w:rPr>
                      </w:pPr>
                      <w:r w:rsidRPr="00FD03B6">
                        <w:rPr>
                          <w:rFonts w:cs="Arial"/>
                          <w:lang w:val="es-CO"/>
                        </w:rPr>
                        <w:t>Este documento fue revisado por el Consejo Científico en su 6ª reunión del Comité del período de sesiones en julio de 2023.</w:t>
                      </w:r>
                    </w:p>
                  </w:txbxContent>
                </v:textbox>
                <w10:wrap type="square" anchorx="margin" anchory="margin"/>
              </v:shape>
            </w:pict>
          </mc:Fallback>
        </mc:AlternateContent>
      </w:r>
    </w:p>
    <w:p w14:paraId="6236BDED" w14:textId="7502067A"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12206341"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37C69790"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6E4C2EE5"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2C9775C5"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19ED1DE7"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8F02BC5" w14:textId="185D0C10"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DB2E217" w14:textId="77777777" w:rsidR="00056ADD" w:rsidRPr="00CB07B6" w:rsidRDefault="00056ADD" w:rsidP="002E0DE9">
      <w:pPr>
        <w:widowControl w:val="0"/>
        <w:suppressAutoHyphens/>
        <w:autoSpaceDE w:val="0"/>
        <w:autoSpaceDN w:val="0"/>
        <w:spacing w:after="0" w:line="240" w:lineRule="auto"/>
        <w:textAlignment w:val="baseline"/>
        <w:rPr>
          <w:rFonts w:eastAsia="Times New Roman" w:cs="Arial"/>
          <w:sz w:val="21"/>
          <w:szCs w:val="21"/>
          <w:lang w:val="es-ES"/>
        </w:rPr>
      </w:pPr>
    </w:p>
    <w:p w14:paraId="0D9506D2" w14:textId="77777777" w:rsidR="00056ADD" w:rsidRPr="00CB07B6" w:rsidRDefault="00056ADD"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1440EAC" w14:textId="77777777" w:rsidR="00056ADD" w:rsidRPr="00CB07B6" w:rsidRDefault="00056ADD" w:rsidP="002E0DE9">
      <w:pPr>
        <w:widowControl w:val="0"/>
        <w:suppressAutoHyphens/>
        <w:autoSpaceDE w:val="0"/>
        <w:autoSpaceDN w:val="0"/>
        <w:spacing w:after="0" w:line="240" w:lineRule="auto"/>
        <w:textAlignment w:val="baseline"/>
        <w:rPr>
          <w:rFonts w:eastAsia="Times New Roman" w:cs="Arial"/>
          <w:sz w:val="21"/>
          <w:szCs w:val="21"/>
          <w:lang w:val="es-ES"/>
        </w:rPr>
      </w:pPr>
    </w:p>
    <w:p w14:paraId="0E95CEA5" w14:textId="77777777" w:rsidR="00056ADD" w:rsidRPr="00CB07B6" w:rsidRDefault="00056ADD"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3E039D2" w14:textId="77777777" w:rsidR="00056ADD" w:rsidRPr="00CB07B6" w:rsidRDefault="00056ADD"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2D2BB4C" w14:textId="77777777" w:rsidR="003F6CF5" w:rsidRPr="00CB07B6" w:rsidRDefault="003F6CF5"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C3BEC6D" w14:textId="77777777" w:rsidR="003F6CF5" w:rsidRPr="00CB07B6" w:rsidRDefault="003F6CF5"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7777777"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DBB162D" w14:textId="77777777" w:rsidR="002E0DE9" w:rsidRPr="00CB07B6"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CB07B6"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E70A4A2" w14:textId="377F836E" w:rsidR="00CD151E" w:rsidRPr="00CB07B6" w:rsidRDefault="00CD151E" w:rsidP="006106C3">
      <w:pPr>
        <w:spacing w:after="0" w:line="240" w:lineRule="auto"/>
        <w:rPr>
          <w:b/>
          <w:bCs/>
          <w:lang w:val="es-ES"/>
        </w:rPr>
      </w:pPr>
      <w:r w:rsidRPr="00CB07B6">
        <w:rPr>
          <w:b/>
          <w:bCs/>
          <w:lang w:val="es-ES"/>
        </w:rPr>
        <w:br w:type="page"/>
      </w:r>
    </w:p>
    <w:p w14:paraId="0BD517DB" w14:textId="7DA04478" w:rsidR="006A7DC4" w:rsidRPr="00CB07B6" w:rsidRDefault="008878BD" w:rsidP="006106C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s-ES"/>
        </w:rPr>
      </w:pPr>
      <w:r w:rsidRPr="00CB07B6">
        <w:rPr>
          <w:b/>
          <w:bCs/>
          <w:lang w:val="es-ES"/>
        </w:rPr>
        <w:lastRenderedPageBreak/>
        <w:t>INICIATIVA CONJUNTA CITES-CMS SOBRE CARNÍVOROS AFRICANOS</w:t>
      </w:r>
    </w:p>
    <w:p w14:paraId="0C41E0E1" w14:textId="77777777" w:rsidR="002E0DE9" w:rsidRPr="00CB07B6" w:rsidRDefault="002E0DE9" w:rsidP="002E0DE9">
      <w:pPr>
        <w:spacing w:after="0" w:line="240" w:lineRule="auto"/>
        <w:rPr>
          <w:lang w:val="es-ES"/>
        </w:rPr>
      </w:pPr>
    </w:p>
    <w:p w14:paraId="71219D98" w14:textId="77777777" w:rsidR="002E0DE9" w:rsidRPr="00CB07B6" w:rsidRDefault="002E0DE9" w:rsidP="002E0DE9">
      <w:pPr>
        <w:spacing w:after="0" w:line="240" w:lineRule="auto"/>
        <w:rPr>
          <w:lang w:val="es-ES"/>
        </w:rPr>
      </w:pPr>
    </w:p>
    <w:p w14:paraId="31A7B5F9" w14:textId="6D9F230E" w:rsidR="002E0DE9" w:rsidRPr="00CB07B6" w:rsidRDefault="006A7DC4" w:rsidP="002E0DE9">
      <w:pPr>
        <w:spacing w:after="0" w:line="240" w:lineRule="auto"/>
        <w:rPr>
          <w:u w:val="single"/>
          <w:lang w:val="es-ES"/>
        </w:rPr>
      </w:pPr>
      <w:r w:rsidRPr="00CB07B6">
        <w:rPr>
          <w:u w:val="single"/>
          <w:lang w:val="es-ES"/>
        </w:rPr>
        <w:t>Antecedentes</w:t>
      </w:r>
    </w:p>
    <w:p w14:paraId="0D10C3B4" w14:textId="57308E5B" w:rsidR="006A7DC4" w:rsidRPr="00CB07B6" w:rsidRDefault="006A7DC4" w:rsidP="002E0DE9">
      <w:pPr>
        <w:spacing w:after="0" w:line="240" w:lineRule="auto"/>
        <w:rPr>
          <w:lang w:val="es-ES"/>
        </w:rPr>
      </w:pPr>
    </w:p>
    <w:p w14:paraId="7ADE1784" w14:textId="1AA00870" w:rsidR="00383490" w:rsidRPr="00CB07B6" w:rsidRDefault="00383490" w:rsidP="00984668">
      <w:pPr>
        <w:widowControl w:val="0"/>
        <w:numPr>
          <w:ilvl w:val="0"/>
          <w:numId w:val="4"/>
        </w:numPr>
        <w:autoSpaceDE w:val="0"/>
        <w:autoSpaceDN w:val="0"/>
        <w:adjustRightInd w:val="0"/>
        <w:spacing w:after="0" w:line="240" w:lineRule="auto"/>
        <w:ind w:left="567" w:hanging="567"/>
        <w:jc w:val="both"/>
        <w:rPr>
          <w:rFonts w:eastAsia="Arial" w:cs="Arial"/>
          <w:lang w:val="es-ES"/>
        </w:rPr>
      </w:pPr>
      <w:r w:rsidRPr="00CB07B6">
        <w:rPr>
          <w:rFonts w:eastAsia="Arial" w:cs="Arial"/>
          <w:lang w:val="es-ES"/>
        </w:rPr>
        <w:t>La Iniciativa conjunta CITES-CMS para carnívoros africanos es un mecanismo único para cumplir con la conservación integral de la mayoría de las especies carnívoras africanas más emblemáticas en todo el continente africano. Tiene su origen en una reunión conjunta entre las Partes de la CMS y de la CITES respecto al león africano (</w:t>
      </w:r>
      <w:r w:rsidR="00DA6C80" w:rsidRPr="00CB07B6">
        <w:rPr>
          <w:rFonts w:eastAsia="Arial" w:cs="Arial"/>
          <w:i/>
          <w:iCs/>
          <w:lang w:val="es-ES"/>
        </w:rPr>
        <w:t>Panthera leo</w:t>
      </w:r>
      <w:r w:rsidRPr="00CB07B6">
        <w:rPr>
          <w:rFonts w:eastAsia="Arial" w:cs="Arial"/>
          <w:lang w:val="es-ES"/>
        </w:rPr>
        <w:t xml:space="preserve">) en 2016, en la que los Estados del área de distribución adoptaron el </w:t>
      </w:r>
      <w:hyperlink r:id="rId13">
        <w:r w:rsidRPr="00CB07B6">
          <w:rPr>
            <w:rStyle w:val="Hyperlink"/>
            <w:rFonts w:eastAsia="Arial" w:cs="Arial"/>
            <w:lang w:val="es-ES"/>
          </w:rPr>
          <w:t>Comunicado de Entebbe</w:t>
        </w:r>
      </w:hyperlink>
      <w:r w:rsidR="004C3FF1" w:rsidRPr="00CB07B6">
        <w:rPr>
          <w:rStyle w:val="Hyperlink"/>
          <w:rFonts w:eastAsia="Arial" w:cs="Arial"/>
          <w:lang w:val="es-ES"/>
        </w:rPr>
        <w:t>,</w:t>
      </w:r>
      <w:r w:rsidRPr="00CB07B6">
        <w:rPr>
          <w:rFonts w:eastAsia="Arial" w:cs="Arial"/>
          <w:lang w:val="es-ES"/>
        </w:rPr>
        <w:t xml:space="preserve"> reconociendo la necesidad de un enfoque de conservación más amplio para el león y acogiendo el rol complementario de la CITES y la CMS a la hora de apoyar la conservación y gestión de los leones en África. </w:t>
      </w:r>
    </w:p>
    <w:p w14:paraId="35391931" w14:textId="77777777" w:rsidR="00383490" w:rsidRPr="00CB07B6" w:rsidRDefault="00383490" w:rsidP="006106C3">
      <w:pPr>
        <w:suppressAutoHyphens/>
        <w:spacing w:after="0" w:line="240" w:lineRule="auto"/>
        <w:ind w:left="567" w:hanging="567"/>
        <w:jc w:val="both"/>
        <w:rPr>
          <w:rFonts w:eastAsia="Arial" w:cs="Arial"/>
          <w:lang w:val="es-ES"/>
        </w:rPr>
      </w:pPr>
    </w:p>
    <w:p w14:paraId="6A88388D" w14:textId="2CDEF7FA" w:rsidR="00383490" w:rsidRPr="00CB07B6" w:rsidRDefault="00AD5C50" w:rsidP="00984668">
      <w:pPr>
        <w:widowControl w:val="0"/>
        <w:numPr>
          <w:ilvl w:val="0"/>
          <w:numId w:val="4"/>
        </w:numPr>
        <w:autoSpaceDE w:val="0"/>
        <w:autoSpaceDN w:val="0"/>
        <w:adjustRightInd w:val="0"/>
        <w:spacing w:after="0" w:line="240" w:lineRule="auto"/>
        <w:ind w:left="567" w:hanging="567"/>
        <w:jc w:val="both"/>
        <w:rPr>
          <w:rFonts w:eastAsia="Arial" w:cs="Arial"/>
          <w:lang w:val="es-ES"/>
        </w:rPr>
      </w:pPr>
      <w:r w:rsidRPr="00CB07B6">
        <w:rPr>
          <w:rFonts w:eastAsia="Arial" w:cs="Arial"/>
          <w:lang w:val="es-ES"/>
        </w:rPr>
        <w:t>Después de la enumeración del león y el leopardo (</w:t>
      </w:r>
      <w:r w:rsidR="00C07F4A" w:rsidRPr="00CB07B6">
        <w:rPr>
          <w:rFonts w:eastAsia="Arial" w:cs="Arial"/>
          <w:i/>
          <w:lang w:val="es-ES"/>
        </w:rPr>
        <w:t>Panthera pardus</w:t>
      </w:r>
      <w:r w:rsidR="00E37007" w:rsidRPr="00CB07B6">
        <w:rPr>
          <w:rFonts w:eastAsia="Arial" w:cs="Arial"/>
          <w:iCs/>
          <w:lang w:val="es-ES"/>
        </w:rPr>
        <w:t>) en el Apéndice II de la CMS</w:t>
      </w:r>
      <w:r w:rsidRPr="00CB07B6">
        <w:rPr>
          <w:rFonts w:eastAsia="Arial" w:cs="Arial"/>
          <w:lang w:val="es-ES"/>
        </w:rPr>
        <w:t xml:space="preserve"> en 2017, y basándose en la colaboración entre la CMS y la CITES acerca de la conservación del león, la 12.</w:t>
      </w:r>
      <w:r w:rsidR="00B42D40" w:rsidRPr="00CB07B6">
        <w:rPr>
          <w:rFonts w:eastAsia="Arial" w:cs="Arial"/>
          <w:vertAlign w:val="superscript"/>
          <w:lang w:val="es-ES"/>
        </w:rPr>
        <w:t>a</w:t>
      </w:r>
      <w:r w:rsidRPr="00CB07B6">
        <w:rPr>
          <w:rFonts w:eastAsia="Arial" w:cs="Arial"/>
          <w:lang w:val="es-ES"/>
        </w:rPr>
        <w:t xml:space="preserve"> reunión de la Conferencia de las Partes (COP12) de la CMS encargó a la Secretaría que estableciera una Iniciativa sobre los Carnívoros Africanos (ACI, por sus siglas en inglés), abarcando al león africano, el leopardo y el guepardo (</w:t>
      </w:r>
      <w:r w:rsidR="00905616" w:rsidRPr="00CB07B6">
        <w:rPr>
          <w:rFonts w:eastAsia="Arial" w:cs="Arial"/>
          <w:i/>
          <w:iCs/>
          <w:lang w:val="es-ES"/>
        </w:rPr>
        <w:t>Acinonyx jubatus</w:t>
      </w:r>
      <w:r w:rsidRPr="00CB07B6">
        <w:rPr>
          <w:rFonts w:eastAsia="Arial" w:cs="Arial"/>
          <w:lang w:val="es-ES"/>
        </w:rPr>
        <w:t>) además del licaón africano (</w:t>
      </w:r>
      <w:r w:rsidR="00905616" w:rsidRPr="00CB07B6">
        <w:rPr>
          <w:rFonts w:eastAsia="Arial" w:cs="Arial"/>
          <w:i/>
          <w:iCs/>
          <w:lang w:val="es-ES"/>
        </w:rPr>
        <w:t>Lycaon pictus</w:t>
      </w:r>
      <w:r w:rsidRPr="00CB07B6">
        <w:rPr>
          <w:rFonts w:eastAsia="Arial" w:cs="Arial"/>
          <w:lang w:val="es-ES"/>
        </w:rPr>
        <w:t xml:space="preserve">), todos los cuales —con la excepción del licaón— estaban, por entonces, enumerados en ambas Convenciones. </w:t>
      </w:r>
    </w:p>
    <w:p w14:paraId="07B296AE" w14:textId="30D48163" w:rsidR="005776A3" w:rsidRPr="00CB07B6" w:rsidRDefault="005776A3" w:rsidP="00B064D1">
      <w:pPr>
        <w:widowControl w:val="0"/>
        <w:autoSpaceDE w:val="0"/>
        <w:autoSpaceDN w:val="0"/>
        <w:adjustRightInd w:val="0"/>
        <w:spacing w:after="0" w:line="240" w:lineRule="auto"/>
        <w:ind w:left="567"/>
        <w:jc w:val="both"/>
        <w:rPr>
          <w:rFonts w:eastAsia="Arial" w:cs="Arial"/>
          <w:lang w:val="es-ES"/>
        </w:rPr>
      </w:pPr>
    </w:p>
    <w:p w14:paraId="03A15433" w14:textId="018C6131" w:rsidR="00383490" w:rsidRPr="00CB07B6" w:rsidRDefault="005776A3" w:rsidP="00984668">
      <w:pPr>
        <w:widowControl w:val="0"/>
        <w:numPr>
          <w:ilvl w:val="0"/>
          <w:numId w:val="4"/>
        </w:numPr>
        <w:autoSpaceDE w:val="0"/>
        <w:autoSpaceDN w:val="0"/>
        <w:adjustRightInd w:val="0"/>
        <w:spacing w:after="0" w:line="240" w:lineRule="auto"/>
        <w:ind w:left="567" w:hanging="567"/>
        <w:jc w:val="both"/>
        <w:rPr>
          <w:rFonts w:eastAsia="Arial" w:cs="Arial"/>
          <w:lang w:val="es-ES"/>
        </w:rPr>
      </w:pPr>
      <w:r w:rsidRPr="00CB07B6">
        <w:rPr>
          <w:rFonts w:eastAsia="Arial" w:cs="Arial"/>
          <w:lang w:val="es-ES"/>
        </w:rPr>
        <w:t>Las dos Secretarías organizaron la 1.</w:t>
      </w:r>
      <w:r w:rsidR="00B42D40" w:rsidRPr="00CB07B6">
        <w:rPr>
          <w:rFonts w:eastAsia="Arial" w:cs="Arial"/>
          <w:vertAlign w:val="superscript"/>
          <w:lang w:val="es-ES"/>
        </w:rPr>
        <w:t>a</w:t>
      </w:r>
      <w:r w:rsidRPr="00CB07B6">
        <w:rPr>
          <w:rFonts w:eastAsia="Arial" w:cs="Arial"/>
          <w:lang w:val="es-ES"/>
        </w:rPr>
        <w:t xml:space="preserve"> reunión de los Estados del área de distribución para la Iniciativa conjunta CITES-CMS sobre carnívoros africanos (ACI1, Bonn, Alemania) en 2018. La reunión emitió un </w:t>
      </w:r>
      <w:hyperlink r:id="rId14">
        <w:r w:rsidR="00383490" w:rsidRPr="00CB07B6">
          <w:rPr>
            <w:rStyle w:val="Hyperlink"/>
            <w:lang w:val="es-ES"/>
          </w:rPr>
          <w:t>Comunicado</w:t>
        </w:r>
      </w:hyperlink>
      <w:r w:rsidRPr="00CB07B6">
        <w:rPr>
          <w:rFonts w:eastAsia="Arial" w:cs="Arial"/>
          <w:lang w:val="es-ES"/>
        </w:rPr>
        <w:t xml:space="preserve">, donde se reconocían las amenazas principales a las que se enfrentan los grandes carnívoros africanos actualmente: degradación y fragmentación del hábitat, conversión del hábitat en terreno agrícola y pastos para el ganado, disminución de las presas por la caza furtiva y la crianza del ganado, así como el conflicto ser humano-carnívoro, incluyendo el envenenamiento y las matanzas ilegales. El Comunicado invitó a la COP18 de la CITES y a la COP13 de la CMS </w:t>
      </w:r>
      <w:r w:rsidR="00383490" w:rsidRPr="00CB07B6">
        <w:rPr>
          <w:color w:val="000000" w:themeColor="text1"/>
          <w:lang w:val="es-ES"/>
        </w:rPr>
        <w:t xml:space="preserve">a encargarse </w:t>
      </w:r>
      <w:r w:rsidRPr="00CB07B6">
        <w:rPr>
          <w:rFonts w:eastAsia="Arial" w:cs="Arial"/>
          <w:lang w:val="es-ES"/>
        </w:rPr>
        <w:t xml:space="preserve">del desarrollo de un Programa conjunto de trabajo para la ACI, que incluyera una lista de las medidas y actividades prioritarias. </w:t>
      </w:r>
    </w:p>
    <w:p w14:paraId="297EA71F" w14:textId="77777777" w:rsidR="00383490" w:rsidRPr="00CB07B6" w:rsidRDefault="00383490" w:rsidP="00383490">
      <w:pPr>
        <w:pStyle w:val="ListParagraph"/>
        <w:widowControl w:val="0"/>
        <w:suppressAutoHyphens/>
        <w:spacing w:after="0" w:line="240" w:lineRule="auto"/>
        <w:ind w:left="567"/>
        <w:jc w:val="both"/>
        <w:rPr>
          <w:color w:val="000000"/>
          <w:kern w:val="2"/>
          <w:lang w:val="es-ES"/>
        </w:rPr>
      </w:pPr>
    </w:p>
    <w:p w14:paraId="5A917EFE" w14:textId="0356B3DE" w:rsidR="00346AFE" w:rsidRPr="00CB07B6" w:rsidRDefault="00BD5C86" w:rsidP="00346AFE">
      <w:pPr>
        <w:pStyle w:val="ListParagraph"/>
        <w:widowControl w:val="0"/>
        <w:numPr>
          <w:ilvl w:val="0"/>
          <w:numId w:val="4"/>
        </w:numPr>
        <w:suppressAutoHyphens/>
        <w:spacing w:after="0" w:line="240" w:lineRule="auto"/>
        <w:ind w:left="567" w:hanging="567"/>
        <w:jc w:val="both"/>
        <w:rPr>
          <w:rFonts w:cs="Arial"/>
          <w:color w:val="000000"/>
          <w:kern w:val="2"/>
          <w:lang w:val="es-ES"/>
        </w:rPr>
      </w:pPr>
      <w:r w:rsidRPr="00CB07B6">
        <w:rPr>
          <w:rFonts w:cs="Arial"/>
          <w:color w:val="000000"/>
          <w:kern w:val="2"/>
          <w:lang w:val="es-ES"/>
        </w:rPr>
        <w:t xml:space="preserve">Posteriormente, la COP13 de la CMS (2020) adoptó la </w:t>
      </w:r>
      <w:hyperlink r:id="rId15" w:history="1">
        <w:r w:rsidR="00FB5C4A" w:rsidRPr="00CB07B6">
          <w:rPr>
            <w:rStyle w:val="Hyperlink"/>
            <w:rFonts w:cs="Arial"/>
            <w:kern w:val="2"/>
            <w:lang w:val="es-ES"/>
          </w:rPr>
          <w:t>Resolución 13.4</w:t>
        </w:r>
      </w:hyperlink>
      <w:r w:rsidR="00FB5C4A" w:rsidRPr="00CB07B6">
        <w:rPr>
          <w:rFonts w:cs="Arial"/>
          <w:kern w:val="2"/>
          <w:lang w:val="es-ES"/>
        </w:rPr>
        <w:t xml:space="preserve"> </w:t>
      </w:r>
      <w:r w:rsidR="00FB5C4A" w:rsidRPr="00CB07B6">
        <w:rPr>
          <w:rFonts w:cs="Arial"/>
          <w:i/>
          <w:iCs/>
          <w:kern w:val="2"/>
          <w:lang w:val="es-ES"/>
        </w:rPr>
        <w:t>Iniciativa conjunta CITES-CMS para carnívoros africanos</w:t>
      </w:r>
      <w:r w:rsidR="0063604E" w:rsidRPr="00CB07B6">
        <w:rPr>
          <w:rFonts w:cs="Arial"/>
          <w:color w:val="000000"/>
          <w:kern w:val="2"/>
          <w:lang w:val="es-ES"/>
        </w:rPr>
        <w:t xml:space="preserve">, que establece los objetivos, el rol y el enfoque de la iniciativa a largo plazo. También adoptó las </w:t>
      </w:r>
      <w:hyperlink r:id="rId16" w:history="1">
        <w:r w:rsidR="00346AFE" w:rsidRPr="00CB07B6">
          <w:rPr>
            <w:rStyle w:val="Hyperlink"/>
            <w:rFonts w:cs="Arial"/>
            <w:kern w:val="2"/>
            <w:lang w:val="es-ES"/>
          </w:rPr>
          <w:t>Decisiones 13.86-13.87</w:t>
        </w:r>
      </w:hyperlink>
      <w:r w:rsidR="00346AFE" w:rsidRPr="00CB07B6">
        <w:rPr>
          <w:rFonts w:cs="Arial"/>
          <w:color w:val="000000"/>
          <w:kern w:val="2"/>
          <w:lang w:val="es-ES"/>
        </w:rPr>
        <w:t xml:space="preserve"> </w:t>
      </w:r>
      <w:r w:rsidR="00346AFE" w:rsidRPr="00CB07B6">
        <w:rPr>
          <w:i/>
          <w:color w:val="000000"/>
          <w:kern w:val="2"/>
          <w:lang w:val="es-ES"/>
        </w:rPr>
        <w:t>Iniciativa conjunta CITES-CMS para carnívoros africanos</w:t>
      </w:r>
      <w:r w:rsidR="00346AFE" w:rsidRPr="00CB07B6">
        <w:rPr>
          <w:rFonts w:cs="Arial"/>
          <w:color w:val="000000"/>
          <w:kern w:val="2"/>
          <w:lang w:val="es-ES"/>
        </w:rPr>
        <w:t xml:space="preserve">: </w:t>
      </w:r>
    </w:p>
    <w:p w14:paraId="4F97E95A" w14:textId="77777777" w:rsidR="00820572" w:rsidRPr="00CB07B6" w:rsidRDefault="00820572" w:rsidP="00D418E6">
      <w:pPr>
        <w:spacing w:after="0" w:line="240" w:lineRule="auto"/>
        <w:rPr>
          <w:lang w:val="es-ES"/>
        </w:rPr>
      </w:pPr>
    </w:p>
    <w:p w14:paraId="3783D646" w14:textId="10AA79C9" w:rsidR="006B3D96" w:rsidRPr="0034542E" w:rsidRDefault="006B3D96" w:rsidP="00406EA1">
      <w:pPr>
        <w:widowControl w:val="0"/>
        <w:autoSpaceDE w:val="0"/>
        <w:autoSpaceDN w:val="0"/>
        <w:adjustRightInd w:val="0"/>
        <w:spacing w:after="0" w:line="240" w:lineRule="auto"/>
        <w:ind w:left="794"/>
        <w:jc w:val="both"/>
        <w:rPr>
          <w:rFonts w:cs="Arial"/>
          <w:b/>
          <w:i/>
          <w:sz w:val="20"/>
          <w:szCs w:val="20"/>
          <w:lang w:val="es-ES"/>
        </w:rPr>
      </w:pPr>
      <w:r w:rsidRPr="0034542E">
        <w:rPr>
          <w:rFonts w:cs="Arial"/>
          <w:b/>
          <w:i/>
          <w:sz w:val="20"/>
          <w:szCs w:val="20"/>
          <w:lang w:val="es-ES"/>
        </w:rPr>
        <w:t>13.86</w:t>
      </w:r>
      <w:r w:rsidR="00925675" w:rsidRPr="0034542E">
        <w:rPr>
          <w:rFonts w:cs="Arial"/>
          <w:b/>
          <w:i/>
          <w:sz w:val="20"/>
          <w:szCs w:val="20"/>
          <w:lang w:val="es-ES"/>
        </w:rPr>
        <w:t xml:space="preserve"> Decisi</w:t>
      </w:r>
      <w:r w:rsidR="00EB799C" w:rsidRPr="0034542E">
        <w:rPr>
          <w:rFonts w:cs="Arial"/>
          <w:b/>
          <w:i/>
          <w:sz w:val="20"/>
          <w:szCs w:val="20"/>
          <w:lang w:val="es-ES"/>
        </w:rPr>
        <w:t>ón dirigida a la Secretaría</w:t>
      </w:r>
    </w:p>
    <w:p w14:paraId="57C014BE" w14:textId="77777777" w:rsidR="006B3D96" w:rsidRPr="0034542E" w:rsidRDefault="006B3D96" w:rsidP="00144D13">
      <w:pPr>
        <w:spacing w:after="0" w:line="240" w:lineRule="auto"/>
        <w:ind w:left="720"/>
        <w:jc w:val="both"/>
        <w:rPr>
          <w:i/>
          <w:iCs/>
          <w:sz w:val="20"/>
          <w:szCs w:val="20"/>
          <w:lang w:val="es-ES"/>
        </w:rPr>
      </w:pPr>
    </w:p>
    <w:p w14:paraId="7E95041D" w14:textId="77777777" w:rsidR="00EB799C" w:rsidRPr="0034542E" w:rsidRDefault="00EB799C" w:rsidP="00EB799C">
      <w:pPr>
        <w:spacing w:after="0" w:line="240" w:lineRule="auto"/>
        <w:ind w:left="720"/>
        <w:jc w:val="both"/>
        <w:rPr>
          <w:rFonts w:cs="Arial"/>
          <w:i/>
          <w:iCs/>
          <w:sz w:val="20"/>
          <w:szCs w:val="20"/>
          <w:lang w:val="es-ES"/>
        </w:rPr>
      </w:pPr>
      <w:r w:rsidRPr="0034542E">
        <w:rPr>
          <w:rFonts w:cs="Arial"/>
          <w:i/>
          <w:iCs/>
          <w:sz w:val="20"/>
          <w:szCs w:val="20"/>
          <w:lang w:val="es-ES"/>
        </w:rPr>
        <w:t>La Secretaría deberá:</w:t>
      </w:r>
    </w:p>
    <w:p w14:paraId="35CBCB9D" w14:textId="77777777" w:rsidR="00EB799C" w:rsidRPr="0034542E" w:rsidRDefault="00EB799C" w:rsidP="00EB799C">
      <w:pPr>
        <w:spacing w:after="0" w:line="240" w:lineRule="auto"/>
        <w:ind w:left="720"/>
        <w:jc w:val="both"/>
        <w:rPr>
          <w:rFonts w:cs="Arial"/>
          <w:i/>
          <w:iCs/>
          <w:sz w:val="20"/>
          <w:szCs w:val="20"/>
          <w:lang w:val="es-ES"/>
        </w:rPr>
      </w:pPr>
    </w:p>
    <w:p w14:paraId="664F2245" w14:textId="71EF64EE" w:rsidR="00EB799C" w:rsidRPr="0034542E" w:rsidRDefault="00EB799C" w:rsidP="0034542E">
      <w:pPr>
        <w:pStyle w:val="ListParagraph"/>
        <w:numPr>
          <w:ilvl w:val="0"/>
          <w:numId w:val="21"/>
        </w:numPr>
        <w:spacing w:after="0" w:line="240" w:lineRule="auto"/>
        <w:jc w:val="both"/>
        <w:rPr>
          <w:rFonts w:cs="Arial"/>
          <w:i/>
          <w:iCs/>
          <w:sz w:val="20"/>
          <w:szCs w:val="20"/>
          <w:lang w:val="es-ES"/>
        </w:rPr>
      </w:pPr>
      <w:r w:rsidRPr="0034542E">
        <w:rPr>
          <w:rFonts w:cs="Arial"/>
          <w:i/>
          <w:iCs/>
          <w:sz w:val="20"/>
          <w:szCs w:val="20"/>
          <w:lang w:val="es-ES"/>
        </w:rPr>
        <w:t>trabajar con la Secretaría de la Convención sobre el Comercio Internacional de Especies Amenazadas de Fauna y Flora Silvestres (CITES) para incluir a la Iniciativa para los Carnívoros de África en las propuestas para el nuevo programa de trabajo conjunto CMS-CITES para el periodo 2021-2025, aún por desarrollar;</w:t>
      </w:r>
    </w:p>
    <w:p w14:paraId="04E2A1EA" w14:textId="77777777" w:rsidR="00EB799C" w:rsidRPr="0034542E" w:rsidRDefault="00EB799C" w:rsidP="00EB799C">
      <w:pPr>
        <w:spacing w:after="0" w:line="240" w:lineRule="auto"/>
        <w:ind w:left="720"/>
        <w:jc w:val="both"/>
        <w:rPr>
          <w:rFonts w:cs="Arial"/>
          <w:i/>
          <w:iCs/>
          <w:sz w:val="20"/>
          <w:szCs w:val="20"/>
          <w:lang w:val="es-ES"/>
        </w:rPr>
      </w:pPr>
    </w:p>
    <w:p w14:paraId="056A3041" w14:textId="44461239" w:rsidR="00EB799C" w:rsidRPr="0034542E" w:rsidRDefault="00EB799C" w:rsidP="0034542E">
      <w:pPr>
        <w:pStyle w:val="ListParagraph"/>
        <w:numPr>
          <w:ilvl w:val="0"/>
          <w:numId w:val="21"/>
        </w:numPr>
        <w:spacing w:after="0" w:line="240" w:lineRule="auto"/>
        <w:jc w:val="both"/>
        <w:rPr>
          <w:rFonts w:cs="Arial"/>
          <w:i/>
          <w:iCs/>
          <w:sz w:val="20"/>
          <w:szCs w:val="20"/>
          <w:lang w:val="es-ES"/>
        </w:rPr>
      </w:pPr>
      <w:r w:rsidRPr="0034542E">
        <w:rPr>
          <w:rFonts w:cs="Arial"/>
          <w:i/>
          <w:iCs/>
          <w:sz w:val="20"/>
          <w:szCs w:val="20"/>
          <w:lang w:val="es-ES"/>
        </w:rPr>
        <w:t xml:space="preserve">desarrollar, en estrecha colaboración con la Secretaría de la CITES y la Unión Internacional para la Conservación de la Naturaleza (UICN), un proyecto de programa de trabajo (PdT) para la Iniciativa sobre los Carnívoros de África, teniendo en cuenta las Decisiones adoptadas por la 13ª reunión de la Conferencia de las Partes (COP13) de la CMS sobre el licaón africano, el guepardo, el leopardo y el león, los resultados de la CITES COP18, así como las recomendaciones que aportó la Primera Reunión de los Estados del área de distribución de la Iniciativa Conjunta CITES-CMS para los Carnívoros de África </w:t>
      </w:r>
      <w:r w:rsidRPr="0034542E">
        <w:rPr>
          <w:rFonts w:cs="Arial"/>
          <w:i/>
          <w:iCs/>
          <w:sz w:val="20"/>
          <w:szCs w:val="20"/>
          <w:lang w:val="es-ES"/>
        </w:rPr>
        <w:lastRenderedPageBreak/>
        <w:t>(ACI1) y teniendo en cuenta todas las amenazas que pesan sobre los carnívoros africanos que amenazan su supervivencia;</w:t>
      </w:r>
    </w:p>
    <w:p w14:paraId="55C9E176" w14:textId="77777777" w:rsidR="00EB799C" w:rsidRPr="0034542E" w:rsidRDefault="00EB799C" w:rsidP="00EB799C">
      <w:pPr>
        <w:spacing w:after="0" w:line="240" w:lineRule="auto"/>
        <w:ind w:left="720"/>
        <w:jc w:val="both"/>
        <w:rPr>
          <w:rFonts w:cs="Arial"/>
          <w:i/>
          <w:iCs/>
          <w:sz w:val="20"/>
          <w:szCs w:val="20"/>
          <w:lang w:val="es-ES"/>
        </w:rPr>
      </w:pPr>
    </w:p>
    <w:p w14:paraId="3CDB6062" w14:textId="701BAE72" w:rsidR="00EB799C" w:rsidRPr="0034542E" w:rsidRDefault="00EB799C" w:rsidP="0034542E">
      <w:pPr>
        <w:pStyle w:val="ListParagraph"/>
        <w:numPr>
          <w:ilvl w:val="0"/>
          <w:numId w:val="21"/>
        </w:numPr>
        <w:spacing w:after="0" w:line="240" w:lineRule="auto"/>
        <w:jc w:val="both"/>
        <w:rPr>
          <w:rFonts w:cs="Arial"/>
          <w:i/>
          <w:iCs/>
          <w:sz w:val="20"/>
          <w:szCs w:val="20"/>
          <w:lang w:val="es-ES"/>
        </w:rPr>
      </w:pPr>
      <w:r w:rsidRPr="0034542E">
        <w:rPr>
          <w:rFonts w:cs="Arial"/>
          <w:i/>
          <w:iCs/>
          <w:sz w:val="20"/>
          <w:szCs w:val="20"/>
          <w:lang w:val="es-ES"/>
        </w:rPr>
        <w:t>presentar el proyecto de Programa de Trabajo al Comité Permanente de la CMS para su aprobación; e</w:t>
      </w:r>
    </w:p>
    <w:p w14:paraId="470D5463" w14:textId="77777777" w:rsidR="00EB799C" w:rsidRPr="0034542E" w:rsidRDefault="00EB799C" w:rsidP="00EB799C">
      <w:pPr>
        <w:spacing w:after="0" w:line="240" w:lineRule="auto"/>
        <w:ind w:left="720"/>
        <w:jc w:val="both"/>
        <w:rPr>
          <w:rFonts w:cs="Arial"/>
          <w:i/>
          <w:iCs/>
          <w:sz w:val="20"/>
          <w:szCs w:val="20"/>
          <w:lang w:val="es-ES"/>
        </w:rPr>
      </w:pPr>
    </w:p>
    <w:p w14:paraId="3EE74BD1" w14:textId="2D0FA531" w:rsidR="006B3D96" w:rsidRPr="0034542E" w:rsidRDefault="00EB799C" w:rsidP="0034542E">
      <w:pPr>
        <w:pStyle w:val="ListParagraph"/>
        <w:numPr>
          <w:ilvl w:val="0"/>
          <w:numId w:val="21"/>
        </w:numPr>
        <w:spacing w:after="0" w:line="240" w:lineRule="auto"/>
        <w:jc w:val="both"/>
        <w:rPr>
          <w:i/>
          <w:iCs/>
          <w:sz w:val="20"/>
          <w:szCs w:val="20"/>
          <w:lang w:val="es-ES"/>
        </w:rPr>
      </w:pPr>
      <w:r w:rsidRPr="0034542E">
        <w:rPr>
          <w:rFonts w:cs="Arial"/>
          <w:i/>
          <w:iCs/>
          <w:sz w:val="20"/>
          <w:szCs w:val="20"/>
          <w:lang w:val="es-ES"/>
        </w:rPr>
        <w:t>informar acerca de la implementación de esta Decisión a la COP14</w:t>
      </w:r>
    </w:p>
    <w:p w14:paraId="0D80DF61" w14:textId="77777777" w:rsidR="00EB799C" w:rsidRPr="004E2F2C" w:rsidRDefault="00EB799C" w:rsidP="00144D13">
      <w:pPr>
        <w:spacing w:after="0" w:line="240" w:lineRule="auto"/>
        <w:ind w:left="720"/>
        <w:jc w:val="both"/>
        <w:rPr>
          <w:b/>
          <w:bCs/>
          <w:i/>
          <w:iCs/>
          <w:sz w:val="20"/>
          <w:szCs w:val="20"/>
          <w:lang w:val="es-ES"/>
        </w:rPr>
      </w:pPr>
    </w:p>
    <w:p w14:paraId="05755153" w14:textId="0BAEC69C" w:rsidR="006B3D96" w:rsidRPr="0034542E" w:rsidRDefault="006B3D96" w:rsidP="00144D13">
      <w:pPr>
        <w:spacing w:after="0" w:line="240" w:lineRule="auto"/>
        <w:ind w:left="720"/>
        <w:jc w:val="both"/>
        <w:rPr>
          <w:b/>
          <w:bCs/>
          <w:i/>
          <w:iCs/>
          <w:sz w:val="20"/>
          <w:szCs w:val="20"/>
          <w:lang w:val="es-ES"/>
        </w:rPr>
      </w:pPr>
      <w:r w:rsidRPr="0034542E">
        <w:rPr>
          <w:b/>
          <w:bCs/>
          <w:i/>
          <w:iCs/>
          <w:sz w:val="20"/>
          <w:szCs w:val="20"/>
          <w:lang w:val="es-ES"/>
        </w:rPr>
        <w:t>13.87</w:t>
      </w:r>
      <w:r w:rsidR="00925675" w:rsidRPr="0034542E">
        <w:rPr>
          <w:b/>
          <w:bCs/>
          <w:i/>
          <w:iCs/>
          <w:sz w:val="20"/>
          <w:szCs w:val="20"/>
          <w:lang w:val="es-ES"/>
        </w:rPr>
        <w:t xml:space="preserve"> Decisi</w:t>
      </w:r>
      <w:r w:rsidR="00EB799C" w:rsidRPr="0034542E">
        <w:rPr>
          <w:b/>
          <w:bCs/>
          <w:i/>
          <w:iCs/>
          <w:sz w:val="20"/>
          <w:szCs w:val="20"/>
          <w:lang w:val="es-ES"/>
        </w:rPr>
        <w:t>ón dirigida al Comité Permanente</w:t>
      </w:r>
    </w:p>
    <w:p w14:paraId="00BD8B50" w14:textId="77777777" w:rsidR="006B3D96" w:rsidRPr="0034542E" w:rsidRDefault="006B3D96" w:rsidP="00144D13">
      <w:pPr>
        <w:spacing w:after="0" w:line="240" w:lineRule="auto"/>
        <w:ind w:left="720"/>
        <w:jc w:val="both"/>
        <w:rPr>
          <w:i/>
          <w:iCs/>
          <w:sz w:val="20"/>
          <w:szCs w:val="20"/>
          <w:lang w:val="es-ES"/>
        </w:rPr>
      </w:pPr>
    </w:p>
    <w:p w14:paraId="5B052EC7" w14:textId="6E51CD41" w:rsidR="007210F9" w:rsidRPr="0034542E" w:rsidRDefault="0034542E" w:rsidP="0034542E">
      <w:pPr>
        <w:spacing w:after="0" w:line="240" w:lineRule="auto"/>
        <w:ind w:left="720"/>
        <w:rPr>
          <w:lang w:val="es-ES"/>
        </w:rPr>
      </w:pPr>
      <w:r w:rsidRPr="0034542E">
        <w:rPr>
          <w:i/>
          <w:iCs/>
          <w:sz w:val="20"/>
          <w:szCs w:val="20"/>
          <w:lang w:val="es-ES"/>
        </w:rPr>
        <w:t>Se solicita al Comité Permanente que revise y apruebe el proyecto de programa de trabajo presentado por la Secretaría</w:t>
      </w:r>
    </w:p>
    <w:p w14:paraId="51AF1306" w14:textId="51A1D6DA" w:rsidR="008128B1" w:rsidRPr="00CB07B6" w:rsidRDefault="008128B1" w:rsidP="008128B1">
      <w:pPr>
        <w:spacing w:after="0" w:line="240" w:lineRule="auto"/>
        <w:jc w:val="both"/>
        <w:rPr>
          <w:rFonts w:cs="Arial"/>
          <w:u w:val="single"/>
          <w:lang w:val="es-ES"/>
        </w:rPr>
      </w:pPr>
      <w:r w:rsidRPr="00CB07B6">
        <w:rPr>
          <w:u w:val="single"/>
          <w:lang w:val="es-ES"/>
        </w:rPr>
        <w:t xml:space="preserve">Implementación de las </w:t>
      </w:r>
      <w:r w:rsidR="00FB5C4A" w:rsidRPr="00CB07B6">
        <w:rPr>
          <w:lang w:val="es-ES"/>
        </w:rPr>
        <w:t>Decisiones 13.86-13.87</w:t>
      </w:r>
      <w:r w:rsidRPr="00CB07B6">
        <w:rPr>
          <w:rFonts w:cs="Arial"/>
          <w:u w:val="single"/>
          <w:lang w:val="es-ES"/>
        </w:rPr>
        <w:t xml:space="preserve"> </w:t>
      </w:r>
      <w:r w:rsidRPr="00CB07B6">
        <w:rPr>
          <w:rFonts w:cs="Arial"/>
          <w:i/>
          <w:u w:val="single"/>
          <w:lang w:val="es-ES"/>
        </w:rPr>
        <w:t>Iniciativa conjunta CITES-CMS para carnívoros africanos</w:t>
      </w:r>
    </w:p>
    <w:p w14:paraId="0B878B4B" w14:textId="77777777" w:rsidR="008128B1" w:rsidRPr="00CB07B6" w:rsidRDefault="008128B1" w:rsidP="008128B1">
      <w:pPr>
        <w:spacing w:after="0" w:line="240" w:lineRule="auto"/>
        <w:jc w:val="both"/>
        <w:rPr>
          <w:rFonts w:cs="Arial"/>
          <w:u w:val="single"/>
          <w:lang w:val="es-ES"/>
        </w:rPr>
      </w:pPr>
    </w:p>
    <w:p w14:paraId="592122B3" w14:textId="7468415F" w:rsidR="00002A30" w:rsidRPr="00CB07B6" w:rsidRDefault="003C7DAD" w:rsidP="000E7DBD">
      <w:pPr>
        <w:pStyle w:val="ListParagraph"/>
        <w:widowControl w:val="0"/>
        <w:numPr>
          <w:ilvl w:val="0"/>
          <w:numId w:val="4"/>
        </w:numPr>
        <w:suppressAutoHyphens/>
        <w:spacing w:after="0" w:line="240" w:lineRule="auto"/>
        <w:ind w:left="567" w:hanging="567"/>
        <w:jc w:val="both"/>
        <w:rPr>
          <w:rFonts w:cs="Arial"/>
          <w:color w:val="000000"/>
          <w:kern w:val="2"/>
          <w:lang w:val="es-ES"/>
        </w:rPr>
      </w:pPr>
      <w:r w:rsidRPr="00CB07B6">
        <w:rPr>
          <w:lang w:val="es-ES"/>
        </w:rPr>
        <w:t>En línea con la Decisión 13.86 (a), el</w:t>
      </w:r>
      <w:r w:rsidR="00693762" w:rsidRPr="00CB07B6">
        <w:rPr>
          <w:rFonts w:cs="Arial"/>
          <w:color w:val="000000"/>
          <w:kern w:val="2"/>
          <w:lang w:val="es-ES"/>
        </w:rPr>
        <w:t xml:space="preserve"> Comité permanente de la CMS, en su 52.</w:t>
      </w:r>
      <w:r w:rsidR="00921012" w:rsidRPr="00CB07B6">
        <w:rPr>
          <w:rFonts w:cs="Arial"/>
          <w:color w:val="000000"/>
          <w:kern w:val="2"/>
          <w:vertAlign w:val="superscript"/>
          <w:lang w:val="es-ES"/>
        </w:rPr>
        <w:t>a</w:t>
      </w:r>
      <w:r w:rsidR="00921012" w:rsidRPr="00CB07B6">
        <w:rPr>
          <w:rFonts w:cs="Arial"/>
          <w:color w:val="000000"/>
          <w:kern w:val="2"/>
          <w:lang w:val="es-ES"/>
        </w:rPr>
        <w:t xml:space="preserve"> reunión (en línea, entre el 21 y el 29 de septiembre de 2021), adoptó el </w:t>
      </w:r>
      <w:hyperlink r:id="rId17" w:history="1">
        <w:r w:rsidR="009601A8" w:rsidRPr="00CB07B6">
          <w:rPr>
            <w:rStyle w:val="Hyperlink"/>
            <w:rFonts w:cs="Arial"/>
            <w:kern w:val="2"/>
            <w:lang w:val="es-ES"/>
          </w:rPr>
          <w:t>Programa de Trabajo conjunto para la CMS-CITES de 2021-2025</w:t>
        </w:r>
      </w:hyperlink>
      <w:r w:rsidR="000F0961" w:rsidRPr="00CB07B6">
        <w:rPr>
          <w:rFonts w:cs="Arial"/>
          <w:color w:val="000000"/>
          <w:kern w:val="2"/>
          <w:lang w:val="es-ES"/>
        </w:rPr>
        <w:t xml:space="preserve"> (JWP), incluyendo la </w:t>
      </w:r>
      <w:r w:rsidRPr="00CB07B6">
        <w:rPr>
          <w:lang w:val="es-ES"/>
        </w:rPr>
        <w:t xml:space="preserve">Actividad B9 sobre </w:t>
      </w:r>
      <w:r w:rsidR="00090732" w:rsidRPr="00CB07B6">
        <w:rPr>
          <w:i/>
          <w:iCs/>
          <w:lang w:val="es-ES"/>
        </w:rPr>
        <w:t>grandes felinos</w:t>
      </w:r>
      <w:r w:rsidR="006F0E10" w:rsidRPr="00CB07B6">
        <w:rPr>
          <w:rFonts w:cs="Arial"/>
          <w:color w:val="000000"/>
          <w:kern w:val="2"/>
          <w:lang w:val="es-ES"/>
        </w:rPr>
        <w:t xml:space="preserve"> (incluida en la Sección </w:t>
      </w:r>
      <w:r w:rsidRPr="00CB07B6">
        <w:rPr>
          <w:lang w:val="es-ES"/>
        </w:rPr>
        <w:t xml:space="preserve">B </w:t>
      </w:r>
      <w:r w:rsidR="006F0E10" w:rsidRPr="00CB07B6">
        <w:rPr>
          <w:i/>
          <w:iCs/>
          <w:lang w:val="es-ES"/>
        </w:rPr>
        <w:t>Actividades conjuntas para tratar las especies compartidas</w:t>
      </w:r>
      <w:r w:rsidR="006F0E10" w:rsidRPr="00CB07B6">
        <w:rPr>
          <w:lang w:val="es-ES"/>
        </w:rPr>
        <w:t>)</w:t>
      </w:r>
      <w:r w:rsidR="006E365E" w:rsidRPr="00CB07B6">
        <w:rPr>
          <w:lang w:val="es-ES"/>
        </w:rPr>
        <w:t>:</w:t>
      </w:r>
      <w:r w:rsidR="00315294" w:rsidRPr="00CB07B6">
        <w:rPr>
          <w:lang w:val="es-ES"/>
        </w:rPr>
        <w:t xml:space="preserve"> </w:t>
      </w:r>
    </w:p>
    <w:p w14:paraId="2B79A19B" w14:textId="77777777" w:rsidR="00002A30" w:rsidRPr="00CB07B6" w:rsidRDefault="00002A30" w:rsidP="00002A30">
      <w:pPr>
        <w:pStyle w:val="ListParagraph"/>
        <w:widowControl w:val="0"/>
        <w:suppressAutoHyphens/>
        <w:spacing w:after="0" w:line="240" w:lineRule="auto"/>
        <w:ind w:left="567"/>
        <w:jc w:val="both"/>
        <w:rPr>
          <w:lang w:val="es-ES"/>
        </w:rPr>
      </w:pPr>
    </w:p>
    <w:p w14:paraId="7F1B5311" w14:textId="3FC98C9D" w:rsidR="00063FDC" w:rsidRDefault="004E2F2C" w:rsidP="004E2F2C">
      <w:pPr>
        <w:pStyle w:val="ListParagraph"/>
        <w:widowControl w:val="0"/>
        <w:suppressAutoHyphens/>
        <w:spacing w:after="0" w:line="240" w:lineRule="auto"/>
        <w:ind w:left="567"/>
        <w:jc w:val="both"/>
        <w:rPr>
          <w:i/>
          <w:sz w:val="20"/>
          <w:szCs w:val="20"/>
          <w:lang w:val="es-ES"/>
        </w:rPr>
      </w:pPr>
      <w:r w:rsidRPr="004E2F2C">
        <w:rPr>
          <w:i/>
          <w:sz w:val="20"/>
          <w:szCs w:val="20"/>
          <w:lang w:val="es-ES"/>
        </w:rPr>
        <w:t xml:space="preserve">Colaborar en la elaboración e implantación de la Iniciativa Conjunta de la CMS y la CITES </w:t>
      </w:r>
      <w:r>
        <w:rPr>
          <w:i/>
          <w:sz w:val="20"/>
          <w:szCs w:val="20"/>
          <w:lang w:val="es-ES"/>
        </w:rPr>
        <w:t xml:space="preserve"> </w:t>
      </w:r>
      <w:r w:rsidRPr="004E2F2C">
        <w:rPr>
          <w:i/>
          <w:sz w:val="20"/>
          <w:szCs w:val="20"/>
          <w:lang w:val="es-ES"/>
        </w:rPr>
        <w:t>para los Carnívoros Africanos, lo que incluye la elaboración de un programa de trabajo</w:t>
      </w:r>
      <w:r>
        <w:rPr>
          <w:i/>
          <w:sz w:val="20"/>
          <w:szCs w:val="20"/>
          <w:lang w:val="es-ES"/>
        </w:rPr>
        <w:t xml:space="preserve"> </w:t>
      </w:r>
      <w:r w:rsidRPr="004E2F2C">
        <w:rPr>
          <w:i/>
          <w:sz w:val="20"/>
          <w:szCs w:val="20"/>
          <w:lang w:val="es-ES"/>
        </w:rPr>
        <w:t>conjunto, la organización de reuniones periódicas de los Estados del área de distribución y el establecimiento de un mecanismo de financiación sostenible.</w:t>
      </w:r>
    </w:p>
    <w:p w14:paraId="22B41A0F" w14:textId="77777777" w:rsidR="004E2F2C" w:rsidRPr="004E2F2C" w:rsidRDefault="004E2F2C" w:rsidP="004E2F2C">
      <w:pPr>
        <w:pStyle w:val="ListParagraph"/>
        <w:widowControl w:val="0"/>
        <w:suppressAutoHyphens/>
        <w:spacing w:after="0" w:line="240" w:lineRule="auto"/>
        <w:ind w:left="567"/>
        <w:rPr>
          <w:rFonts w:cs="Arial"/>
          <w:color w:val="000000"/>
          <w:kern w:val="2"/>
          <w:lang w:val="es-ES"/>
        </w:rPr>
      </w:pPr>
    </w:p>
    <w:p w14:paraId="7F69C81F" w14:textId="48818602" w:rsidR="00A15B5D" w:rsidRPr="00CB07B6" w:rsidRDefault="00A15B5D" w:rsidP="00DB6FDD">
      <w:pPr>
        <w:pStyle w:val="ListParagraph"/>
        <w:widowControl w:val="0"/>
        <w:numPr>
          <w:ilvl w:val="0"/>
          <w:numId w:val="4"/>
        </w:numPr>
        <w:suppressAutoHyphens/>
        <w:spacing w:after="0" w:line="240" w:lineRule="auto"/>
        <w:ind w:left="567" w:hanging="567"/>
        <w:jc w:val="both"/>
        <w:rPr>
          <w:rFonts w:eastAsia="Arial" w:cs="Arial"/>
          <w:lang w:val="es-ES"/>
        </w:rPr>
      </w:pPr>
      <w:r w:rsidRPr="00CB07B6">
        <w:rPr>
          <w:rFonts w:eastAsia="Arial" w:cs="Arial"/>
          <w:lang w:val="es-ES"/>
        </w:rPr>
        <w:t xml:space="preserve">Tal como se encargó en la Decisión de la COP de la CMS 13.86 (b) y la Decisión de la COP de la CITES 18.56 (b)(i), las dos Secretarías desarrollaron, en estrecha colaboración con la UICN, un </w:t>
      </w:r>
      <w:hyperlink r:id="rId18" w:history="1">
        <w:r w:rsidR="00A96735" w:rsidRPr="00CB07B6">
          <w:rPr>
            <w:rStyle w:val="Hyperlink"/>
            <w:rFonts w:eastAsia="Arial" w:cs="Arial"/>
            <w:lang w:val="es-ES"/>
          </w:rPr>
          <w:t>Programa de Trabajo (PdT)</w:t>
        </w:r>
      </w:hyperlink>
      <w:r w:rsidRPr="00CB07B6">
        <w:rPr>
          <w:rFonts w:eastAsia="Arial" w:cs="Arial"/>
          <w:lang w:val="es-ES"/>
        </w:rPr>
        <w:t>. Se consultó a los Estados del área de distribución acerca del Pdt (a través de medios electrónicos) antes de que este fuera aprobado por el Comité Permanente de ambas Convenciones en septiembre de 2021. El PdT de la ACI tuvo en cuenta todas las Decisiones adoptadas por la COP13 de la CMS sobre el licaón africano, el guepardo, el leopardo y el león, los resultados de la COP18 de la CITES, así como las recomendaciones emanadas de la 1.</w:t>
      </w:r>
      <w:r w:rsidR="006F0E10" w:rsidRPr="00CB07B6">
        <w:rPr>
          <w:rFonts w:eastAsia="Arial" w:cs="Arial"/>
          <w:vertAlign w:val="superscript"/>
          <w:lang w:val="es-ES"/>
        </w:rPr>
        <w:t>a</w:t>
      </w:r>
      <w:r w:rsidRPr="00CB07B6">
        <w:rPr>
          <w:rFonts w:eastAsia="Arial" w:cs="Arial"/>
          <w:lang w:val="es-ES"/>
        </w:rPr>
        <w:t xml:space="preserve"> reunión de los Estados del área de distribución para la Iniciativa conjunta CITES-CMS sobre carnívoros africanos (ACI1), además de tener en consideración todas las amenazas para la supervivencia de los carnívoros africanos.</w:t>
      </w:r>
    </w:p>
    <w:p w14:paraId="116FA848" w14:textId="77777777" w:rsidR="000C7AF8" w:rsidRPr="00CB07B6" w:rsidRDefault="000C7AF8" w:rsidP="000C7AF8">
      <w:pPr>
        <w:pStyle w:val="ListParagraph"/>
        <w:rPr>
          <w:rFonts w:eastAsia="Arial" w:cs="Arial"/>
          <w:highlight w:val="lightGray"/>
          <w:lang w:val="es-ES"/>
        </w:rPr>
      </w:pPr>
    </w:p>
    <w:p w14:paraId="56979D05" w14:textId="34F66929" w:rsidR="000C7AF8" w:rsidRPr="00CB07B6" w:rsidRDefault="00446B7A" w:rsidP="00DB6FDD">
      <w:pPr>
        <w:pStyle w:val="ListParagraph"/>
        <w:widowControl w:val="0"/>
        <w:numPr>
          <w:ilvl w:val="0"/>
          <w:numId w:val="4"/>
        </w:numPr>
        <w:suppressAutoHyphens/>
        <w:spacing w:after="0" w:line="240" w:lineRule="auto"/>
        <w:ind w:left="567" w:hanging="567"/>
        <w:jc w:val="both"/>
        <w:rPr>
          <w:rFonts w:eastAsia="Arial" w:cs="Arial"/>
          <w:lang w:val="es-ES"/>
        </w:rPr>
      </w:pPr>
      <w:r w:rsidRPr="00CB07B6">
        <w:rPr>
          <w:rFonts w:eastAsia="Arial" w:cs="Arial"/>
          <w:lang w:val="es-ES"/>
        </w:rPr>
        <w:t xml:space="preserve">Tal como se encargó, las </w:t>
      </w:r>
      <w:hyperlink r:id="rId19" w:history="1">
        <w:r w:rsidR="00DF3CAE" w:rsidRPr="00CB07B6">
          <w:rPr>
            <w:rStyle w:val="Hyperlink"/>
            <w:rFonts w:cs="Arial"/>
            <w:lang w:val="es-ES"/>
          </w:rPr>
          <w:t>Decisiones específicas de las especies de la CMS 13.88–13.91</w:t>
        </w:r>
      </w:hyperlink>
      <w:r w:rsidRPr="00CB07B6">
        <w:rPr>
          <w:rFonts w:eastAsia="Arial" w:cs="Arial"/>
          <w:lang w:val="es-ES"/>
        </w:rPr>
        <w:t xml:space="preserve"> </w:t>
      </w:r>
      <w:r w:rsidR="00DF3CAE" w:rsidRPr="00CB07B6">
        <w:rPr>
          <w:rFonts w:cs="Arial"/>
          <w:i/>
          <w:lang w:val="es-ES"/>
        </w:rPr>
        <w:t>Conservación y gestión del león africano</w:t>
      </w:r>
      <w:r w:rsidRPr="00CB07B6">
        <w:rPr>
          <w:rFonts w:eastAsia="Arial" w:cs="Arial"/>
          <w:lang w:val="es-ES"/>
        </w:rPr>
        <w:t xml:space="preserve"> (Panthera leo), </w:t>
      </w:r>
      <w:hyperlink r:id="rId20" w:history="1">
        <w:r w:rsidR="00DF3CAE" w:rsidRPr="00CB07B6">
          <w:rPr>
            <w:rStyle w:val="Hyperlink"/>
            <w:rFonts w:cs="Arial"/>
            <w:lang w:val="es-ES"/>
          </w:rPr>
          <w:t>las Decisiones 13.92–13.95</w:t>
        </w:r>
      </w:hyperlink>
      <w:r w:rsidRPr="00CB07B6">
        <w:rPr>
          <w:rFonts w:eastAsia="Arial" w:cs="Arial"/>
          <w:lang w:val="es-ES"/>
        </w:rPr>
        <w:t xml:space="preserve"> </w:t>
      </w:r>
      <w:r w:rsidR="00DF3CAE" w:rsidRPr="00CB07B6">
        <w:rPr>
          <w:rFonts w:cs="Arial"/>
          <w:i/>
          <w:lang w:val="es-ES"/>
        </w:rPr>
        <w:t>Conservación y gestión del guepardo (</w:t>
      </w:r>
      <w:r w:rsidRPr="00CB07B6">
        <w:rPr>
          <w:rFonts w:eastAsia="Arial" w:cs="Arial"/>
          <w:lang w:val="es-ES"/>
        </w:rPr>
        <w:t>Acinonyx jubatus</w:t>
      </w:r>
      <w:r w:rsidR="00DF3CAE" w:rsidRPr="00CB07B6">
        <w:rPr>
          <w:rFonts w:cs="Arial"/>
          <w:i/>
          <w:lang w:val="es-ES"/>
        </w:rPr>
        <w:t>) y el licaón africano (</w:t>
      </w:r>
      <w:r w:rsidRPr="00CB07B6">
        <w:rPr>
          <w:rFonts w:eastAsia="Arial" w:cs="Arial"/>
          <w:lang w:val="es-ES"/>
        </w:rPr>
        <w:t>Lycaon pictus</w:t>
      </w:r>
      <w:r w:rsidR="00DF3CAE" w:rsidRPr="00CB07B6">
        <w:rPr>
          <w:rFonts w:cs="Arial"/>
          <w:i/>
          <w:lang w:val="es-ES"/>
        </w:rPr>
        <w:t>)</w:t>
      </w:r>
      <w:r w:rsidR="00DF3CAE" w:rsidRPr="00CB07B6">
        <w:rPr>
          <w:rFonts w:cs="Arial"/>
          <w:iCs/>
          <w:lang w:val="es-ES"/>
        </w:rPr>
        <w:t xml:space="preserve">, además de las </w:t>
      </w:r>
      <w:hyperlink r:id="rId21" w:history="1">
        <w:r w:rsidR="00DF3CAE" w:rsidRPr="00CB07B6">
          <w:rPr>
            <w:rStyle w:val="Hyperlink"/>
            <w:rFonts w:cs="Arial"/>
            <w:lang w:val="es-ES"/>
          </w:rPr>
          <w:t>Decisiones 13.96–13.97</w:t>
        </w:r>
      </w:hyperlink>
      <w:r w:rsidRPr="00CB07B6">
        <w:rPr>
          <w:rFonts w:eastAsia="Arial" w:cs="Arial"/>
          <w:lang w:val="es-ES"/>
        </w:rPr>
        <w:t xml:space="preserve"> </w:t>
      </w:r>
      <w:r w:rsidR="00DF3CAE" w:rsidRPr="00CB07B6">
        <w:rPr>
          <w:rFonts w:cs="Arial"/>
          <w:i/>
          <w:iCs/>
          <w:lang w:val="es-ES"/>
        </w:rPr>
        <w:t>Conservación y gestión del leopardo (</w:t>
      </w:r>
      <w:r w:rsidRPr="00CB07B6">
        <w:rPr>
          <w:rFonts w:eastAsia="Arial" w:cs="Arial"/>
          <w:lang w:val="es-ES"/>
        </w:rPr>
        <w:t>Panthera pardus</w:t>
      </w:r>
      <w:r w:rsidR="00DF3CAE" w:rsidRPr="00CB07B6">
        <w:rPr>
          <w:rFonts w:cs="Arial"/>
          <w:i/>
          <w:iCs/>
          <w:lang w:val="es-ES"/>
        </w:rPr>
        <w:t>) en África</w:t>
      </w:r>
      <w:r w:rsidRPr="00CB07B6">
        <w:rPr>
          <w:rFonts w:eastAsia="Arial" w:cs="Arial"/>
          <w:lang w:val="es-ES"/>
        </w:rPr>
        <w:t xml:space="preserve"> se integraron en los diversos resultados y actividades del PdT.</w:t>
      </w:r>
    </w:p>
    <w:p w14:paraId="5007215D" w14:textId="77777777" w:rsidR="003168C2" w:rsidRPr="00CB07B6" w:rsidRDefault="003168C2" w:rsidP="00A803C2">
      <w:pPr>
        <w:pStyle w:val="ListParagraph"/>
        <w:widowControl w:val="0"/>
        <w:suppressAutoHyphens/>
        <w:spacing w:after="0" w:line="240" w:lineRule="auto"/>
        <w:ind w:left="1440"/>
        <w:jc w:val="both"/>
        <w:rPr>
          <w:rFonts w:cs="Arial"/>
          <w:i/>
          <w:iCs/>
          <w:color w:val="000000"/>
          <w:kern w:val="2"/>
          <w:lang w:val="es-ES"/>
        </w:rPr>
      </w:pPr>
    </w:p>
    <w:p w14:paraId="75170C44" w14:textId="6C2D0D54" w:rsidR="000C094B" w:rsidRPr="00CB07B6" w:rsidRDefault="000C094B" w:rsidP="000C094B">
      <w:pPr>
        <w:widowControl w:val="0"/>
        <w:suppressAutoHyphens/>
        <w:spacing w:after="0" w:line="240" w:lineRule="auto"/>
        <w:jc w:val="both"/>
        <w:rPr>
          <w:rFonts w:cs="Arial"/>
          <w:u w:val="single"/>
          <w:lang w:val="es-ES"/>
        </w:rPr>
      </w:pPr>
      <w:r w:rsidRPr="00CB07B6">
        <w:rPr>
          <w:rFonts w:cs="Arial"/>
          <w:u w:val="single"/>
          <w:lang w:val="es-ES"/>
        </w:rPr>
        <w:t>Implementación del Programa de Trabajo para la Iniciativa sobre carnívoros africanos</w:t>
      </w:r>
    </w:p>
    <w:p w14:paraId="31107D4C" w14:textId="77777777" w:rsidR="000C094B" w:rsidRPr="00CB07B6" w:rsidRDefault="000C094B" w:rsidP="000C094B">
      <w:pPr>
        <w:pStyle w:val="ListParagraph"/>
        <w:widowControl w:val="0"/>
        <w:suppressAutoHyphens/>
        <w:spacing w:after="0" w:line="240" w:lineRule="auto"/>
        <w:ind w:left="567"/>
        <w:jc w:val="both"/>
        <w:rPr>
          <w:rFonts w:cs="Arial"/>
          <w:lang w:val="es-ES"/>
        </w:rPr>
      </w:pPr>
    </w:p>
    <w:p w14:paraId="46DEC2F3" w14:textId="5DDA0E18" w:rsidR="001E76EF" w:rsidRPr="00CB07B6" w:rsidRDefault="00165CEE" w:rsidP="001410CA">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Tal como se encargó por la Resolución 13.4, la Secretaría de la CMS informará de la implementación de la Resolución a la COP14. </w:t>
      </w:r>
    </w:p>
    <w:p w14:paraId="7B5D78F7" w14:textId="77777777" w:rsidR="001E76EF" w:rsidRPr="00CB07B6" w:rsidRDefault="001E76EF" w:rsidP="001E76EF">
      <w:pPr>
        <w:pStyle w:val="ListParagraph"/>
        <w:widowControl w:val="0"/>
        <w:suppressAutoHyphens/>
        <w:spacing w:after="0" w:line="240" w:lineRule="auto"/>
        <w:ind w:left="567"/>
        <w:jc w:val="both"/>
        <w:rPr>
          <w:rFonts w:cs="Arial"/>
          <w:lang w:val="es-ES"/>
        </w:rPr>
      </w:pPr>
    </w:p>
    <w:p w14:paraId="0785313A" w14:textId="3DE6470B" w:rsidR="001410CA" w:rsidRPr="00CB07B6" w:rsidRDefault="003B2F91" w:rsidP="001410CA">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Tal como se requirió por el párrafo 6 de la Resolución, la Secretaría de la CMS, en estrecha colaboración con la Secretaría de la CITES, organizó la </w:t>
      </w:r>
      <w:hyperlink r:id="rId22" w:history="1">
        <w:r w:rsidR="00A766E6" w:rsidRPr="00CB07B6">
          <w:rPr>
            <w:rStyle w:val="Hyperlink"/>
            <w:rFonts w:cs="Arial"/>
            <w:lang w:val="es-ES"/>
          </w:rPr>
          <w:t>2.</w:t>
        </w:r>
        <w:r w:rsidR="00A766E6" w:rsidRPr="00CB07B6">
          <w:rPr>
            <w:rStyle w:val="Hyperlink"/>
            <w:rFonts w:cs="Arial"/>
            <w:vertAlign w:val="superscript"/>
            <w:lang w:val="es-ES"/>
          </w:rPr>
          <w:t>a</w:t>
        </w:r>
        <w:r w:rsidR="001410CA" w:rsidRPr="00CB07B6">
          <w:rPr>
            <w:rStyle w:val="Hyperlink"/>
            <w:rFonts w:cs="Arial"/>
            <w:lang w:val="es-ES"/>
          </w:rPr>
          <w:t xml:space="preserve"> reunión de la Iniciativa conjunta CITES-CMS sobre carnívoros africanos (ACI2, Entebbe, Uganda, del 1 al 4 de mayo de 2023)</w:t>
        </w:r>
      </w:hyperlink>
      <w:r w:rsidR="00A518DE" w:rsidRPr="00CB07B6">
        <w:rPr>
          <w:rStyle w:val="Hyperlink"/>
          <w:color w:val="000000" w:themeColor="text1"/>
          <w:u w:val="none"/>
          <w:lang w:val="es-ES"/>
        </w:rPr>
        <w:t>.</w:t>
      </w:r>
      <w:r w:rsidR="00A518DE" w:rsidRPr="00CB07B6">
        <w:rPr>
          <w:rStyle w:val="Hyperlink"/>
          <w:u w:val="none"/>
          <w:lang w:val="es-ES"/>
        </w:rPr>
        <w:t xml:space="preserve"> </w:t>
      </w:r>
      <w:r w:rsidR="00A518DE" w:rsidRPr="00CB07B6">
        <w:rPr>
          <w:rStyle w:val="Hyperlink"/>
          <w:rFonts w:cs="Arial"/>
          <w:color w:val="auto"/>
          <w:u w:val="none"/>
          <w:lang w:val="es-ES"/>
        </w:rPr>
        <w:t>La reunión</w:t>
      </w:r>
      <w:r w:rsidR="001410CA" w:rsidRPr="00CB07B6">
        <w:rPr>
          <w:rFonts w:cs="Arial"/>
          <w:lang w:val="es-ES"/>
        </w:rPr>
        <w:t xml:space="preserve"> juntó a representantes de todos los países que eran Estados del área de distribución para una o más de las cuatro especies cubiertas por la ACI, además de las organizaciones observadoras relevantes. A la reunión </w:t>
      </w:r>
      <w:r w:rsidR="001410CA" w:rsidRPr="00CB07B6">
        <w:rPr>
          <w:rFonts w:cs="Arial"/>
          <w:lang w:val="es-ES"/>
        </w:rPr>
        <w:lastRenderedPageBreak/>
        <w:t xml:space="preserve">asistieron un total de 80 participantes, donde se incluyeron a 47 delegados de 38 Estados del área de distribución, a 8 delegados de la UICN, y a 22 delegados de 18 ONG. El objetivo principal para los Estados del área de distribución en la reunión en Entebbe fue la implementación del </w:t>
      </w:r>
      <w:hyperlink r:id="rId23">
        <w:r w:rsidR="001410CA" w:rsidRPr="00CB07B6">
          <w:rPr>
            <w:rStyle w:val="Hyperlink"/>
            <w:rFonts w:cs="Arial"/>
            <w:lang w:val="es-ES"/>
          </w:rPr>
          <w:t>Programa de Trabajo del ACI</w:t>
        </w:r>
        <w:r w:rsidR="001410CA" w:rsidRPr="00CB07B6">
          <w:rPr>
            <w:lang w:val="es-ES"/>
          </w:rPr>
          <w:t xml:space="preserve"> </w:t>
        </w:r>
      </w:hyperlink>
      <w:r w:rsidR="001410CA" w:rsidRPr="00CB07B6">
        <w:rPr>
          <w:rFonts w:cs="Arial"/>
          <w:lang w:val="es-ES"/>
        </w:rPr>
        <w:t xml:space="preserve">y la priorización de actividades (incluyendo la implementación de un inventario), los problemas de conservación específicos de las especies tratadas por la ACI, así como asuntos operativos para el futuro de la ACI (incluyendo la gobernanza, el </w:t>
      </w:r>
      <w:r w:rsidR="001410CA" w:rsidRPr="00CB07B6">
        <w:rPr>
          <w:rFonts w:cs="Arial"/>
          <w:i/>
          <w:lang w:val="es-ES"/>
        </w:rPr>
        <w:t>modus operandi</w:t>
      </w:r>
      <w:r w:rsidR="001410CA" w:rsidRPr="00CB07B6">
        <w:rPr>
          <w:rFonts w:cs="Arial"/>
          <w:lang w:val="es-ES"/>
        </w:rPr>
        <w:t xml:space="preserve"> y la financiación).</w:t>
      </w:r>
    </w:p>
    <w:p w14:paraId="24EB70A0" w14:textId="77777777" w:rsidR="009F762E" w:rsidRPr="00CB07B6" w:rsidRDefault="009F762E" w:rsidP="009F762E">
      <w:pPr>
        <w:pStyle w:val="ListParagraph"/>
        <w:widowControl w:val="0"/>
        <w:suppressAutoHyphens/>
        <w:spacing w:after="0" w:line="240" w:lineRule="auto"/>
        <w:ind w:left="567"/>
        <w:jc w:val="both"/>
        <w:rPr>
          <w:rFonts w:cs="Arial"/>
          <w:lang w:val="es-ES"/>
        </w:rPr>
      </w:pPr>
    </w:p>
    <w:p w14:paraId="3DF6D787" w14:textId="6600C756" w:rsidR="009F3397" w:rsidRPr="00CB07B6" w:rsidRDefault="007C08C9" w:rsidP="00A8656E">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Los representantes de los Estados del área de distribución acordaron los Resultados de la reunión de la ACI2 (contenidos en </w:t>
      </w:r>
      <w:hyperlink r:id="rId24" w:history="1">
        <w:r w:rsidR="00506E0E" w:rsidRPr="00CB07B6">
          <w:rPr>
            <w:rStyle w:val="Hyperlink"/>
            <w:rFonts w:cstheme="minorBidi"/>
            <w:lang w:val="es-ES"/>
          </w:rPr>
          <w:t>CITES-CMS/ACI2/Resultados</w:t>
        </w:r>
      </w:hyperlink>
      <w:r w:rsidRPr="00CB07B6">
        <w:rPr>
          <w:rFonts w:cs="Arial"/>
          <w:lang w:val="es-ES"/>
        </w:rPr>
        <w:t>), con lo que resumimos brevemente algunos aspectos clave de los mismos a continuación.</w:t>
      </w:r>
    </w:p>
    <w:p w14:paraId="28144605" w14:textId="77777777" w:rsidR="00760D98" w:rsidRPr="00CB07B6" w:rsidRDefault="00760D98" w:rsidP="00760D98">
      <w:pPr>
        <w:pStyle w:val="ListParagraph"/>
        <w:rPr>
          <w:rFonts w:cs="Arial"/>
          <w:lang w:val="es-ES"/>
        </w:rPr>
      </w:pPr>
    </w:p>
    <w:p w14:paraId="704364AB" w14:textId="1CFCF2A6" w:rsidR="00760D98" w:rsidRPr="00CB07B6" w:rsidRDefault="00A626EB" w:rsidP="00C97774">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Respecto a la cooperación transfronteriza sobre los grandes felinos, el Área de Conservación Transfronteriza (TFCA, por sus siglas en inglés) Kavango-Zambezi (KAZA) y la cooperación tripartita de Benín, Burkina Faso y Níger en el W-Arly-Pendjari (Complejo WAP) fueron considerados modelos que pueden replicarse en otras áreas, donde múltiples Estados pueden establecer las TFCA. Los requisitos clave para establecer los TFCA incluyen apoyo político de alto nivel, gobernanza y coordinación funcionales, legislación armonizada y seguridad.</w:t>
      </w:r>
    </w:p>
    <w:p w14:paraId="45FC5DD9" w14:textId="77777777" w:rsidR="00E56819" w:rsidRPr="00CB07B6" w:rsidRDefault="00E56819" w:rsidP="00E56819">
      <w:pPr>
        <w:pStyle w:val="ListParagraph"/>
        <w:widowControl w:val="0"/>
        <w:suppressAutoHyphens/>
        <w:spacing w:after="0" w:line="240" w:lineRule="auto"/>
        <w:ind w:left="567"/>
        <w:jc w:val="both"/>
        <w:rPr>
          <w:rFonts w:cs="Arial"/>
          <w:lang w:val="es-ES"/>
        </w:rPr>
      </w:pPr>
    </w:p>
    <w:p w14:paraId="13EC90C6" w14:textId="1EC9C695" w:rsidR="00E56819" w:rsidRPr="00CB07B6" w:rsidRDefault="00ED2818" w:rsidP="00E56819">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Los resultados prioritarios en todas las subregiones de los Estados del área de distribución de la ACI giran en torno a financiación y finanzas, asociaciones y cooperación entre Estados del área de distribución y otras instituciones y partes interesadas, conflicto y coexistencia entre las especies de la ACI y los humanos, así como kits de recursos de comercio ilegal para las cuatro especies, gestión de enfermedades, una Base de datos operativa sobre el león africano (ALD) y un Portal web de la ACI (véase el Anexo 1 del documento sobre Resultados de la ACI).</w:t>
      </w:r>
    </w:p>
    <w:p w14:paraId="7CC18B91" w14:textId="77777777" w:rsidR="00760D98" w:rsidRPr="00CB07B6" w:rsidRDefault="00760D98" w:rsidP="00C97774">
      <w:pPr>
        <w:pStyle w:val="ListParagraph"/>
        <w:widowControl w:val="0"/>
        <w:suppressAutoHyphens/>
        <w:spacing w:after="0" w:line="240" w:lineRule="auto"/>
        <w:ind w:left="567"/>
        <w:jc w:val="both"/>
        <w:rPr>
          <w:rFonts w:cs="Arial"/>
          <w:lang w:val="es-ES"/>
        </w:rPr>
      </w:pPr>
    </w:p>
    <w:p w14:paraId="2ADD92BD" w14:textId="72269E54" w:rsidR="00C412C4" w:rsidRPr="00CB07B6" w:rsidRDefault="00A412D6" w:rsidP="00110E4E">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Las prioridades de conservación subregional para el guepardo y el licaón africanos incluían necesidades comunes de alta prioridad, tales como financiación sostenible y una recaudación de fondos estratégica, planes de gestión/acción nacional, estrategias para fomentar la coexistencia con humanos, estudios nacionales, accesibilidad de información y sensibilización, creación de capacidades y formación, así como legislación y políticas armonizadas. Otros temas incluían conectividad y una planificación de uso del terreno que tenía en cuenta las necesidades de conservación de las especies, el cumplimiento de la ley y el comercio ilegal y la caza furtiva, así como enfermedades y atropello de animales en carretera. </w:t>
      </w:r>
    </w:p>
    <w:p w14:paraId="115322F2" w14:textId="77777777" w:rsidR="00C412C4" w:rsidRPr="00CB07B6" w:rsidRDefault="00C412C4" w:rsidP="00C412C4">
      <w:pPr>
        <w:pStyle w:val="ListParagraph"/>
        <w:rPr>
          <w:rFonts w:cs="Arial"/>
          <w:lang w:val="es-ES"/>
        </w:rPr>
      </w:pPr>
    </w:p>
    <w:p w14:paraId="4BB02978" w14:textId="36AD641E" w:rsidR="00110E4E" w:rsidRPr="00CB07B6" w:rsidRDefault="00110E4E" w:rsidP="00110E4E">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La gravedad específica de las amenazas para el guepardo africano del nordeste (</w:t>
      </w:r>
      <w:r w:rsidRPr="00CB07B6">
        <w:rPr>
          <w:rFonts w:cs="Arial"/>
          <w:i/>
          <w:iCs/>
          <w:lang w:val="es-ES"/>
        </w:rPr>
        <w:t>A. j. soemmeringii</w:t>
      </w:r>
      <w:r w:rsidRPr="00CB07B6">
        <w:rPr>
          <w:rFonts w:cs="Arial"/>
          <w:lang w:val="es-ES"/>
        </w:rPr>
        <w:t xml:space="preserve">) por capturas y comercio ilegal en el Cuerno de África y África oriental requiere acciones de conservación urgentes. Los participantes en la reunión acordaron un conjunto de recomendaciones agrupadas en torno a la mejora de la </w:t>
      </w:r>
      <w:r w:rsidRPr="00CB07B6">
        <w:rPr>
          <w:rFonts w:cs="Arial"/>
          <w:iCs/>
          <w:lang w:val="es-ES"/>
        </w:rPr>
        <w:t>base de conocimientos, una reducción en la demanda, una mejora en la cooperación y el intercambio de información, así como protección y conservación mejoradas.</w:t>
      </w:r>
    </w:p>
    <w:p w14:paraId="3C8D052B" w14:textId="77777777" w:rsidR="00110E4E" w:rsidRPr="00CB07B6" w:rsidRDefault="00110E4E" w:rsidP="00110E4E">
      <w:pPr>
        <w:pStyle w:val="ListParagraph"/>
        <w:widowControl w:val="0"/>
        <w:suppressAutoHyphens/>
        <w:spacing w:after="0" w:line="240" w:lineRule="auto"/>
        <w:ind w:left="567"/>
        <w:jc w:val="both"/>
        <w:rPr>
          <w:rFonts w:cs="Arial"/>
          <w:lang w:val="es-ES"/>
        </w:rPr>
      </w:pPr>
    </w:p>
    <w:p w14:paraId="559B32C0" w14:textId="4186997B" w:rsidR="009F3397" w:rsidRPr="00CB07B6" w:rsidRDefault="00541D14" w:rsidP="00737C51">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En la reunión también se acordó que el conflicto ser humano-vida silvestre y la fragmentación del hábitat eran las amenazas principales para los leopardos de toda África. Se acordó que la UICN actualizaría la </w:t>
      </w:r>
      <w:hyperlink r:id="rId25" w:history="1">
        <w:r w:rsidR="00095BCA" w:rsidRPr="00CB07B6">
          <w:rPr>
            <w:rStyle w:val="Hyperlink"/>
            <w:rFonts w:cstheme="minorBidi"/>
            <w:i/>
            <w:iCs/>
            <w:lang w:val="es-ES"/>
          </w:rPr>
          <w:t xml:space="preserve">Hoja de ruta para la Conservación del </w:t>
        </w:r>
        <w:r w:rsidR="00095BCA" w:rsidRPr="00CB07B6">
          <w:rPr>
            <w:rStyle w:val="Hyperlink"/>
            <w:rFonts w:cstheme="minorBidi"/>
            <w:i/>
            <w:lang w:val="es-ES"/>
          </w:rPr>
          <w:t xml:space="preserve">Leopardo </w:t>
        </w:r>
        <w:r w:rsidR="00095BCA" w:rsidRPr="00CB07B6">
          <w:rPr>
            <w:rStyle w:val="Hyperlink"/>
            <w:rFonts w:cstheme="minorBidi"/>
            <w:i/>
            <w:iCs/>
            <w:lang w:val="es-ES"/>
          </w:rPr>
          <w:t>en África</w:t>
        </w:r>
        <w:r w:rsidR="00095BCA" w:rsidRPr="00CB07B6">
          <w:rPr>
            <w:rStyle w:val="Hyperlink"/>
            <w:rFonts w:cstheme="minorBidi"/>
            <w:lang w:val="es-ES"/>
          </w:rPr>
          <w:t xml:space="preserve"> (RCLA, por sus siglas en inglés) en el Anexo al Documento </w:t>
        </w:r>
        <w:bookmarkStart w:id="0" w:name="_Hlk138786787"/>
        <w:r w:rsidR="009F14C6" w:rsidRPr="00CB07B6">
          <w:rPr>
            <w:rStyle w:val="Hyperlink"/>
            <w:rFonts w:cstheme="minorBidi"/>
            <w:lang w:val="es-ES"/>
          </w:rPr>
          <w:t>UNEP/CMS/ScC-SC5/Doc.6.3.1.3/Rev.1</w:t>
        </w:r>
        <w:bookmarkEnd w:id="0"/>
        <w:r w:rsidR="00095BCA" w:rsidRPr="00CB07B6">
          <w:rPr>
            <w:rStyle w:val="Hyperlink"/>
            <w:color w:val="auto"/>
            <w:u w:val="none"/>
            <w:lang w:val="es-ES"/>
          </w:rPr>
          <w:t xml:space="preserve"> </w:t>
        </w:r>
      </w:hyperlink>
      <w:r w:rsidR="00737C51" w:rsidRPr="00CB07B6">
        <w:rPr>
          <w:rFonts w:cs="Arial"/>
          <w:lang w:val="es-ES"/>
        </w:rPr>
        <w:t xml:space="preserve">y lo finalizaría en consulta con los Estados del área de distribución; y que dichos Estados del área de distribución se centrarían luego en el desarrollo de estrategias de conservación regional para el leopardo, utilizando la Hoja de ruta como guía estratégica. También se acordó un camino a seguir respecto a los estudios sobre leopardos en todos los Estados del área de distribución del África </w:t>
      </w:r>
      <w:r w:rsidR="00737C51" w:rsidRPr="00CB07B6">
        <w:rPr>
          <w:rFonts w:cs="Arial"/>
          <w:lang w:val="es-ES"/>
        </w:rPr>
        <w:lastRenderedPageBreak/>
        <w:t>occidental.</w:t>
      </w:r>
    </w:p>
    <w:p w14:paraId="13BF23D1" w14:textId="77777777" w:rsidR="000923F5" w:rsidRPr="00CB07B6" w:rsidRDefault="000923F5" w:rsidP="000923F5">
      <w:pPr>
        <w:pStyle w:val="ListParagraph"/>
        <w:rPr>
          <w:rFonts w:cs="Arial"/>
          <w:lang w:val="es-ES"/>
        </w:rPr>
      </w:pPr>
    </w:p>
    <w:p w14:paraId="2F7E1A2E" w14:textId="0FBE2BC7" w:rsidR="000923F5" w:rsidRPr="00CB07B6" w:rsidRDefault="16354CEC" w:rsidP="00A94067">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En referencia a las </w:t>
      </w:r>
      <w:hyperlink r:id="rId26" w:history="1">
        <w:r w:rsidR="00BF5F19" w:rsidRPr="00CB07B6">
          <w:rPr>
            <w:rStyle w:val="Hyperlink"/>
            <w:rFonts w:cstheme="minorBidi"/>
            <w:i/>
            <w:iCs/>
            <w:lang w:val="es-ES"/>
          </w:rPr>
          <w:t>Directrices para la Conservación de los Leones en África</w:t>
        </w:r>
      </w:hyperlink>
      <w:r w:rsidRPr="00CB07B6">
        <w:rPr>
          <w:rFonts w:cs="Arial"/>
          <w:lang w:val="es-ES"/>
        </w:rPr>
        <w:t xml:space="preserve"> (GCLA) contenidas en el Documento UNEP/CMS/ScC-SC5/Doc.6.3.1.1/Anexo, los participantes de la reunión acordaron que la UICN, en consulta con los Estados del área de distribución, actualizará y, en colaboración con las Secretarías, preparará un documento basado en una web sobre el Portal web de la ACI que consistirá en un documento «vivo» y que se actualizará a medida que aparezca nueva información.</w:t>
      </w:r>
    </w:p>
    <w:p w14:paraId="5148DD9F" w14:textId="77777777" w:rsidR="00791647" w:rsidRPr="00CB07B6" w:rsidRDefault="00791647" w:rsidP="00791647">
      <w:pPr>
        <w:pStyle w:val="ListParagraph"/>
        <w:rPr>
          <w:rFonts w:cs="Arial"/>
          <w:lang w:val="es-ES"/>
        </w:rPr>
      </w:pPr>
    </w:p>
    <w:p w14:paraId="16E5E421" w14:textId="6D14A0B2" w:rsidR="006D709A" w:rsidRPr="00CB07B6" w:rsidRDefault="00FC4E75" w:rsidP="00401B8E">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En referencia al proceso de desarrollo de las Directrices de Supervisión del León por la UICN y el Fondo de Protección de la Vida Silvestre en Peligro (EWT, por sus siglas en inglés) en colaboración con expertos (iniciado con anterioridad al establecimiento de la ACI), los participantes de la reunión acordaron que la supervisión es esencial para entender el estado de conservación de los carnívoros y su uso tanto consuntivo como no consuntivo; y que pueden aplicarse métodos diferentes, abarcando períodos de tiempo variables y requiriendo distintas destrezas financieras y técnicas. La reunión también destacó que los países de África del Sur están dispuestos a compartir su experiencia a largo plazo en la supervisión junto con otros Estados del área de distribución.</w:t>
      </w:r>
    </w:p>
    <w:p w14:paraId="746DB671" w14:textId="77777777" w:rsidR="00C97CD2" w:rsidRPr="00CB07B6" w:rsidRDefault="00C97CD2" w:rsidP="00C97CD2">
      <w:pPr>
        <w:pStyle w:val="ListParagraph"/>
        <w:widowControl w:val="0"/>
        <w:suppressAutoHyphens/>
        <w:spacing w:after="0" w:line="240" w:lineRule="auto"/>
        <w:ind w:left="567"/>
        <w:jc w:val="both"/>
        <w:rPr>
          <w:rFonts w:cs="Arial"/>
          <w:lang w:val="es-ES"/>
        </w:rPr>
      </w:pPr>
    </w:p>
    <w:p w14:paraId="65463414" w14:textId="56054B6C" w:rsidR="00791647" w:rsidRPr="00CB07B6" w:rsidRDefault="004B3881" w:rsidP="00A17AE0">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Los participantes de la reunión acordaron que el establecimiento de una Base de datos sobre el león africano (ALD) —que fue iniciada antes del establecimiento de la ACI, desarrollada bajo los auspicios del Grupo Especialista de Felinos de la CSE de la UICN, y acogida por el EWT— resulta importante para los esfuerzos de conservación. Dicho esto, los participantes acordaron que los Estados del área de distribución deberían implicarse en los procesos relativos a un desarrollo adicional de la ALD.</w:t>
      </w:r>
    </w:p>
    <w:p w14:paraId="4D972EE9" w14:textId="77777777" w:rsidR="006574E9" w:rsidRPr="00CB07B6" w:rsidRDefault="006574E9" w:rsidP="006574E9">
      <w:pPr>
        <w:pStyle w:val="ListParagraph"/>
        <w:rPr>
          <w:rFonts w:cs="Arial"/>
          <w:lang w:val="es-ES"/>
        </w:rPr>
      </w:pPr>
    </w:p>
    <w:p w14:paraId="346F7721" w14:textId="1219DF7A" w:rsidR="00F43446" w:rsidRPr="00CB07B6" w:rsidRDefault="00114F12" w:rsidP="009B3555">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Para avanzar más con el trabajo sobre el león en África, la reunión estableció dos Grupos de Trabajo para: 1) revisar las GCLA; 2) debatir la ALD. Se estableció un tercer Grupo de Trabajo para debatir también la gobernanza y la financiación de la ACI.</w:t>
      </w:r>
    </w:p>
    <w:p w14:paraId="5849380B" w14:textId="77777777" w:rsidR="00144E6F" w:rsidRPr="00CB07B6" w:rsidRDefault="00144E6F" w:rsidP="00144E6F">
      <w:pPr>
        <w:pStyle w:val="ListParagraph"/>
        <w:rPr>
          <w:rFonts w:cs="Arial"/>
          <w:lang w:val="es-ES"/>
        </w:rPr>
      </w:pPr>
    </w:p>
    <w:p w14:paraId="720244A1" w14:textId="337E26E0" w:rsidR="00AF6420" w:rsidRPr="00CB07B6" w:rsidRDefault="53AFC304" w:rsidP="00A7635B">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Mientras los Estados del área de distribución acogieron con beneplácito las </w:t>
      </w:r>
      <w:hyperlink r:id="rId27" w:history="1">
        <w:r w:rsidR="006403CA" w:rsidRPr="00CB07B6">
          <w:rPr>
            <w:rStyle w:val="Hyperlink"/>
            <w:rFonts w:cs="Arial"/>
            <w:lang w:val="es-ES"/>
          </w:rPr>
          <w:t>Directrices sobre la Coexistencia y el Conflicto Ser humano-Vida Silvestre</w:t>
        </w:r>
      </w:hyperlink>
      <w:r w:rsidRPr="00CB07B6">
        <w:rPr>
          <w:rFonts w:cs="Arial"/>
          <w:lang w:val="es-ES"/>
        </w:rPr>
        <w:t xml:space="preserve"> (HWCC) de la UICN en mayo de 2023, estos plantearon una serie de inquietudes, que incluían los retos de implementarlas a nivel popular, la carencia de apoyo financiero y técnico sostenible, y las dificultades para abordar los orígenes del conflicto (las personas atacando a las especies frente a las especies atacando a las personas). Los participantes en la reunión acordaron que las directrices debían ser traducidas en herramientas prácticas y accesibles, incluidos cursos de formación, y que el Grupo de las HWCC del CSE de la UICN debería priorizar la movilización de recursos y asistencia para permitir que los Estados del área de distribución implementaran y usaran las herramientas disponibles.</w:t>
      </w:r>
    </w:p>
    <w:p w14:paraId="5F4F4C28" w14:textId="77777777" w:rsidR="00F3348D" w:rsidRPr="00CB07B6" w:rsidRDefault="00F3348D" w:rsidP="00F3348D">
      <w:pPr>
        <w:pStyle w:val="ListParagraph"/>
        <w:widowControl w:val="0"/>
        <w:suppressAutoHyphens/>
        <w:spacing w:after="0" w:line="240" w:lineRule="auto"/>
        <w:ind w:left="567"/>
        <w:jc w:val="both"/>
        <w:rPr>
          <w:rFonts w:cs="Arial"/>
          <w:lang w:val="es-ES"/>
        </w:rPr>
      </w:pPr>
    </w:p>
    <w:p w14:paraId="6E7FF9BF" w14:textId="6E7FCCD0" w:rsidR="00AF6420" w:rsidRPr="00CB07B6" w:rsidRDefault="008F4A98" w:rsidP="00D3486F">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Las instituciones de ciencia de la conservación podrían apoyar en la implementación de la ACI en términos de estudios o redes de expertos que pudieran consultarse, así como con contribuciones a los datos del estudio y evaluaciones. Los participantes en la reunión estuvieron de acuerdo en la importancia de enfoques integrados que incluyeran autoridades gubernamentales en todo el proceso de investigación para: i) abordar inquietudes sobre la titularidad de los datos y la obtención de permisos para llevar a cabo investigaciones; ii) proporcionar datos a los gobiernos para su reanálisis y para evitar la duplicación de esfuerzos; iii) mejorar la utilidad práctica de la investigación para la conservación informada o el desarrollo de políticas; y iv) garantizar que se comunican los resultados o se publican en consulta con las autoridades gubernamentales relevantes.</w:t>
      </w:r>
    </w:p>
    <w:p w14:paraId="34E2AD49" w14:textId="77777777" w:rsidR="002F2EDA" w:rsidRPr="00CB07B6" w:rsidRDefault="002F2EDA" w:rsidP="002F2EDA">
      <w:pPr>
        <w:pStyle w:val="ListParagraph"/>
        <w:rPr>
          <w:rFonts w:cs="Arial"/>
          <w:lang w:val="es-ES"/>
        </w:rPr>
      </w:pPr>
    </w:p>
    <w:p w14:paraId="38694D63" w14:textId="6198D7F9" w:rsidR="00967EDE" w:rsidRPr="00CB07B6" w:rsidRDefault="00E5665B" w:rsidP="0039635E">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lastRenderedPageBreak/>
        <w:t xml:space="preserve">En términos de opciones de financiación y asociación, los participantes en la reunión acordaron que si se establecía una cooperación de la iniciativa SOS de la UICN con la ACI, cualquier mecanismo de subsidios debería adaptarse a las necesidades de la ACI. </w:t>
      </w:r>
    </w:p>
    <w:p w14:paraId="686DE3A3" w14:textId="77777777" w:rsidR="0039635E" w:rsidRPr="00CB07B6" w:rsidRDefault="0039635E" w:rsidP="0039635E">
      <w:pPr>
        <w:pStyle w:val="ListParagraph"/>
        <w:widowControl w:val="0"/>
        <w:suppressAutoHyphens/>
        <w:spacing w:after="0" w:line="240" w:lineRule="auto"/>
        <w:ind w:left="567"/>
        <w:jc w:val="both"/>
        <w:rPr>
          <w:rFonts w:cs="Arial"/>
          <w:lang w:val="es-ES"/>
        </w:rPr>
      </w:pPr>
    </w:p>
    <w:p w14:paraId="09203D77" w14:textId="4259AC8D" w:rsidR="002F2EDA" w:rsidRPr="00CB07B6" w:rsidRDefault="00106EAF" w:rsidP="002F2EDA">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Muchos donantes solo proporcionan recursos financieros a las ONG. Así, las asociaciones con las ONG permiten a los gobiernos de los Estados del área de distribución acceder a fondos de conservación muy necesarios. Los participantes en la reunión acordaron que sería deseable una asignación directa de los fondos a los gobiernos, así como que se requeriría mayor transparencia en relación con esa asignación, junto con el acceso y uso de los fondos, y que debe reforzarse la cooperación entre los gobiernos de los Estados del área de distribución y las agencias donantes. </w:t>
      </w:r>
    </w:p>
    <w:p w14:paraId="0CB014BC" w14:textId="77777777" w:rsidR="008B1A2B" w:rsidRPr="00CB07B6" w:rsidRDefault="008B1A2B" w:rsidP="008128B1">
      <w:pPr>
        <w:spacing w:after="0" w:line="240" w:lineRule="auto"/>
        <w:jc w:val="both"/>
        <w:rPr>
          <w:u w:val="single"/>
          <w:lang w:val="es-ES"/>
        </w:rPr>
      </w:pPr>
    </w:p>
    <w:p w14:paraId="647A4D85" w14:textId="24DBEC0F" w:rsidR="008B1A2B" w:rsidRPr="00CB07B6" w:rsidRDefault="00EB72F5" w:rsidP="008B1A2B">
      <w:pPr>
        <w:spacing w:after="0" w:line="240" w:lineRule="auto"/>
        <w:contextualSpacing/>
        <w:jc w:val="both"/>
        <w:rPr>
          <w:rFonts w:cs="Arial"/>
          <w:u w:val="single"/>
          <w:lang w:val="es-ES"/>
        </w:rPr>
      </w:pPr>
      <w:bookmarkStart w:id="1" w:name="_Hlk19547643"/>
      <w:r w:rsidRPr="00CB07B6">
        <w:rPr>
          <w:rFonts w:cs="Arial"/>
          <w:u w:val="single"/>
          <w:lang w:val="es-ES"/>
        </w:rPr>
        <w:t>19.</w:t>
      </w:r>
      <w:r w:rsidRPr="00CB07B6">
        <w:rPr>
          <w:rFonts w:cs="Arial"/>
          <w:u w:val="single"/>
          <w:vertAlign w:val="superscript"/>
          <w:lang w:val="es-ES"/>
        </w:rPr>
        <w:t>a</w:t>
      </w:r>
      <w:r w:rsidR="008B1A2B" w:rsidRPr="00CB07B6">
        <w:rPr>
          <w:rFonts w:cs="Arial"/>
          <w:u w:val="single"/>
          <w:lang w:val="es-ES"/>
        </w:rPr>
        <w:t xml:space="preserve"> reunión de la Conferencia de las Partes para la CITES (COP19 de la CITES)</w:t>
      </w:r>
    </w:p>
    <w:bookmarkEnd w:id="1"/>
    <w:p w14:paraId="2295F0F8" w14:textId="77777777" w:rsidR="002413F4" w:rsidRPr="00CB07B6" w:rsidRDefault="002413F4" w:rsidP="006106C3">
      <w:pPr>
        <w:spacing w:after="0" w:line="240" w:lineRule="auto"/>
        <w:rPr>
          <w:lang w:val="es-ES"/>
        </w:rPr>
      </w:pPr>
    </w:p>
    <w:p w14:paraId="4235FBBF" w14:textId="13070FDF" w:rsidR="008D2D58" w:rsidRPr="00CB07B6" w:rsidRDefault="002413F4" w:rsidP="002413F4">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En la COP19 de la CITES (2022), las Partes adoptaron las </w:t>
      </w:r>
      <w:hyperlink r:id="rId28">
        <w:r w:rsidRPr="00CB07B6">
          <w:rPr>
            <w:rStyle w:val="Hyperlink"/>
            <w:rFonts w:cs="Arial"/>
            <w:lang w:val="es-ES"/>
          </w:rPr>
          <w:t>Decisiones 18.59, 18.60 (Rev. CoP19), 18.61, 19.24 y 19.25</w:t>
        </w:r>
      </w:hyperlink>
      <w:r w:rsidRPr="00CB07B6">
        <w:rPr>
          <w:rFonts w:cs="Arial"/>
          <w:lang w:val="es-ES"/>
        </w:rPr>
        <w:t xml:space="preserve"> </w:t>
      </w:r>
      <w:r w:rsidRPr="00CB07B6">
        <w:rPr>
          <w:rFonts w:cs="Arial"/>
          <w:i/>
          <w:lang w:val="es-ES"/>
        </w:rPr>
        <w:t>Iniciativa conjunta CITES-CMS sobre carnívoros africanos,</w:t>
      </w:r>
      <w:r w:rsidRPr="00CB07B6">
        <w:rPr>
          <w:rFonts w:cs="Arial"/>
          <w:lang w:val="es-ES"/>
        </w:rPr>
        <w:t xml:space="preserve"> que solicitaba (entre otras cosas) que los Estados del área de distribución trabajaran a través de la ACI para implementar mandatos relevantes a la iniciativa, para buscar sinergias con mandatos complementarios de la CITES; para que las Partes apoyaran a los Estados del área de distribución en la implementación de la ACI; y que la Secretaría intercambiase información y asesoramiento con el Comité sobre Animales de la CITES acerca de actividades y resultados de la ACI. </w:t>
      </w:r>
    </w:p>
    <w:p w14:paraId="3A91847B" w14:textId="77777777" w:rsidR="008D2D58" w:rsidRPr="00CB07B6" w:rsidRDefault="008D2D58" w:rsidP="008D2D58">
      <w:pPr>
        <w:pStyle w:val="ListParagraph"/>
        <w:widowControl w:val="0"/>
        <w:suppressAutoHyphens/>
        <w:spacing w:after="0" w:line="240" w:lineRule="auto"/>
        <w:ind w:left="567"/>
        <w:jc w:val="both"/>
        <w:rPr>
          <w:rFonts w:cs="Arial"/>
          <w:lang w:val="es-ES"/>
        </w:rPr>
      </w:pPr>
    </w:p>
    <w:p w14:paraId="346BB77E" w14:textId="66646E28" w:rsidR="002413F4" w:rsidRPr="00CB07B6" w:rsidRDefault="008D2D58" w:rsidP="002413F4">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La COP19 de la CITES también adoptó las Decisiones 19.104–19.106 </w:t>
      </w:r>
      <w:r w:rsidR="002413F4" w:rsidRPr="00CB07B6">
        <w:rPr>
          <w:rFonts w:cs="Arial"/>
          <w:i/>
          <w:lang w:val="es-ES"/>
        </w:rPr>
        <w:t>Comercio ilegal en los guepardos (</w:t>
      </w:r>
      <w:r w:rsidRPr="00CB07B6">
        <w:rPr>
          <w:rFonts w:cs="Arial"/>
          <w:lang w:val="es-ES"/>
        </w:rPr>
        <w:t>Acinonyx jubatus</w:t>
      </w:r>
      <w:r w:rsidR="002413F4" w:rsidRPr="00CB07B6">
        <w:rPr>
          <w:rFonts w:cs="Arial"/>
          <w:i/>
          <w:lang w:val="es-ES"/>
        </w:rPr>
        <w:t>)</w:t>
      </w:r>
      <w:r w:rsidRPr="00CB07B6">
        <w:rPr>
          <w:rFonts w:cs="Arial"/>
          <w:lang w:val="es-ES"/>
        </w:rPr>
        <w:t>;</w:t>
      </w:r>
      <w:r w:rsidR="002413F4" w:rsidRPr="00CB07B6">
        <w:rPr>
          <w:rFonts w:cs="Arial"/>
          <w:i/>
          <w:lang w:val="es-ES"/>
        </w:rPr>
        <w:t xml:space="preserve"> </w:t>
      </w:r>
      <w:r w:rsidRPr="00CB07B6">
        <w:rPr>
          <w:rFonts w:cs="Arial"/>
          <w:lang w:val="es-ES"/>
        </w:rPr>
        <w:t xml:space="preserve">Decisiones 19.205–19.210 </w:t>
      </w:r>
      <w:r w:rsidR="002413F4" w:rsidRPr="00CB07B6">
        <w:rPr>
          <w:rFonts w:cs="Arial"/>
          <w:i/>
          <w:lang w:val="es-ES"/>
        </w:rPr>
        <w:t>Leones africanos (</w:t>
      </w:r>
      <w:r w:rsidRPr="00CB07B6">
        <w:rPr>
          <w:rFonts w:cs="Arial"/>
          <w:lang w:val="es-ES"/>
        </w:rPr>
        <w:t>Panthera leo</w:t>
      </w:r>
      <w:r w:rsidR="002413F4" w:rsidRPr="00CB07B6">
        <w:rPr>
          <w:rFonts w:cs="Arial"/>
          <w:i/>
          <w:lang w:val="es-ES"/>
        </w:rPr>
        <w:t>)</w:t>
      </w:r>
      <w:r w:rsidRPr="00CB07B6">
        <w:rPr>
          <w:rFonts w:cs="Arial"/>
          <w:lang w:val="es-ES"/>
        </w:rPr>
        <w:t xml:space="preserve">; Decisiones 19.211 y 19.212 </w:t>
      </w:r>
      <w:r w:rsidR="002413F4" w:rsidRPr="00CB07B6">
        <w:rPr>
          <w:rFonts w:cs="Arial"/>
          <w:i/>
          <w:lang w:val="es-ES"/>
        </w:rPr>
        <w:t>Leopardos (</w:t>
      </w:r>
      <w:r w:rsidRPr="00CB07B6">
        <w:rPr>
          <w:rFonts w:cs="Arial"/>
          <w:lang w:val="es-ES"/>
        </w:rPr>
        <w:t>Panthera pardus</w:t>
      </w:r>
      <w:r w:rsidR="002413F4" w:rsidRPr="00CB07B6">
        <w:rPr>
          <w:rFonts w:cs="Arial"/>
          <w:i/>
          <w:lang w:val="es-ES"/>
        </w:rPr>
        <w:t>) en África</w:t>
      </w:r>
      <w:r w:rsidR="00274DA3" w:rsidRPr="00CB07B6">
        <w:rPr>
          <w:rFonts w:cs="Arial"/>
          <w:iCs/>
          <w:lang w:val="es-ES"/>
        </w:rPr>
        <w:t>;</w:t>
      </w:r>
      <w:r w:rsidR="002413F4" w:rsidRPr="00CB07B6">
        <w:rPr>
          <w:rFonts w:cs="Arial"/>
          <w:i/>
          <w:iCs/>
          <w:lang w:val="es-ES"/>
        </w:rPr>
        <w:t xml:space="preserve"> </w:t>
      </w:r>
      <w:r w:rsidRPr="00CB07B6">
        <w:rPr>
          <w:rFonts w:cs="Arial"/>
          <w:lang w:val="es-ES"/>
        </w:rPr>
        <w:t xml:space="preserve">y las Decisiones 18.166, 18.168 (Rev. CoP19) y 18.169 (Rev. CoP19) </w:t>
      </w:r>
      <w:r w:rsidR="002413F4" w:rsidRPr="00CB07B6">
        <w:rPr>
          <w:rFonts w:cs="Arial"/>
          <w:i/>
          <w:iCs/>
          <w:lang w:val="es-ES"/>
        </w:rPr>
        <w:t>Directrices para dictámenes sobre extracción no perjudicial para el comercio de trofeos de caza del leopardo (</w:t>
      </w:r>
      <w:r w:rsidRPr="00CB07B6">
        <w:rPr>
          <w:rFonts w:cs="Arial"/>
          <w:lang w:val="es-ES"/>
        </w:rPr>
        <w:t>Panthera pardus</w:t>
      </w:r>
      <w:r w:rsidR="002413F4" w:rsidRPr="00CB07B6">
        <w:rPr>
          <w:rFonts w:cs="Arial"/>
          <w:i/>
          <w:iCs/>
          <w:lang w:val="es-ES"/>
        </w:rPr>
        <w:t>).</w:t>
      </w:r>
    </w:p>
    <w:p w14:paraId="58F4BAD5" w14:textId="77777777" w:rsidR="00301FD0" w:rsidRPr="00CB07B6" w:rsidRDefault="00301FD0" w:rsidP="00301FD0">
      <w:pPr>
        <w:pStyle w:val="ListParagraph"/>
        <w:rPr>
          <w:rFonts w:cs="Arial"/>
          <w:highlight w:val="lightGray"/>
          <w:lang w:val="es-ES"/>
        </w:rPr>
      </w:pPr>
    </w:p>
    <w:p w14:paraId="17A6115C" w14:textId="105911F5" w:rsidR="00301FD0" w:rsidRPr="00CB07B6" w:rsidRDefault="00301FD0" w:rsidP="002413F4">
      <w:pPr>
        <w:pStyle w:val="ListParagraph"/>
        <w:widowControl w:val="0"/>
        <w:numPr>
          <w:ilvl w:val="0"/>
          <w:numId w:val="4"/>
        </w:numPr>
        <w:suppressAutoHyphens/>
        <w:spacing w:after="0" w:line="240" w:lineRule="auto"/>
        <w:ind w:left="567" w:hanging="567"/>
        <w:jc w:val="both"/>
        <w:rPr>
          <w:rFonts w:cs="Arial"/>
          <w:lang w:val="es-ES"/>
        </w:rPr>
      </w:pPr>
      <w:r w:rsidRPr="00CB07B6">
        <w:rPr>
          <w:rFonts w:cs="Arial"/>
          <w:lang w:val="es-ES"/>
        </w:rPr>
        <w:t xml:space="preserve">Todas las actividades del PdT de la ACI que se basaban en textos previos de Decisiones de la CITES se revisaron en la Reunión de la ACI2 a fin de reflejar las nuevas y actualizadas Decisiones. Estas pueden encontrarse en el Documento </w:t>
      </w:r>
      <w:hyperlink r:id="rId29">
        <w:r w:rsidR="00CE30D6" w:rsidRPr="00CB07B6">
          <w:rPr>
            <w:rStyle w:val="Hyperlink"/>
            <w:rFonts w:cs="Arial"/>
            <w:lang w:val="es-ES"/>
          </w:rPr>
          <w:t>CITES-CMS/ACI2/Doc.2 Actualizaciones y priorización de las actividades en el Programa de Trabajo de la Iniciativa conjunta CITES-CMS sobre carnívoros africanos</w:t>
        </w:r>
      </w:hyperlink>
      <w:r w:rsidR="005C19BE" w:rsidRPr="00CB07B6">
        <w:rPr>
          <w:rFonts w:cs="Arial"/>
          <w:lang w:val="es-ES"/>
        </w:rPr>
        <w:t>.</w:t>
      </w:r>
      <w:r w:rsidR="00747F43" w:rsidRPr="00CB07B6">
        <w:rPr>
          <w:rFonts w:cs="Arial"/>
          <w:lang w:val="es-ES"/>
        </w:rPr>
        <w:t xml:space="preserve"> </w:t>
      </w:r>
    </w:p>
    <w:p w14:paraId="520211A5" w14:textId="77777777" w:rsidR="008B1A2B" w:rsidRPr="00CB07B6" w:rsidRDefault="008B1A2B" w:rsidP="006A7DC4">
      <w:pPr>
        <w:spacing w:after="0" w:line="240" w:lineRule="auto"/>
        <w:rPr>
          <w:lang w:val="es-ES"/>
        </w:rPr>
      </w:pPr>
    </w:p>
    <w:p w14:paraId="22790FB2" w14:textId="44129C33" w:rsidR="00AD7AD6" w:rsidRPr="00CB07B6" w:rsidRDefault="00E214B2" w:rsidP="006A7DC4">
      <w:pPr>
        <w:spacing w:after="0" w:line="240" w:lineRule="auto"/>
        <w:rPr>
          <w:u w:val="single"/>
          <w:lang w:val="es-ES"/>
        </w:rPr>
      </w:pPr>
      <w:r w:rsidRPr="00CB07B6">
        <w:rPr>
          <w:u w:val="single"/>
          <w:lang w:val="es-ES"/>
        </w:rPr>
        <w:t xml:space="preserve">Debate </w:t>
      </w:r>
      <w:r w:rsidR="00D5660E" w:rsidRPr="00CB07B6">
        <w:rPr>
          <w:u w:val="single"/>
          <w:lang w:val="es-ES"/>
        </w:rPr>
        <w:t>y análisis</w:t>
      </w:r>
    </w:p>
    <w:p w14:paraId="47FFA3DA" w14:textId="77777777" w:rsidR="00F022FA" w:rsidRPr="00CB07B6" w:rsidRDefault="00F022FA" w:rsidP="00F022FA">
      <w:pPr>
        <w:pStyle w:val="ListParagraph"/>
        <w:widowControl w:val="0"/>
        <w:suppressAutoHyphens/>
        <w:spacing w:after="0" w:line="240" w:lineRule="auto"/>
        <w:ind w:left="567"/>
        <w:jc w:val="both"/>
        <w:rPr>
          <w:lang w:val="es-ES"/>
        </w:rPr>
      </w:pPr>
    </w:p>
    <w:p w14:paraId="160BC280" w14:textId="69D2C075" w:rsidR="00717733" w:rsidRPr="00CB07B6" w:rsidRDefault="00F0485B" w:rsidP="00F0485B">
      <w:pPr>
        <w:pStyle w:val="ListParagraph"/>
        <w:widowControl w:val="0"/>
        <w:numPr>
          <w:ilvl w:val="0"/>
          <w:numId w:val="4"/>
        </w:numPr>
        <w:suppressAutoHyphens/>
        <w:spacing w:after="0" w:line="240" w:lineRule="auto"/>
        <w:ind w:left="567" w:hanging="567"/>
        <w:jc w:val="both"/>
        <w:rPr>
          <w:lang w:val="es-ES"/>
        </w:rPr>
      </w:pPr>
      <w:r w:rsidRPr="00CB07B6">
        <w:rPr>
          <w:lang w:val="es-ES"/>
        </w:rPr>
        <w:t xml:space="preserve">El PdT de la ACI lo implementan actualmente Estados del área de distribución y organizaciones relevantes. Sin embargo, caducará en 2025. Dada su exhaustividad, es imposible implementar por completo el PdT dentro del período establecido. En función de la priorización emprendida por los Estados del área de distribución en su reciente reunión, se han acordado determinadas actividades de alta prioridad, tal como se indica en el Documento de resultados contenido en </w:t>
      </w:r>
      <w:hyperlink r:id="rId30" w:history="1">
        <w:r w:rsidR="00751A2A" w:rsidRPr="00CB07B6">
          <w:rPr>
            <w:rStyle w:val="Hyperlink"/>
            <w:rFonts w:cstheme="minorBidi"/>
            <w:lang w:val="es-ES"/>
          </w:rPr>
          <w:t>CITES-CMS/ACI2/Resultados</w:t>
        </w:r>
      </w:hyperlink>
      <w:r w:rsidR="00717733" w:rsidRPr="00CB07B6">
        <w:rPr>
          <w:lang w:val="es-ES"/>
        </w:rPr>
        <w:t xml:space="preserve">. </w:t>
      </w:r>
    </w:p>
    <w:p w14:paraId="68E2195E" w14:textId="77777777" w:rsidR="00192405" w:rsidRPr="00CB07B6" w:rsidRDefault="00192405" w:rsidP="00192405">
      <w:pPr>
        <w:pStyle w:val="ListParagraph"/>
        <w:widowControl w:val="0"/>
        <w:suppressAutoHyphens/>
        <w:spacing w:after="0" w:line="240" w:lineRule="auto"/>
        <w:ind w:left="567"/>
        <w:jc w:val="both"/>
        <w:rPr>
          <w:lang w:val="es-ES"/>
        </w:rPr>
      </w:pPr>
    </w:p>
    <w:p w14:paraId="359911F2" w14:textId="312052B5" w:rsidR="009C1080" w:rsidRPr="00CB07B6" w:rsidRDefault="00257934" w:rsidP="00F0485B">
      <w:pPr>
        <w:pStyle w:val="ListParagraph"/>
        <w:widowControl w:val="0"/>
        <w:numPr>
          <w:ilvl w:val="0"/>
          <w:numId w:val="4"/>
        </w:numPr>
        <w:suppressAutoHyphens/>
        <w:spacing w:after="0" w:line="240" w:lineRule="auto"/>
        <w:ind w:left="567" w:hanging="567"/>
        <w:jc w:val="both"/>
        <w:rPr>
          <w:lang w:val="es-ES"/>
        </w:rPr>
      </w:pPr>
      <w:r w:rsidRPr="00CB07B6">
        <w:rPr>
          <w:lang w:val="es-ES"/>
        </w:rPr>
        <w:t xml:space="preserve">De acuerdo con la Resolución 13.4, que solicita a la Secretaría de la CMS que convoque reuniones regulares con los Estados del área de distribución, en cooperación con la Secretaría del CITES, para evaluar la implementación del Programa de Trabajo, revisar el Programa de Trabajo según lo necesario, y supervisar la funcionalidad de la iniciativa, se necesitará otra reunión de los Estados del área de distribución de la ACI para 2025. </w:t>
      </w:r>
    </w:p>
    <w:p w14:paraId="23C277B8" w14:textId="08083A6C" w:rsidR="00CC5145" w:rsidRDefault="00CC5145">
      <w:pPr>
        <w:rPr>
          <w:lang w:val="es-ES"/>
        </w:rPr>
      </w:pPr>
      <w:r>
        <w:rPr>
          <w:lang w:val="es-ES"/>
        </w:rPr>
        <w:br w:type="page"/>
      </w:r>
    </w:p>
    <w:p w14:paraId="6615DB07" w14:textId="0E397C10" w:rsidR="00AB45A5" w:rsidRPr="00CB07B6" w:rsidRDefault="00FF170F" w:rsidP="00C55F29">
      <w:pPr>
        <w:pStyle w:val="ListParagraph"/>
        <w:widowControl w:val="0"/>
        <w:numPr>
          <w:ilvl w:val="0"/>
          <w:numId w:val="4"/>
        </w:numPr>
        <w:suppressAutoHyphens/>
        <w:spacing w:after="0" w:line="240" w:lineRule="auto"/>
        <w:ind w:left="567" w:hanging="567"/>
        <w:jc w:val="both"/>
        <w:rPr>
          <w:lang w:val="es-ES"/>
        </w:rPr>
      </w:pPr>
      <w:r w:rsidRPr="00CB07B6">
        <w:rPr>
          <w:lang w:val="es-ES"/>
        </w:rPr>
        <w:lastRenderedPageBreak/>
        <w:t xml:space="preserve">Puesto que todas las Decisiones sobre las especies tratadas en la ACI se han incluido en el PdT de la ACI, y dado que el Consejo Científico de la CMS ha delegado la revisión de las </w:t>
      </w:r>
      <w:r w:rsidR="00672039" w:rsidRPr="00CB07B6">
        <w:rPr>
          <w:i/>
          <w:lang w:val="es-ES"/>
        </w:rPr>
        <w:t xml:space="preserve">Directrices </w:t>
      </w:r>
      <w:r w:rsidR="006F11B6" w:rsidRPr="00CB07B6">
        <w:rPr>
          <w:i/>
          <w:iCs/>
          <w:lang w:val="es-ES"/>
        </w:rPr>
        <w:t>para la Conservación de los Leones en África (GCLA)</w:t>
      </w:r>
      <w:r w:rsidR="00672039" w:rsidRPr="00CB07B6">
        <w:rPr>
          <w:i/>
          <w:lang w:val="es-ES"/>
        </w:rPr>
        <w:t xml:space="preserve"> </w:t>
      </w:r>
      <w:r w:rsidRPr="00CB07B6">
        <w:rPr>
          <w:lang w:val="es-ES"/>
        </w:rPr>
        <w:t xml:space="preserve">y la </w:t>
      </w:r>
      <w:r w:rsidR="00474C45" w:rsidRPr="00CB07B6">
        <w:rPr>
          <w:i/>
          <w:iCs/>
          <w:lang w:val="es-ES"/>
        </w:rPr>
        <w:t xml:space="preserve">Hoja de ruta para la Conservación del </w:t>
      </w:r>
      <w:r w:rsidR="00672039" w:rsidRPr="00CB07B6">
        <w:rPr>
          <w:i/>
          <w:lang w:val="es-ES"/>
        </w:rPr>
        <w:t>Leopardo</w:t>
      </w:r>
      <w:r w:rsidR="00474C45" w:rsidRPr="00CB07B6">
        <w:rPr>
          <w:i/>
          <w:iCs/>
          <w:lang w:val="es-ES"/>
        </w:rPr>
        <w:t xml:space="preserve"> en África</w:t>
      </w:r>
      <w:r w:rsidRPr="00CB07B6">
        <w:rPr>
          <w:lang w:val="es-ES"/>
        </w:rPr>
        <w:t xml:space="preserve"> </w:t>
      </w:r>
      <w:r w:rsidR="00186FA9" w:rsidRPr="00CB07B6">
        <w:rPr>
          <w:i/>
          <w:iCs/>
          <w:lang w:val="es-ES"/>
        </w:rPr>
        <w:t>(RCLA)</w:t>
      </w:r>
      <w:r w:rsidRPr="00CB07B6">
        <w:rPr>
          <w:lang w:val="es-ES"/>
        </w:rPr>
        <w:t xml:space="preserve"> a los Estados del área de distribución, la Secretaría propone que no se adopten Decisiones adicionales sobre asuntos directamente relacionados con la conservación de estas especies. </w:t>
      </w:r>
    </w:p>
    <w:p w14:paraId="5E1BD8C7" w14:textId="77777777" w:rsidR="008E7B7B" w:rsidRPr="00CB07B6" w:rsidRDefault="008E7B7B" w:rsidP="00F0485B">
      <w:pPr>
        <w:pStyle w:val="ListParagraph"/>
        <w:widowControl w:val="0"/>
        <w:suppressAutoHyphens/>
        <w:spacing w:after="0" w:line="240" w:lineRule="auto"/>
        <w:ind w:left="567"/>
        <w:jc w:val="both"/>
        <w:rPr>
          <w:lang w:val="es-ES"/>
        </w:rPr>
      </w:pPr>
    </w:p>
    <w:p w14:paraId="25C749D6" w14:textId="77777777" w:rsidR="00AD7AD6" w:rsidRPr="00CB07B6" w:rsidRDefault="00AD7AD6" w:rsidP="00AD7AD6">
      <w:pPr>
        <w:spacing w:after="0" w:line="240" w:lineRule="auto"/>
        <w:jc w:val="both"/>
        <w:rPr>
          <w:rFonts w:cs="Arial"/>
          <w:lang w:val="es-ES"/>
        </w:rPr>
      </w:pPr>
      <w:r w:rsidRPr="00CB07B6">
        <w:rPr>
          <w:rFonts w:cs="Arial"/>
          <w:u w:val="single"/>
          <w:lang w:val="es-ES"/>
        </w:rPr>
        <w:t>Acciones recomendadas</w:t>
      </w:r>
    </w:p>
    <w:p w14:paraId="750A435D" w14:textId="77777777" w:rsidR="00AD7AD6" w:rsidRPr="00CB07B6" w:rsidRDefault="00AD7AD6" w:rsidP="006A7DC4">
      <w:pPr>
        <w:spacing w:after="0" w:line="240" w:lineRule="auto"/>
        <w:rPr>
          <w:lang w:val="es-ES"/>
        </w:rPr>
      </w:pPr>
    </w:p>
    <w:p w14:paraId="7CE1CCFF" w14:textId="102653DD" w:rsidR="00211703" w:rsidRPr="00CB07B6" w:rsidRDefault="00DB1189" w:rsidP="00DB1189">
      <w:pPr>
        <w:spacing w:after="0" w:line="240" w:lineRule="auto"/>
        <w:jc w:val="both"/>
        <w:rPr>
          <w:lang w:val="es-ES"/>
        </w:rPr>
      </w:pPr>
      <w:r w:rsidRPr="00CB07B6">
        <w:rPr>
          <w:lang w:val="es-ES"/>
        </w:rPr>
        <w:t xml:space="preserve">Se recomienda a la Conferencia de las Partes que: </w:t>
      </w:r>
    </w:p>
    <w:p w14:paraId="3955AF08" w14:textId="77777777" w:rsidR="00841DD9" w:rsidRPr="00CB07B6" w:rsidRDefault="00841DD9" w:rsidP="00DB1189">
      <w:pPr>
        <w:spacing w:after="0" w:line="240" w:lineRule="auto"/>
        <w:jc w:val="both"/>
        <w:rPr>
          <w:lang w:val="es-ES"/>
        </w:rPr>
      </w:pPr>
    </w:p>
    <w:p w14:paraId="527D9452" w14:textId="735416DE" w:rsidR="00AB45A5" w:rsidRPr="00CB07B6" w:rsidRDefault="00AB45A5" w:rsidP="009F37D2">
      <w:pPr>
        <w:pStyle w:val="ListParagraph"/>
        <w:numPr>
          <w:ilvl w:val="0"/>
          <w:numId w:val="10"/>
        </w:numPr>
        <w:spacing w:after="0" w:line="240" w:lineRule="auto"/>
        <w:jc w:val="both"/>
        <w:rPr>
          <w:lang w:val="es-ES"/>
        </w:rPr>
      </w:pPr>
      <w:r w:rsidRPr="00CB07B6">
        <w:rPr>
          <w:lang w:val="es-ES"/>
        </w:rPr>
        <w:t>adopte el proyecto de Decisiones que se encuentra en el Anexo 1 del presente documento.</w:t>
      </w:r>
    </w:p>
    <w:p w14:paraId="442FEAA9" w14:textId="77777777" w:rsidR="00AB45A5" w:rsidRPr="00CB07B6" w:rsidRDefault="00AB45A5" w:rsidP="009F37D2">
      <w:pPr>
        <w:pStyle w:val="ListParagraph"/>
        <w:spacing w:after="0" w:line="240" w:lineRule="auto"/>
        <w:jc w:val="both"/>
        <w:rPr>
          <w:lang w:val="es-ES"/>
        </w:rPr>
      </w:pPr>
    </w:p>
    <w:p w14:paraId="436ED140" w14:textId="58322994" w:rsidR="00D840EB" w:rsidRPr="00CB07B6" w:rsidRDefault="00DB1189" w:rsidP="009F37D2">
      <w:pPr>
        <w:pStyle w:val="ListParagraph"/>
        <w:numPr>
          <w:ilvl w:val="0"/>
          <w:numId w:val="10"/>
        </w:numPr>
        <w:spacing w:after="0" w:line="240" w:lineRule="auto"/>
        <w:jc w:val="both"/>
        <w:rPr>
          <w:lang w:val="es-ES"/>
        </w:rPr>
      </w:pPr>
      <w:r w:rsidRPr="00CB07B6">
        <w:rPr>
          <w:lang w:val="es-ES"/>
        </w:rPr>
        <w:t>derogue las Decisiones 13.8</w:t>
      </w:r>
      <w:r w:rsidR="00F32400">
        <w:rPr>
          <w:lang w:val="es-ES"/>
        </w:rPr>
        <w:t>6</w:t>
      </w:r>
      <w:r w:rsidRPr="00CB07B6">
        <w:rPr>
          <w:lang w:val="es-ES"/>
        </w:rPr>
        <w:t>– 13.</w:t>
      </w:r>
      <w:r w:rsidR="00F32400">
        <w:rPr>
          <w:lang w:val="es-ES"/>
        </w:rPr>
        <w:t>87</w:t>
      </w:r>
      <w:r w:rsidR="008F2994">
        <w:rPr>
          <w:lang w:val="es-ES"/>
        </w:rPr>
        <w:t>, 13.88 – 13.91</w:t>
      </w:r>
      <w:r w:rsidRPr="00CB07B6">
        <w:rPr>
          <w:lang w:val="es-ES"/>
        </w:rPr>
        <w:t>, 13.92 – 13.95 y 13.96–13.97.</w:t>
      </w:r>
    </w:p>
    <w:p w14:paraId="29F976FF" w14:textId="77777777" w:rsidR="00841DD9" w:rsidRPr="00CB07B6" w:rsidRDefault="00841DD9" w:rsidP="00841DD9">
      <w:pPr>
        <w:pStyle w:val="ListParagraph"/>
        <w:spacing w:after="0" w:line="240" w:lineRule="auto"/>
        <w:jc w:val="both"/>
        <w:rPr>
          <w:lang w:val="es-ES"/>
        </w:rPr>
      </w:pPr>
    </w:p>
    <w:p w14:paraId="3C829F06" w14:textId="77777777" w:rsidR="00D564D1" w:rsidRPr="00CB07B6" w:rsidRDefault="00CB2986">
      <w:pPr>
        <w:rPr>
          <w:lang w:val="es-ES"/>
        </w:rPr>
        <w:sectPr w:rsidR="00D564D1" w:rsidRPr="00CB07B6" w:rsidSect="00D93628">
          <w:headerReference w:type="even" r:id="rId31"/>
          <w:headerReference w:type="default" r:id="rId32"/>
          <w:footerReference w:type="even" r:id="rId33"/>
          <w:footerReference w:type="default" r:id="rId34"/>
          <w:headerReference w:type="first" r:id="rId35"/>
          <w:pgSz w:w="11906" w:h="16838" w:code="9"/>
          <w:pgMar w:top="1440" w:right="1440" w:bottom="1440" w:left="1440" w:header="720" w:footer="720" w:gutter="0"/>
          <w:cols w:space="720"/>
          <w:titlePg/>
          <w:docGrid w:linePitch="360"/>
        </w:sectPr>
      </w:pPr>
      <w:r w:rsidRPr="00CB07B6">
        <w:rPr>
          <w:lang w:val="es-ES"/>
        </w:rPr>
        <w:br w:type="page"/>
      </w:r>
    </w:p>
    <w:p w14:paraId="21D727FB" w14:textId="6A7EA647" w:rsidR="00922E28" w:rsidRPr="00CB07B6" w:rsidRDefault="009F37D2" w:rsidP="00922E28">
      <w:pPr>
        <w:spacing w:after="0" w:line="240" w:lineRule="auto"/>
        <w:jc w:val="right"/>
        <w:rPr>
          <w:b/>
          <w:bCs/>
          <w:lang w:val="es-ES"/>
        </w:rPr>
      </w:pPr>
      <w:r w:rsidRPr="00CB07B6">
        <w:rPr>
          <w:b/>
          <w:bCs/>
          <w:lang w:val="es-ES"/>
        </w:rPr>
        <w:lastRenderedPageBreak/>
        <w:t>ANEXO 1</w:t>
      </w:r>
    </w:p>
    <w:p w14:paraId="025E1636" w14:textId="15F21E4D" w:rsidR="00922E28" w:rsidRDefault="00922E28" w:rsidP="00922E28">
      <w:pPr>
        <w:spacing w:after="0" w:line="240" w:lineRule="auto"/>
        <w:jc w:val="right"/>
        <w:rPr>
          <w:b/>
          <w:bCs/>
          <w:lang w:val="es-ES"/>
        </w:rPr>
      </w:pPr>
    </w:p>
    <w:p w14:paraId="67E09005" w14:textId="77777777" w:rsidR="009F37D2" w:rsidRPr="00CB07B6" w:rsidRDefault="009F37D2" w:rsidP="00922E28">
      <w:pPr>
        <w:spacing w:after="0" w:line="240" w:lineRule="auto"/>
        <w:jc w:val="right"/>
        <w:rPr>
          <w:b/>
          <w:bCs/>
          <w:lang w:val="es-ES"/>
        </w:rPr>
      </w:pPr>
    </w:p>
    <w:p w14:paraId="78748FDD" w14:textId="77777777" w:rsidR="0018327E" w:rsidRPr="00CB07B6" w:rsidRDefault="0018327E" w:rsidP="0018327E">
      <w:pPr>
        <w:spacing w:after="0" w:line="240" w:lineRule="auto"/>
        <w:jc w:val="center"/>
        <w:rPr>
          <w:lang w:val="es-ES"/>
        </w:rPr>
      </w:pPr>
      <w:r w:rsidRPr="00CB07B6">
        <w:rPr>
          <w:lang w:val="es-ES"/>
        </w:rPr>
        <w:t>PROYECTOS DE DECISIÓN</w:t>
      </w:r>
    </w:p>
    <w:p w14:paraId="2AC00580" w14:textId="77777777" w:rsidR="0018327E" w:rsidRPr="00CB07B6" w:rsidRDefault="0018327E" w:rsidP="0018327E">
      <w:pPr>
        <w:spacing w:after="0" w:line="240" w:lineRule="auto"/>
        <w:jc w:val="center"/>
        <w:rPr>
          <w:b/>
          <w:bCs/>
          <w:lang w:val="es-ES"/>
        </w:rPr>
      </w:pPr>
    </w:p>
    <w:p w14:paraId="239FCEDA" w14:textId="77777777" w:rsidR="0018327E" w:rsidRPr="00CB07B6" w:rsidRDefault="0018327E" w:rsidP="0018327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s-ES"/>
        </w:rPr>
      </w:pPr>
      <w:r w:rsidRPr="00CB07B6">
        <w:rPr>
          <w:b/>
          <w:bCs/>
          <w:lang w:val="es-ES"/>
        </w:rPr>
        <w:t>INICIATIVA CONJUNTA CITES-CMS SOBRE CARNÍVOROS AFRICANOS</w:t>
      </w:r>
    </w:p>
    <w:p w14:paraId="44CF4262" w14:textId="77777777" w:rsidR="0018327E" w:rsidRPr="00CB07B6" w:rsidRDefault="0018327E" w:rsidP="0018327E">
      <w:pPr>
        <w:spacing w:after="0" w:line="240" w:lineRule="auto"/>
        <w:jc w:val="right"/>
        <w:rPr>
          <w:b/>
          <w:bCs/>
          <w:lang w:val="es-ES"/>
        </w:rPr>
      </w:pPr>
    </w:p>
    <w:p w14:paraId="5E32847D" w14:textId="77777777" w:rsidR="0018327E" w:rsidRPr="00CB07B6" w:rsidRDefault="0018327E" w:rsidP="0018327E">
      <w:pPr>
        <w:spacing w:after="0" w:line="240" w:lineRule="auto"/>
        <w:jc w:val="right"/>
        <w:rPr>
          <w:b/>
          <w:bCs/>
          <w:lang w:val="es-ES"/>
        </w:rPr>
      </w:pPr>
    </w:p>
    <w:p w14:paraId="531195E9" w14:textId="1A72FE1C" w:rsidR="0018327E" w:rsidRPr="00CB07B6" w:rsidRDefault="0018327E" w:rsidP="0018327E">
      <w:pPr>
        <w:spacing w:after="0" w:line="240" w:lineRule="auto"/>
        <w:jc w:val="both"/>
        <w:rPr>
          <w:rFonts w:cs="Arial"/>
          <w:b/>
          <w:i/>
          <w:lang w:val="es-ES"/>
        </w:rPr>
      </w:pPr>
      <w:r w:rsidRPr="00CB07B6">
        <w:rPr>
          <w:rFonts w:cs="Arial"/>
          <w:b/>
          <w:i/>
          <w:lang w:val="es-ES"/>
        </w:rPr>
        <w:t>Dirigido a los Estados del área de distribución</w:t>
      </w:r>
      <w:r w:rsidRPr="00CB07B6">
        <w:rPr>
          <w:rFonts w:cs="Arial"/>
          <w:b/>
          <w:i/>
          <w:iCs/>
          <w:lang w:val="es-ES"/>
        </w:rPr>
        <w:t xml:space="preserve"> Partes y no-Partes de la Iniciativa conjunta CITES-CMS sobre carnívoros africanos:</w:t>
      </w:r>
    </w:p>
    <w:p w14:paraId="64B0F810" w14:textId="77777777" w:rsidR="0018327E" w:rsidRPr="00CB07B6" w:rsidRDefault="0018327E" w:rsidP="0018327E">
      <w:pPr>
        <w:spacing w:after="0" w:line="240" w:lineRule="auto"/>
        <w:jc w:val="both"/>
        <w:rPr>
          <w:rFonts w:cs="Arial"/>
          <w:lang w:val="es-ES"/>
        </w:rPr>
      </w:pPr>
    </w:p>
    <w:p w14:paraId="742977A5" w14:textId="485F323E" w:rsidR="0018327E" w:rsidRPr="00CB07B6" w:rsidRDefault="0018327E" w:rsidP="0018327E">
      <w:pPr>
        <w:spacing w:after="0" w:line="240" w:lineRule="auto"/>
        <w:ind w:left="851" w:hanging="851"/>
        <w:jc w:val="both"/>
        <w:rPr>
          <w:rFonts w:cs="Arial"/>
          <w:lang w:val="es-ES"/>
        </w:rPr>
      </w:pPr>
      <w:r w:rsidRPr="00CB07B6">
        <w:rPr>
          <w:rFonts w:cs="Arial"/>
          <w:lang w:val="es-ES"/>
        </w:rPr>
        <w:t>14.AA</w:t>
      </w:r>
      <w:r w:rsidRPr="00CB07B6">
        <w:rPr>
          <w:rFonts w:cs="Arial"/>
          <w:lang w:val="es-ES"/>
        </w:rPr>
        <w:tab/>
        <w:t xml:space="preserve">Se solicita a las Partes </w:t>
      </w:r>
      <w:bookmarkStart w:id="2" w:name="_Hlk133498544"/>
      <w:r w:rsidRPr="00CB07B6">
        <w:rPr>
          <w:rFonts w:cs="Arial"/>
          <w:lang w:val="es-ES"/>
        </w:rPr>
        <w:t xml:space="preserve">y no-Partes </w:t>
      </w:r>
      <w:r w:rsidRPr="00CB07B6">
        <w:rPr>
          <w:rFonts w:cs="Arial"/>
          <w:iCs/>
          <w:lang w:val="es-ES"/>
        </w:rPr>
        <w:t xml:space="preserve">que sean Estados del área de distribución de la Iniciativa conjunta CITES-CMS sobre carnívoros africanos (ACI) </w:t>
      </w:r>
      <w:bookmarkEnd w:id="2"/>
      <w:r w:rsidRPr="00CB07B6">
        <w:rPr>
          <w:rFonts w:cs="Arial"/>
          <w:lang w:val="es-ES"/>
        </w:rPr>
        <w:t>que revisen y amplíen el Programa de Trabajo (PdT), y, de ese modo, garanticen la implementación adicional del PdT y la Resolución 13.4.</w:t>
      </w:r>
    </w:p>
    <w:p w14:paraId="75DFDC1D" w14:textId="77777777" w:rsidR="0018327E" w:rsidRPr="00CB07B6" w:rsidRDefault="0018327E" w:rsidP="0018327E">
      <w:pPr>
        <w:spacing w:after="0" w:line="240" w:lineRule="auto"/>
        <w:jc w:val="both"/>
        <w:rPr>
          <w:rFonts w:cs="Arial"/>
          <w:lang w:val="es-ES"/>
        </w:rPr>
      </w:pPr>
    </w:p>
    <w:p w14:paraId="7A681063" w14:textId="2B518962" w:rsidR="0018327E" w:rsidRPr="00CB07B6" w:rsidRDefault="0018327E" w:rsidP="0018327E">
      <w:pPr>
        <w:spacing w:after="0" w:line="240" w:lineRule="auto"/>
        <w:jc w:val="both"/>
        <w:rPr>
          <w:rFonts w:cs="Arial"/>
          <w:b/>
          <w:i/>
          <w:lang w:val="es-ES"/>
        </w:rPr>
      </w:pPr>
      <w:r w:rsidRPr="00CB07B6">
        <w:rPr>
          <w:rFonts w:cs="Arial"/>
          <w:b/>
          <w:i/>
          <w:lang w:val="es-ES"/>
        </w:rPr>
        <w:t>Dirigido a organizaciones intergubernamentales y no gubernamentales:</w:t>
      </w:r>
    </w:p>
    <w:p w14:paraId="0549935D" w14:textId="77777777" w:rsidR="0018327E" w:rsidRPr="00CB07B6" w:rsidRDefault="0018327E" w:rsidP="0018327E">
      <w:pPr>
        <w:spacing w:after="0" w:line="240" w:lineRule="auto"/>
        <w:jc w:val="both"/>
        <w:rPr>
          <w:rFonts w:cs="Arial"/>
          <w:b/>
          <w:i/>
          <w:lang w:val="es-ES"/>
        </w:rPr>
      </w:pPr>
    </w:p>
    <w:p w14:paraId="72A711C0" w14:textId="77777777" w:rsidR="0018327E" w:rsidRPr="00CB07B6" w:rsidRDefault="0018327E" w:rsidP="0018327E">
      <w:pPr>
        <w:spacing w:after="0" w:line="240" w:lineRule="auto"/>
        <w:ind w:left="851" w:hanging="851"/>
        <w:jc w:val="both"/>
        <w:rPr>
          <w:rFonts w:cs="Arial"/>
          <w:lang w:val="es-ES"/>
        </w:rPr>
      </w:pPr>
      <w:r w:rsidRPr="00CB07B6">
        <w:rPr>
          <w:rFonts w:cs="Arial"/>
          <w:lang w:val="es-ES"/>
        </w:rPr>
        <w:t>14.BB</w:t>
      </w:r>
      <w:r w:rsidRPr="00CB07B6">
        <w:rPr>
          <w:rFonts w:cs="Arial"/>
          <w:lang w:val="es-ES"/>
        </w:rPr>
        <w:tab/>
        <w:t>Se insta a las organizaciones intergubernamentales y no gubernamentales a proporcionar apoyo financiero y técnico para la implementación de la ACI, su PdT y la reunión de los Estados del área de distribución.</w:t>
      </w:r>
    </w:p>
    <w:p w14:paraId="3808021D" w14:textId="50957985" w:rsidR="004F0F37" w:rsidRPr="00CB07B6" w:rsidRDefault="004F0F37" w:rsidP="00922E28">
      <w:pPr>
        <w:spacing w:after="0" w:line="240" w:lineRule="auto"/>
        <w:jc w:val="center"/>
        <w:rPr>
          <w:b/>
          <w:lang w:val="es-ES"/>
        </w:rPr>
      </w:pPr>
    </w:p>
    <w:p w14:paraId="3C453491" w14:textId="546CF73D" w:rsidR="00664698" w:rsidRPr="00CB07B6" w:rsidRDefault="00664698" w:rsidP="00664698">
      <w:pPr>
        <w:spacing w:after="0" w:line="240" w:lineRule="auto"/>
        <w:jc w:val="both"/>
        <w:rPr>
          <w:rFonts w:cs="Arial"/>
          <w:b/>
          <w:i/>
          <w:lang w:val="es-ES"/>
        </w:rPr>
      </w:pPr>
      <w:r w:rsidRPr="00CB07B6">
        <w:rPr>
          <w:rFonts w:cs="Arial"/>
          <w:b/>
          <w:i/>
          <w:lang w:val="es-ES"/>
        </w:rPr>
        <w:t>Dirigido a la Secretaría:</w:t>
      </w:r>
    </w:p>
    <w:p w14:paraId="381E425F" w14:textId="77777777" w:rsidR="006A2272" w:rsidRPr="00CB07B6" w:rsidRDefault="006A2272" w:rsidP="00664698">
      <w:pPr>
        <w:spacing w:after="0" w:line="240" w:lineRule="auto"/>
        <w:jc w:val="both"/>
        <w:rPr>
          <w:rFonts w:cs="Arial"/>
          <w:b/>
          <w:i/>
          <w:lang w:val="es-ES"/>
        </w:rPr>
      </w:pPr>
    </w:p>
    <w:p w14:paraId="6316D4BF" w14:textId="312FD6D5" w:rsidR="00ED0F8E" w:rsidRPr="00CB07B6" w:rsidRDefault="006A2272" w:rsidP="004A7B90">
      <w:pPr>
        <w:spacing w:after="0" w:line="240" w:lineRule="auto"/>
        <w:ind w:left="851" w:hanging="851"/>
        <w:jc w:val="both"/>
        <w:rPr>
          <w:rFonts w:cs="Arial"/>
          <w:bCs/>
          <w:iCs/>
          <w:lang w:val="es-ES"/>
        </w:rPr>
      </w:pPr>
      <w:r w:rsidRPr="00CB07B6">
        <w:rPr>
          <w:rFonts w:cs="Arial"/>
          <w:bCs/>
          <w:iCs/>
          <w:lang w:val="es-ES"/>
        </w:rPr>
        <w:t>14.CC</w:t>
      </w:r>
      <w:r w:rsidRPr="00CB07B6">
        <w:rPr>
          <w:rFonts w:cs="Arial"/>
          <w:bCs/>
          <w:iCs/>
          <w:lang w:val="es-ES"/>
        </w:rPr>
        <w:tab/>
        <w:t>La Secretaría, sujeta a la disponibilidad de recursos externos, deberá:</w:t>
      </w:r>
    </w:p>
    <w:p w14:paraId="77500BED" w14:textId="77777777" w:rsidR="00ED0F8E" w:rsidRPr="00CB07B6" w:rsidRDefault="00ED0F8E" w:rsidP="004A7B90">
      <w:pPr>
        <w:spacing w:after="0" w:line="240" w:lineRule="auto"/>
        <w:ind w:left="851" w:hanging="851"/>
        <w:jc w:val="both"/>
        <w:rPr>
          <w:rFonts w:cs="Arial"/>
          <w:bCs/>
          <w:iCs/>
          <w:lang w:val="es-ES"/>
        </w:rPr>
      </w:pPr>
    </w:p>
    <w:p w14:paraId="69D77B2F" w14:textId="57DE67FA" w:rsidR="00B431D5" w:rsidRPr="00CB07B6" w:rsidRDefault="00B431D5" w:rsidP="002756C2">
      <w:pPr>
        <w:pStyle w:val="ListParagraph"/>
        <w:numPr>
          <w:ilvl w:val="0"/>
          <w:numId w:val="20"/>
        </w:numPr>
        <w:spacing w:after="0" w:line="240" w:lineRule="auto"/>
        <w:ind w:left="1276"/>
        <w:jc w:val="both"/>
        <w:rPr>
          <w:rFonts w:cs="Arial"/>
          <w:bCs/>
          <w:iCs/>
          <w:lang w:val="es-ES"/>
        </w:rPr>
      </w:pPr>
      <w:r w:rsidRPr="00CB07B6">
        <w:rPr>
          <w:rFonts w:cs="Arial"/>
          <w:bCs/>
          <w:iCs/>
          <w:lang w:val="es-ES"/>
        </w:rPr>
        <w:t xml:space="preserve">Apoyar a los Estados del área de distribución con la implementación del PdT de la ACI, en especial, los resultados y actividades priorizadas por los Estados del área de distribución en su segunda reunión y establecidos en el documento </w:t>
      </w:r>
      <w:r w:rsidR="00506E0E" w:rsidRPr="00CB07B6">
        <w:rPr>
          <w:lang w:val="es-ES"/>
        </w:rPr>
        <w:t>CITES-CMS/ACI2/Resultados</w:t>
      </w:r>
      <w:r w:rsidR="00A3553D" w:rsidRPr="00CB07B6">
        <w:rPr>
          <w:rFonts w:cs="Arial"/>
          <w:bCs/>
          <w:iCs/>
          <w:lang w:val="es-ES"/>
        </w:rPr>
        <w:t>;</w:t>
      </w:r>
    </w:p>
    <w:p w14:paraId="352F773B" w14:textId="77777777" w:rsidR="0015120C" w:rsidRPr="00CB07B6" w:rsidRDefault="0015120C" w:rsidP="002756C2">
      <w:pPr>
        <w:pStyle w:val="ListParagraph"/>
        <w:spacing w:after="0" w:line="240" w:lineRule="auto"/>
        <w:ind w:left="1276"/>
        <w:jc w:val="both"/>
        <w:rPr>
          <w:rFonts w:cs="Arial"/>
          <w:bCs/>
          <w:iCs/>
          <w:lang w:val="es-ES"/>
        </w:rPr>
      </w:pPr>
    </w:p>
    <w:p w14:paraId="1D71E137" w14:textId="1F3760B3" w:rsidR="006A2272" w:rsidRPr="00CB07B6" w:rsidRDefault="000A0337" w:rsidP="002756C2">
      <w:pPr>
        <w:pStyle w:val="ListParagraph"/>
        <w:numPr>
          <w:ilvl w:val="0"/>
          <w:numId w:val="20"/>
        </w:numPr>
        <w:spacing w:after="0" w:line="240" w:lineRule="auto"/>
        <w:ind w:left="1276"/>
        <w:jc w:val="both"/>
        <w:rPr>
          <w:rFonts w:cs="Arial"/>
          <w:bCs/>
          <w:iCs/>
          <w:lang w:val="es-ES"/>
        </w:rPr>
      </w:pPr>
      <w:r w:rsidRPr="00CB07B6">
        <w:rPr>
          <w:rFonts w:cs="Arial"/>
          <w:bCs/>
          <w:iCs/>
          <w:lang w:val="es-ES"/>
        </w:rPr>
        <w:t xml:space="preserve">En estrecha cooperación con la Secretaría de la CITES, convocar una reunión de los Estados del área de distribución de la ACI en 2025 para apoyar a los Estados del área de distribución con la implementación de la Decisión 14.AA. </w:t>
      </w:r>
    </w:p>
    <w:p w14:paraId="0BB4F386" w14:textId="77777777" w:rsidR="00B431D5" w:rsidRPr="00CB07B6" w:rsidRDefault="00B431D5" w:rsidP="003C22B6">
      <w:pPr>
        <w:pStyle w:val="ListParagraph"/>
        <w:spacing w:after="0" w:line="240" w:lineRule="auto"/>
        <w:jc w:val="both"/>
        <w:rPr>
          <w:rFonts w:cs="Arial"/>
          <w:bCs/>
          <w:iCs/>
          <w:lang w:val="es-ES"/>
        </w:rPr>
      </w:pPr>
    </w:p>
    <w:p w14:paraId="03C40DF5" w14:textId="5633347B" w:rsidR="00420087" w:rsidRPr="00420087" w:rsidRDefault="00420087" w:rsidP="00420087">
      <w:pPr>
        <w:spacing w:after="0" w:line="240" w:lineRule="auto"/>
        <w:ind w:left="851" w:hanging="851"/>
        <w:jc w:val="both"/>
        <w:rPr>
          <w:rFonts w:cs="Arial"/>
          <w:b/>
          <w:i/>
          <w:lang w:val="es-ES"/>
        </w:rPr>
      </w:pPr>
      <w:r w:rsidRPr="00420087">
        <w:rPr>
          <w:rFonts w:cs="Arial"/>
          <w:b/>
          <w:i/>
          <w:lang w:val="es-ES"/>
        </w:rPr>
        <w:t>Dirigido a Bots</w:t>
      </w:r>
      <w:r>
        <w:rPr>
          <w:rFonts w:cs="Arial"/>
          <w:b/>
          <w:i/>
          <w:lang w:val="es-ES"/>
        </w:rPr>
        <w:t>w</w:t>
      </w:r>
      <w:r w:rsidRPr="00420087">
        <w:rPr>
          <w:rFonts w:cs="Arial"/>
          <w:b/>
          <w:i/>
          <w:lang w:val="es-ES"/>
        </w:rPr>
        <w:t>ana, Namibia y Zimbab</w:t>
      </w:r>
      <w:r>
        <w:rPr>
          <w:rFonts w:cs="Arial"/>
          <w:b/>
          <w:i/>
          <w:lang w:val="es-ES"/>
        </w:rPr>
        <w:t>w</w:t>
      </w:r>
      <w:r w:rsidRPr="00420087">
        <w:rPr>
          <w:rFonts w:cs="Arial"/>
          <w:b/>
          <w:i/>
          <w:lang w:val="es-ES"/>
        </w:rPr>
        <w:t>e:</w:t>
      </w:r>
    </w:p>
    <w:p w14:paraId="1358267B" w14:textId="77777777" w:rsidR="00420087" w:rsidRPr="00420087" w:rsidRDefault="00420087" w:rsidP="00420087">
      <w:pPr>
        <w:spacing w:after="0" w:line="240" w:lineRule="auto"/>
        <w:ind w:left="851" w:hanging="851"/>
        <w:jc w:val="both"/>
        <w:rPr>
          <w:rFonts w:cs="Arial"/>
          <w:bCs/>
          <w:iCs/>
          <w:lang w:val="es-ES"/>
        </w:rPr>
      </w:pPr>
    </w:p>
    <w:p w14:paraId="37C8F22F" w14:textId="64E4FE66" w:rsidR="00420087" w:rsidRPr="00420087" w:rsidRDefault="00420087" w:rsidP="00420087">
      <w:pPr>
        <w:spacing w:after="0" w:line="240" w:lineRule="auto"/>
        <w:ind w:left="851" w:hanging="851"/>
        <w:jc w:val="both"/>
        <w:rPr>
          <w:rFonts w:cs="Arial"/>
          <w:bCs/>
          <w:iCs/>
          <w:lang w:val="es-ES"/>
        </w:rPr>
      </w:pPr>
      <w:r w:rsidRPr="00420087">
        <w:rPr>
          <w:rFonts w:cs="Arial"/>
          <w:bCs/>
          <w:iCs/>
          <w:lang w:val="es-ES"/>
        </w:rPr>
        <w:t>14.DD</w:t>
      </w:r>
      <w:r>
        <w:rPr>
          <w:rFonts w:cs="Arial"/>
          <w:bCs/>
          <w:iCs/>
          <w:lang w:val="es-ES"/>
        </w:rPr>
        <w:tab/>
      </w:r>
      <w:r w:rsidRPr="00420087">
        <w:rPr>
          <w:rFonts w:cs="Arial"/>
          <w:bCs/>
          <w:iCs/>
          <w:lang w:val="es-ES"/>
        </w:rPr>
        <w:t>Se invita a Botsuana y Namibia y se solicita a Zimbabue que proporcionen, antes del final del primer trimestre de 2024, datos e información sobre el estado de conservación de sus poblaciones de guepardos a la Secretaría de la CMS para su revisión y consideración por la 7ª reunión de su Comité del período de sesiones.</w:t>
      </w:r>
    </w:p>
    <w:p w14:paraId="32FFC313" w14:textId="77777777" w:rsidR="00420087" w:rsidRPr="00420087" w:rsidRDefault="00420087" w:rsidP="00420087">
      <w:pPr>
        <w:spacing w:after="0" w:line="240" w:lineRule="auto"/>
        <w:ind w:left="851" w:hanging="851"/>
        <w:jc w:val="both"/>
        <w:rPr>
          <w:rFonts w:cs="Arial"/>
          <w:bCs/>
          <w:iCs/>
          <w:lang w:val="es-ES"/>
        </w:rPr>
      </w:pPr>
    </w:p>
    <w:p w14:paraId="18EB8D1E" w14:textId="77777777" w:rsidR="00420087" w:rsidRPr="00420087" w:rsidRDefault="00420087" w:rsidP="00420087">
      <w:pPr>
        <w:spacing w:after="0" w:line="240" w:lineRule="auto"/>
        <w:ind w:left="851" w:hanging="851"/>
        <w:jc w:val="both"/>
        <w:rPr>
          <w:rFonts w:cs="Arial"/>
          <w:b/>
          <w:i/>
          <w:lang w:val="es-ES"/>
        </w:rPr>
      </w:pPr>
      <w:r w:rsidRPr="00420087">
        <w:rPr>
          <w:rFonts w:cs="Arial"/>
          <w:b/>
          <w:i/>
          <w:lang w:val="es-ES"/>
        </w:rPr>
        <w:t>Dirigido al Consejo Científico:</w:t>
      </w:r>
    </w:p>
    <w:p w14:paraId="1F9169E1" w14:textId="77777777" w:rsidR="00420087" w:rsidRPr="00420087" w:rsidRDefault="00420087" w:rsidP="00420087">
      <w:pPr>
        <w:spacing w:after="0" w:line="240" w:lineRule="auto"/>
        <w:ind w:left="851" w:hanging="851"/>
        <w:jc w:val="both"/>
        <w:rPr>
          <w:rFonts w:cs="Arial"/>
          <w:bCs/>
          <w:iCs/>
          <w:lang w:val="es-ES"/>
        </w:rPr>
      </w:pPr>
    </w:p>
    <w:p w14:paraId="28979623" w14:textId="6B7CE296" w:rsidR="00420087" w:rsidRPr="00420087" w:rsidRDefault="00420087" w:rsidP="00420087">
      <w:pPr>
        <w:spacing w:after="0" w:line="240" w:lineRule="auto"/>
        <w:ind w:left="851" w:hanging="851"/>
        <w:jc w:val="both"/>
        <w:rPr>
          <w:rFonts w:cs="Arial"/>
          <w:bCs/>
          <w:iCs/>
          <w:lang w:val="es-ES"/>
        </w:rPr>
      </w:pPr>
      <w:r w:rsidRPr="00420087">
        <w:rPr>
          <w:rFonts w:cs="Arial"/>
          <w:bCs/>
          <w:iCs/>
          <w:lang w:val="es-ES"/>
        </w:rPr>
        <w:t>14.EE</w:t>
      </w:r>
      <w:r>
        <w:rPr>
          <w:rFonts w:cs="Arial"/>
          <w:bCs/>
          <w:iCs/>
          <w:lang w:val="es-ES"/>
        </w:rPr>
        <w:tab/>
      </w:r>
      <w:r w:rsidRPr="00420087">
        <w:rPr>
          <w:rFonts w:cs="Arial"/>
          <w:bCs/>
          <w:iCs/>
          <w:lang w:val="es-ES"/>
        </w:rPr>
        <w:t xml:space="preserve">Se solicita al Consejo Científico que: </w:t>
      </w:r>
    </w:p>
    <w:p w14:paraId="5A67756F" w14:textId="77777777" w:rsidR="00420087" w:rsidRPr="00420087" w:rsidRDefault="00420087" w:rsidP="00420087">
      <w:pPr>
        <w:spacing w:after="0" w:line="240" w:lineRule="auto"/>
        <w:ind w:left="851" w:hanging="851"/>
        <w:jc w:val="both"/>
        <w:rPr>
          <w:rFonts w:cs="Arial"/>
          <w:bCs/>
          <w:iCs/>
          <w:lang w:val="es-ES"/>
        </w:rPr>
      </w:pPr>
    </w:p>
    <w:p w14:paraId="4E11106B" w14:textId="3A36CC24" w:rsidR="00420087" w:rsidRPr="00420087" w:rsidRDefault="00420087" w:rsidP="00420087">
      <w:pPr>
        <w:pStyle w:val="ListParagraph"/>
        <w:numPr>
          <w:ilvl w:val="0"/>
          <w:numId w:val="22"/>
        </w:numPr>
        <w:spacing w:after="0" w:line="240" w:lineRule="auto"/>
        <w:ind w:left="1260"/>
        <w:jc w:val="both"/>
        <w:rPr>
          <w:rFonts w:cs="Arial"/>
          <w:bCs/>
          <w:iCs/>
          <w:lang w:val="es-ES"/>
        </w:rPr>
      </w:pPr>
      <w:r w:rsidRPr="00420087">
        <w:rPr>
          <w:rFonts w:cs="Arial"/>
          <w:bCs/>
          <w:iCs/>
          <w:lang w:val="es-ES"/>
        </w:rPr>
        <w:t xml:space="preserve">en la 7ª reunión de su Comité del período de sesiones y en colaboración con el Grupo de especialistas en felinos de la UICN, debata la información suministrada a la Secretaría en respuesta a la Decisión 14.DD y el informe sobre el estado de conservación de las poblaciones de guepardos de Botswana, Namibia y Zimbabwe y las consideraciones para su inclusión en los apéndices de la CMS; y </w:t>
      </w:r>
    </w:p>
    <w:p w14:paraId="7FAFC4B0" w14:textId="77777777" w:rsidR="00420087" w:rsidRPr="00420087" w:rsidRDefault="00420087" w:rsidP="00420087">
      <w:pPr>
        <w:spacing w:after="0" w:line="240" w:lineRule="auto"/>
        <w:ind w:left="1260" w:hanging="360"/>
        <w:jc w:val="both"/>
        <w:rPr>
          <w:rFonts w:cs="Arial"/>
          <w:bCs/>
          <w:iCs/>
          <w:lang w:val="es-ES"/>
        </w:rPr>
      </w:pPr>
    </w:p>
    <w:p w14:paraId="1519A2C1" w14:textId="284DB697" w:rsidR="00420087" w:rsidRPr="00420087" w:rsidRDefault="00420087" w:rsidP="00420087">
      <w:pPr>
        <w:pStyle w:val="ListParagraph"/>
        <w:numPr>
          <w:ilvl w:val="0"/>
          <w:numId w:val="22"/>
        </w:numPr>
        <w:spacing w:after="0" w:line="240" w:lineRule="auto"/>
        <w:ind w:left="1260"/>
        <w:jc w:val="both"/>
        <w:rPr>
          <w:rFonts w:cs="Arial"/>
          <w:bCs/>
          <w:iCs/>
          <w:lang w:val="es-ES"/>
        </w:rPr>
      </w:pPr>
      <w:r w:rsidRPr="00420087">
        <w:rPr>
          <w:rFonts w:cs="Arial"/>
          <w:bCs/>
          <w:iCs/>
          <w:lang w:val="es-ES"/>
        </w:rPr>
        <w:t>proporcionar recomendaciones al Comité Permanente en su 56ª o 57ª reunión.</w:t>
      </w:r>
    </w:p>
    <w:p w14:paraId="138581AF" w14:textId="77777777" w:rsidR="00420087" w:rsidRPr="00420087" w:rsidRDefault="00420087" w:rsidP="00420087">
      <w:pPr>
        <w:spacing w:after="0" w:line="240" w:lineRule="auto"/>
        <w:ind w:left="851" w:hanging="851"/>
        <w:jc w:val="both"/>
        <w:rPr>
          <w:rFonts w:cs="Arial"/>
          <w:bCs/>
          <w:iCs/>
          <w:lang w:val="es-ES"/>
        </w:rPr>
      </w:pPr>
    </w:p>
    <w:p w14:paraId="03CCD990" w14:textId="77777777" w:rsidR="00420087" w:rsidRPr="00420087" w:rsidRDefault="00420087" w:rsidP="00420087">
      <w:pPr>
        <w:spacing w:after="0" w:line="240" w:lineRule="auto"/>
        <w:ind w:left="851" w:hanging="851"/>
        <w:jc w:val="both"/>
        <w:rPr>
          <w:rFonts w:cs="Arial"/>
          <w:b/>
          <w:i/>
          <w:lang w:val="es-ES"/>
        </w:rPr>
      </w:pPr>
      <w:r w:rsidRPr="00420087">
        <w:rPr>
          <w:rFonts w:cs="Arial"/>
          <w:b/>
          <w:i/>
          <w:lang w:val="es-ES"/>
        </w:rPr>
        <w:lastRenderedPageBreak/>
        <w:t>Dirigido al Comité Permanente:</w:t>
      </w:r>
    </w:p>
    <w:p w14:paraId="64C32B9F" w14:textId="77777777" w:rsidR="00420087" w:rsidRPr="00420087" w:rsidRDefault="00420087" w:rsidP="00420087">
      <w:pPr>
        <w:spacing w:after="0" w:line="240" w:lineRule="auto"/>
        <w:ind w:left="851" w:hanging="851"/>
        <w:jc w:val="both"/>
        <w:rPr>
          <w:rFonts w:cs="Arial"/>
          <w:bCs/>
          <w:iCs/>
          <w:lang w:val="es-ES"/>
        </w:rPr>
      </w:pPr>
    </w:p>
    <w:p w14:paraId="7BBC6527" w14:textId="3420984C" w:rsidR="00ED0F8E" w:rsidRPr="00CB07B6" w:rsidRDefault="00420087" w:rsidP="00420087">
      <w:pPr>
        <w:spacing w:after="0" w:line="240" w:lineRule="auto"/>
        <w:ind w:left="851" w:hanging="851"/>
        <w:jc w:val="both"/>
        <w:rPr>
          <w:rFonts w:cs="Arial"/>
          <w:bCs/>
          <w:iCs/>
          <w:lang w:val="es-ES"/>
        </w:rPr>
      </w:pPr>
      <w:r w:rsidRPr="00420087">
        <w:rPr>
          <w:rFonts w:cs="Arial"/>
          <w:bCs/>
          <w:iCs/>
          <w:lang w:val="es-ES"/>
        </w:rPr>
        <w:t>14.FF</w:t>
      </w:r>
      <w:r>
        <w:rPr>
          <w:rFonts w:cs="Arial"/>
          <w:bCs/>
          <w:iCs/>
          <w:lang w:val="es-ES"/>
        </w:rPr>
        <w:tab/>
      </w:r>
      <w:r w:rsidRPr="00420087">
        <w:rPr>
          <w:rFonts w:cs="Arial"/>
          <w:bCs/>
          <w:iCs/>
          <w:lang w:val="es-ES"/>
        </w:rPr>
        <w:t>Se solicita al Comité Permanente que considere las recomendaciones emanadas del Comité del período de sesiones del Consejo Científico según la Decisión 14.EE y apruebe o rechace las recomendaciones.</w:t>
      </w:r>
    </w:p>
    <w:p w14:paraId="5449613A" w14:textId="77777777" w:rsidR="00ED0F8E" w:rsidRPr="00CB07B6" w:rsidRDefault="00ED0F8E" w:rsidP="004A7B90">
      <w:pPr>
        <w:spacing w:after="0" w:line="240" w:lineRule="auto"/>
        <w:ind w:left="851" w:hanging="851"/>
        <w:jc w:val="both"/>
        <w:rPr>
          <w:rFonts w:cs="Arial"/>
          <w:bCs/>
          <w:iCs/>
          <w:lang w:val="es-ES"/>
        </w:rPr>
      </w:pPr>
    </w:p>
    <w:p w14:paraId="784CFAFA" w14:textId="77777777" w:rsidR="00664698" w:rsidRPr="00CB07B6" w:rsidRDefault="00664698" w:rsidP="00922E28">
      <w:pPr>
        <w:spacing w:after="0" w:line="240" w:lineRule="auto"/>
        <w:jc w:val="center"/>
        <w:rPr>
          <w:b/>
          <w:lang w:val="es-ES"/>
        </w:rPr>
      </w:pPr>
    </w:p>
    <w:sectPr w:rsidR="00664698" w:rsidRPr="00CB07B6" w:rsidSect="00D93628">
      <w:headerReference w:type="first" r:id="rId36"/>
      <w:footerReference w:type="first" r:id="rId3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B080" w14:textId="77777777" w:rsidR="00973339" w:rsidRDefault="00973339" w:rsidP="002E0DE9">
      <w:pPr>
        <w:spacing w:after="0" w:line="240" w:lineRule="auto"/>
      </w:pPr>
      <w:r>
        <w:separator/>
      </w:r>
    </w:p>
  </w:endnote>
  <w:endnote w:type="continuationSeparator" w:id="0">
    <w:p w14:paraId="531DD347" w14:textId="77777777" w:rsidR="00973339" w:rsidRDefault="00973339" w:rsidP="002E0DE9">
      <w:pPr>
        <w:spacing w:after="0" w:line="240" w:lineRule="auto"/>
      </w:pPr>
      <w:r>
        <w:continuationSeparator/>
      </w:r>
    </w:p>
  </w:endnote>
  <w:endnote w:type="continuationNotice" w:id="1">
    <w:p w14:paraId="2678297A" w14:textId="77777777" w:rsidR="00973339" w:rsidRDefault="00973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389856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25946"/>
      <w:docPartObj>
        <w:docPartGallery w:val="Page Numbers (Bottom of Page)"/>
        <w:docPartUnique/>
      </w:docPartObj>
    </w:sdtPr>
    <w:sdtEndPr>
      <w:rPr>
        <w:noProof/>
        <w:sz w:val="18"/>
        <w:szCs w:val="18"/>
      </w:rPr>
    </w:sdtEndPr>
    <w:sdtContent>
      <w:p w14:paraId="21326601" w14:textId="171BADF3" w:rsidR="009F37D2" w:rsidRPr="009F37D2" w:rsidRDefault="009F37D2">
        <w:pPr>
          <w:pStyle w:val="Footer"/>
          <w:jc w:val="center"/>
          <w:rPr>
            <w:sz w:val="18"/>
            <w:szCs w:val="18"/>
          </w:rPr>
        </w:pPr>
        <w:r w:rsidRPr="009F37D2">
          <w:rPr>
            <w:sz w:val="18"/>
            <w:szCs w:val="18"/>
          </w:rPr>
          <w:fldChar w:fldCharType="begin"/>
        </w:r>
        <w:r w:rsidRPr="009F37D2">
          <w:rPr>
            <w:sz w:val="18"/>
            <w:szCs w:val="18"/>
          </w:rPr>
          <w:instrText xml:space="preserve"> PAGE   \* MERGEFORMAT </w:instrText>
        </w:r>
        <w:r w:rsidRPr="009F37D2">
          <w:rPr>
            <w:sz w:val="18"/>
            <w:szCs w:val="18"/>
          </w:rPr>
          <w:fldChar w:fldCharType="separate"/>
        </w:r>
        <w:r w:rsidRPr="009F37D2">
          <w:rPr>
            <w:noProof/>
            <w:sz w:val="18"/>
            <w:szCs w:val="18"/>
          </w:rPr>
          <w:t>2</w:t>
        </w:r>
        <w:r w:rsidRPr="009F37D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A3BC" w14:textId="77777777" w:rsidR="00973339" w:rsidRDefault="00973339" w:rsidP="002E0DE9">
      <w:pPr>
        <w:spacing w:after="0" w:line="240" w:lineRule="auto"/>
      </w:pPr>
      <w:r>
        <w:separator/>
      </w:r>
    </w:p>
  </w:footnote>
  <w:footnote w:type="continuationSeparator" w:id="0">
    <w:p w14:paraId="56D0E366" w14:textId="77777777" w:rsidR="00973339" w:rsidRDefault="00973339" w:rsidP="002E0DE9">
      <w:pPr>
        <w:spacing w:after="0" w:line="240" w:lineRule="auto"/>
      </w:pPr>
      <w:r>
        <w:continuationSeparator/>
      </w:r>
    </w:p>
  </w:footnote>
  <w:footnote w:type="continuationNotice" w:id="1">
    <w:p w14:paraId="643A07C1" w14:textId="77777777" w:rsidR="00973339" w:rsidRDefault="00973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088C7DA4" w:rsidR="002E0DE9" w:rsidRPr="00FD03B6" w:rsidRDefault="002E0DE9" w:rsidP="002E0DE9">
    <w:pPr>
      <w:pStyle w:val="Header"/>
      <w:pBdr>
        <w:bottom w:val="single" w:sz="4" w:space="1" w:color="auto"/>
      </w:pBdr>
      <w:rPr>
        <w:i/>
        <w:sz w:val="18"/>
        <w:szCs w:val="18"/>
      </w:rPr>
    </w:pPr>
    <w:r w:rsidRPr="00FD03B6">
      <w:rPr>
        <w:rFonts w:eastAsia="Times New Roman" w:cs="Arial"/>
        <w:i/>
        <w:sz w:val="18"/>
        <w:szCs w:val="18"/>
      </w:rPr>
      <w:t>UNEP/CMS/COP14/Doc.29.1</w:t>
    </w:r>
    <w:r w:rsidR="00FD03B6" w:rsidRPr="00FD03B6">
      <w:rPr>
        <w:rFonts w:eastAsia="Times New Roman" w:cs="Arial"/>
        <w:i/>
        <w:sz w:val="18"/>
        <w:szCs w:val="18"/>
      </w:rPr>
      <w:t>/Rev.</w:t>
    </w:r>
    <w:r w:rsidR="00FD03B6">
      <w:rPr>
        <w:rFonts w:eastAsia="Times New Roman" w:cs="Arial"/>
        <w:i/>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DBEE89F" w:rsidR="002E0DE9" w:rsidRPr="00FD03B6" w:rsidRDefault="002E0DE9" w:rsidP="00842B75">
    <w:pPr>
      <w:pStyle w:val="Header"/>
      <w:pBdr>
        <w:bottom w:val="single" w:sz="4" w:space="1" w:color="auto"/>
      </w:pBdr>
      <w:jc w:val="right"/>
      <w:rPr>
        <w:i/>
        <w:sz w:val="18"/>
        <w:szCs w:val="18"/>
      </w:rPr>
    </w:pPr>
    <w:r w:rsidRPr="00FD03B6">
      <w:rPr>
        <w:rFonts w:eastAsia="Times New Roman" w:cs="Arial"/>
        <w:i/>
        <w:sz w:val="18"/>
        <w:szCs w:val="18"/>
      </w:rPr>
      <w:t>UNEP/CMS/COP14/Doc.29.1</w:t>
    </w:r>
    <w:r w:rsidR="00FD03B6" w:rsidRPr="00FD03B6">
      <w:rPr>
        <w:rFonts w:eastAsia="Times New Roman" w:cs="Arial"/>
        <w:i/>
        <w:sz w:val="18"/>
        <w:szCs w:val="18"/>
      </w:rPr>
      <w:t>/Rev.</w:t>
    </w:r>
    <w:r w:rsidR="00FD03B6">
      <w:rPr>
        <w:rFonts w:eastAsia="Times New Roman" w:cs="Arial"/>
        <w: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9FDC" w14:textId="77777777" w:rsidR="00254BAB" w:rsidRPr="00002A97" w:rsidRDefault="00254BAB" w:rsidP="00254BAB">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64F71E67" wp14:editId="7756304E">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408806D7" wp14:editId="3D7B2C2A">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395A1ABB" wp14:editId="50C038BF">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97CC01A" w14:textId="77777777" w:rsidR="00254BAB" w:rsidRDefault="00254B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B5F" w14:textId="3607F940" w:rsidR="002E0DE9" w:rsidRDefault="00496ADD" w:rsidP="00CC5145">
    <w:pPr>
      <w:pStyle w:val="Header"/>
      <w:pBdr>
        <w:bottom w:val="single" w:sz="4" w:space="1" w:color="auto"/>
      </w:pBdr>
    </w:pPr>
    <w:r w:rsidRPr="00064457">
      <w:rPr>
        <w:rFonts w:cs="Arial"/>
        <w:i/>
        <w:sz w:val="18"/>
        <w:szCs w:val="18"/>
      </w:rPr>
      <w:t>UNEP/CMS/COP14/Doc.29.1/</w:t>
    </w:r>
    <w:r w:rsidR="00FD03B6">
      <w:rPr>
        <w:rFonts w:cs="Arial"/>
        <w:i/>
        <w:sz w:val="18"/>
        <w:szCs w:val="18"/>
      </w:rPr>
      <w:t>Rev.1/</w:t>
    </w:r>
    <w:r w:rsidRPr="00064457">
      <w:rPr>
        <w:rFonts w:cs="Arial"/>
        <w:i/>
        <w:sz w:val="18"/>
        <w:szCs w:val="18"/>
      </w:rPr>
      <w:t xml:space="preserve">Anexo </w:t>
    </w:r>
    <w:r w:rsidR="00CC5145">
      <w:rPr>
        <w:rFonts w:cs="Arial"/>
        <w:i/>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8780F21"/>
    <w:multiLevelType w:val="hybridMultilevel"/>
    <w:tmpl w:val="C9766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424826BE">
      <w:start w:val="1"/>
      <w:numFmt w:val="lowerRoman"/>
      <w:lvlText w:val="%3)"/>
      <w:lvlJc w:val="right"/>
      <w:pPr>
        <w:ind w:left="2623"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CF3A5B"/>
    <w:multiLevelType w:val="hybridMultilevel"/>
    <w:tmpl w:val="D884EE5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66A0564"/>
    <w:multiLevelType w:val="hybridMultilevel"/>
    <w:tmpl w:val="0108D72E"/>
    <w:lvl w:ilvl="0" w:tplc="FFFFFFFF">
      <w:start w:val="1"/>
      <w:numFmt w:val="bullet"/>
      <w:lvlText w:val="-"/>
      <w:lvlJc w:val="left"/>
      <w:pPr>
        <w:ind w:left="1440" w:hanging="360"/>
      </w:pPr>
      <w:rPr>
        <w:rFonts w:ascii="Arial" w:hAnsi="Aria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2B23D62"/>
    <w:multiLevelType w:val="hybridMultilevel"/>
    <w:tmpl w:val="550E6D1C"/>
    <w:lvl w:ilvl="0" w:tplc="2F124D68">
      <w:start w:val="18"/>
      <w:numFmt w:val="bullet"/>
      <w:lvlText w:val="-"/>
      <w:lvlJc w:val="left"/>
      <w:pPr>
        <w:ind w:left="4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426759F"/>
    <w:multiLevelType w:val="hybridMultilevel"/>
    <w:tmpl w:val="A9E42A9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424826BE">
      <w:start w:val="1"/>
      <w:numFmt w:val="lowerRoman"/>
      <w:lvlText w:val="%3)"/>
      <w:lvlJc w:val="right"/>
      <w:pPr>
        <w:ind w:left="2443" w:hanging="180"/>
      </w:pPr>
      <w:rPr>
        <w:rFonts w:hint="default"/>
      </w:r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62D3B94"/>
    <w:multiLevelType w:val="hybridMultilevel"/>
    <w:tmpl w:val="BE4AB40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B7509DA"/>
    <w:multiLevelType w:val="hybridMultilevel"/>
    <w:tmpl w:val="59D0F06C"/>
    <w:lvl w:ilvl="0" w:tplc="0FEE8900">
      <w:start w:val="1"/>
      <w:numFmt w:val="decimal"/>
      <w:lvlText w:val="%1."/>
      <w:lvlJc w:val="left"/>
      <w:pPr>
        <w:ind w:left="360" w:hanging="360"/>
      </w:pPr>
    </w:lvl>
    <w:lvl w:ilvl="1" w:tplc="62167B14">
      <w:start w:val="1"/>
      <w:numFmt w:val="lowerLetter"/>
      <w:lvlText w:val="%2."/>
      <w:lvlJc w:val="left"/>
      <w:pPr>
        <w:ind w:left="1080" w:hanging="360"/>
      </w:pPr>
    </w:lvl>
    <w:lvl w:ilvl="2" w:tplc="20445C4A">
      <w:start w:val="1"/>
      <w:numFmt w:val="lowerRoman"/>
      <w:lvlText w:val="%3."/>
      <w:lvlJc w:val="right"/>
      <w:pPr>
        <w:ind w:left="1800" w:hanging="180"/>
      </w:pPr>
    </w:lvl>
    <w:lvl w:ilvl="3" w:tplc="E7AE7EDA">
      <w:start w:val="1"/>
      <w:numFmt w:val="decimal"/>
      <w:lvlText w:val="%4."/>
      <w:lvlJc w:val="left"/>
      <w:pPr>
        <w:ind w:left="2520" w:hanging="360"/>
      </w:pPr>
    </w:lvl>
    <w:lvl w:ilvl="4" w:tplc="D07EF1E8">
      <w:start w:val="1"/>
      <w:numFmt w:val="lowerLetter"/>
      <w:lvlText w:val="%5."/>
      <w:lvlJc w:val="left"/>
      <w:pPr>
        <w:ind w:left="3240" w:hanging="360"/>
      </w:pPr>
    </w:lvl>
    <w:lvl w:ilvl="5" w:tplc="E920F402">
      <w:start w:val="1"/>
      <w:numFmt w:val="lowerRoman"/>
      <w:lvlText w:val="%6."/>
      <w:lvlJc w:val="right"/>
      <w:pPr>
        <w:ind w:left="3960" w:hanging="180"/>
      </w:pPr>
    </w:lvl>
    <w:lvl w:ilvl="6" w:tplc="82AC703A">
      <w:start w:val="1"/>
      <w:numFmt w:val="decimal"/>
      <w:lvlText w:val="%7."/>
      <w:lvlJc w:val="left"/>
      <w:pPr>
        <w:ind w:left="4680" w:hanging="360"/>
      </w:pPr>
    </w:lvl>
    <w:lvl w:ilvl="7" w:tplc="D1E4CC62">
      <w:start w:val="1"/>
      <w:numFmt w:val="lowerLetter"/>
      <w:lvlText w:val="%8."/>
      <w:lvlJc w:val="left"/>
      <w:pPr>
        <w:ind w:left="5400" w:hanging="360"/>
      </w:pPr>
    </w:lvl>
    <w:lvl w:ilvl="8" w:tplc="798EE26A">
      <w:start w:val="1"/>
      <w:numFmt w:val="lowerRoman"/>
      <w:lvlText w:val="%9."/>
      <w:lvlJc w:val="right"/>
      <w:pPr>
        <w:ind w:left="6120" w:hanging="180"/>
      </w:pPr>
    </w:lvl>
  </w:abstractNum>
  <w:abstractNum w:abstractNumId="8" w15:restartNumberingAfterBreak="0">
    <w:nsid w:val="3A702C06"/>
    <w:multiLevelType w:val="hybridMultilevel"/>
    <w:tmpl w:val="6C06C2F2"/>
    <w:lvl w:ilvl="0" w:tplc="DB1AF79E">
      <w:start w:val="1"/>
      <w:numFmt w:val="decimal"/>
      <w:lvlText w:val="%1."/>
      <w:lvlJc w:val="left"/>
      <w:pPr>
        <w:ind w:left="360" w:hanging="360"/>
      </w:pPr>
      <w:rPr>
        <w:i w:val="0"/>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3B9C09FE"/>
    <w:multiLevelType w:val="hybridMultilevel"/>
    <w:tmpl w:val="88D6E000"/>
    <w:lvl w:ilvl="0" w:tplc="A226FAF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77C56"/>
    <w:multiLevelType w:val="hybridMultilevel"/>
    <w:tmpl w:val="2610762A"/>
    <w:lvl w:ilvl="0" w:tplc="2F124D68">
      <w:start w:val="18"/>
      <w:numFmt w:val="bullet"/>
      <w:lvlText w:val="-"/>
      <w:lvlJc w:val="left"/>
      <w:pPr>
        <w:ind w:left="420" w:hanging="360"/>
      </w:pPr>
      <w:rPr>
        <w:rFonts w:ascii="Arial" w:eastAsiaTheme="minorHAnsi" w:hAnsi="Arial" w:cs="Arial" w:hint="default"/>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12" w15:restartNumberingAfterBreak="0">
    <w:nsid w:val="57534DF2"/>
    <w:multiLevelType w:val="hybridMultilevel"/>
    <w:tmpl w:val="7904F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F50F59"/>
    <w:multiLevelType w:val="hybridMultilevel"/>
    <w:tmpl w:val="25DCE794"/>
    <w:lvl w:ilvl="0" w:tplc="9630373C">
      <w:start w:val="1"/>
      <w:numFmt w:val="decimal"/>
      <w:lvlText w:val="%1."/>
      <w:lvlJc w:val="left"/>
      <w:pPr>
        <w:ind w:left="360" w:hanging="360"/>
      </w:pPr>
      <w:rPr>
        <w:rFonts w:hint="default"/>
        <w:i w:val="0"/>
        <w:i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4" w15:restartNumberingAfterBreak="0">
    <w:nsid w:val="63B25E4B"/>
    <w:multiLevelType w:val="hybridMultilevel"/>
    <w:tmpl w:val="C0808846"/>
    <w:lvl w:ilvl="0" w:tplc="6EA077A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5" w15:restartNumberingAfterBreak="0">
    <w:nsid w:val="66E80FCB"/>
    <w:multiLevelType w:val="hybridMultilevel"/>
    <w:tmpl w:val="3BBAD21C"/>
    <w:lvl w:ilvl="0" w:tplc="10000017">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6" w15:restartNumberingAfterBreak="0">
    <w:nsid w:val="69A23F83"/>
    <w:multiLevelType w:val="hybridMultilevel"/>
    <w:tmpl w:val="42F4062E"/>
    <w:lvl w:ilvl="0" w:tplc="DB1AF79E">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45C33FA"/>
    <w:multiLevelType w:val="hybridMultilevel"/>
    <w:tmpl w:val="7C44A0EE"/>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734492B"/>
    <w:multiLevelType w:val="hybridMultilevel"/>
    <w:tmpl w:val="541AB9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C687760"/>
    <w:multiLevelType w:val="hybridMultilevel"/>
    <w:tmpl w:val="B3567AC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EC7615F"/>
    <w:multiLevelType w:val="hybridMultilevel"/>
    <w:tmpl w:val="A572833E"/>
    <w:lvl w:ilvl="0" w:tplc="7AA6C3B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70028725">
    <w:abstractNumId w:val="10"/>
  </w:num>
  <w:num w:numId="2" w16cid:durableId="1342467551">
    <w:abstractNumId w:val="18"/>
  </w:num>
  <w:num w:numId="3" w16cid:durableId="1569996155">
    <w:abstractNumId w:val="0"/>
  </w:num>
  <w:num w:numId="4" w16cid:durableId="122575881">
    <w:abstractNumId w:val="13"/>
  </w:num>
  <w:num w:numId="5" w16cid:durableId="1431466888">
    <w:abstractNumId w:val="12"/>
  </w:num>
  <w:num w:numId="6" w16cid:durableId="889607785">
    <w:abstractNumId w:val="21"/>
  </w:num>
  <w:num w:numId="7" w16cid:durableId="643394526">
    <w:abstractNumId w:val="16"/>
  </w:num>
  <w:num w:numId="8" w16cid:durableId="2081445056">
    <w:abstractNumId w:val="8"/>
  </w:num>
  <w:num w:numId="9" w16cid:durableId="1471744411">
    <w:abstractNumId w:val="7"/>
  </w:num>
  <w:num w:numId="10" w16cid:durableId="247539155">
    <w:abstractNumId w:val="17"/>
  </w:num>
  <w:num w:numId="11" w16cid:durableId="1061060235">
    <w:abstractNumId w:val="11"/>
  </w:num>
  <w:num w:numId="12" w16cid:durableId="2041467172">
    <w:abstractNumId w:val="5"/>
  </w:num>
  <w:num w:numId="13" w16cid:durableId="561140144">
    <w:abstractNumId w:val="1"/>
  </w:num>
  <w:num w:numId="14" w16cid:durableId="65541648">
    <w:abstractNumId w:val="4"/>
  </w:num>
  <w:num w:numId="15" w16cid:durableId="201137532">
    <w:abstractNumId w:val="15"/>
  </w:num>
  <w:num w:numId="16" w16cid:durableId="126750088">
    <w:abstractNumId w:val="9"/>
  </w:num>
  <w:num w:numId="17" w16cid:durableId="1466772511">
    <w:abstractNumId w:val="19"/>
  </w:num>
  <w:num w:numId="18" w16cid:durableId="1366716161">
    <w:abstractNumId w:val="3"/>
  </w:num>
  <w:num w:numId="19" w16cid:durableId="1099109097">
    <w:abstractNumId w:val="2"/>
  </w:num>
  <w:num w:numId="20" w16cid:durableId="1795907749">
    <w:abstractNumId w:val="20"/>
  </w:num>
  <w:num w:numId="21" w16cid:durableId="598374229">
    <w:abstractNumId w:val="14"/>
  </w:num>
  <w:num w:numId="22" w16cid:durableId="423066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wMjYwsDMxNzI0tDcyUdpeDU4uLM/DyQAsNaAI/3kg4sAAAA"/>
  </w:docVars>
  <w:rsids>
    <w:rsidRoot w:val="002E0DE9"/>
    <w:rsid w:val="00002A30"/>
    <w:rsid w:val="0000306A"/>
    <w:rsid w:val="00004F05"/>
    <w:rsid w:val="00005040"/>
    <w:rsid w:val="00011877"/>
    <w:rsid w:val="000122C1"/>
    <w:rsid w:val="00021250"/>
    <w:rsid w:val="0002508B"/>
    <w:rsid w:val="00025B72"/>
    <w:rsid w:val="00026EB1"/>
    <w:rsid w:val="00027A58"/>
    <w:rsid w:val="00030D28"/>
    <w:rsid w:val="0004174A"/>
    <w:rsid w:val="00043B77"/>
    <w:rsid w:val="000444B5"/>
    <w:rsid w:val="00051C31"/>
    <w:rsid w:val="0005509C"/>
    <w:rsid w:val="00055B63"/>
    <w:rsid w:val="00056ADD"/>
    <w:rsid w:val="00057E08"/>
    <w:rsid w:val="000606E4"/>
    <w:rsid w:val="00060859"/>
    <w:rsid w:val="0006283F"/>
    <w:rsid w:val="00063C40"/>
    <w:rsid w:val="00063FDC"/>
    <w:rsid w:val="00064457"/>
    <w:rsid w:val="000661B2"/>
    <w:rsid w:val="00071A1F"/>
    <w:rsid w:val="00080858"/>
    <w:rsid w:val="00081FE5"/>
    <w:rsid w:val="00090732"/>
    <w:rsid w:val="000923F5"/>
    <w:rsid w:val="00095BCA"/>
    <w:rsid w:val="000968BF"/>
    <w:rsid w:val="000A0337"/>
    <w:rsid w:val="000A3B72"/>
    <w:rsid w:val="000A49E7"/>
    <w:rsid w:val="000A54EB"/>
    <w:rsid w:val="000B054F"/>
    <w:rsid w:val="000B5EB1"/>
    <w:rsid w:val="000C094B"/>
    <w:rsid w:val="000C2F55"/>
    <w:rsid w:val="000C5E21"/>
    <w:rsid w:val="000C7AF8"/>
    <w:rsid w:val="000D2140"/>
    <w:rsid w:val="000D4903"/>
    <w:rsid w:val="000E25DA"/>
    <w:rsid w:val="000E78E1"/>
    <w:rsid w:val="000E7997"/>
    <w:rsid w:val="000E7DBD"/>
    <w:rsid w:val="000F0961"/>
    <w:rsid w:val="000F195B"/>
    <w:rsid w:val="000F4C62"/>
    <w:rsid w:val="00101C82"/>
    <w:rsid w:val="00103ADF"/>
    <w:rsid w:val="0010407E"/>
    <w:rsid w:val="00104F2E"/>
    <w:rsid w:val="00106EAF"/>
    <w:rsid w:val="00107BBD"/>
    <w:rsid w:val="001104FB"/>
    <w:rsid w:val="00110819"/>
    <w:rsid w:val="00110E4E"/>
    <w:rsid w:val="00114F12"/>
    <w:rsid w:val="001275A3"/>
    <w:rsid w:val="001305B9"/>
    <w:rsid w:val="00133226"/>
    <w:rsid w:val="00134F0F"/>
    <w:rsid w:val="001410CA"/>
    <w:rsid w:val="00141692"/>
    <w:rsid w:val="00143E2B"/>
    <w:rsid w:val="00144D13"/>
    <w:rsid w:val="00144E6F"/>
    <w:rsid w:val="0014566A"/>
    <w:rsid w:val="00145866"/>
    <w:rsid w:val="0015120C"/>
    <w:rsid w:val="00152579"/>
    <w:rsid w:val="00153056"/>
    <w:rsid w:val="00155413"/>
    <w:rsid w:val="00155998"/>
    <w:rsid w:val="00156D61"/>
    <w:rsid w:val="00160BB9"/>
    <w:rsid w:val="00165CEE"/>
    <w:rsid w:val="00167FB3"/>
    <w:rsid w:val="00172F0B"/>
    <w:rsid w:val="00175B8B"/>
    <w:rsid w:val="001777FF"/>
    <w:rsid w:val="0018327E"/>
    <w:rsid w:val="00183882"/>
    <w:rsid w:val="00186FA9"/>
    <w:rsid w:val="0018728A"/>
    <w:rsid w:val="001876C5"/>
    <w:rsid w:val="00192405"/>
    <w:rsid w:val="001936DB"/>
    <w:rsid w:val="001945DF"/>
    <w:rsid w:val="001A37CC"/>
    <w:rsid w:val="001A5002"/>
    <w:rsid w:val="001A7E0A"/>
    <w:rsid w:val="001B046F"/>
    <w:rsid w:val="001C0E85"/>
    <w:rsid w:val="001C3287"/>
    <w:rsid w:val="001C4D44"/>
    <w:rsid w:val="001D33B0"/>
    <w:rsid w:val="001D418B"/>
    <w:rsid w:val="001E3C11"/>
    <w:rsid w:val="001E6C22"/>
    <w:rsid w:val="001E76EF"/>
    <w:rsid w:val="001E77CC"/>
    <w:rsid w:val="001E7FAF"/>
    <w:rsid w:val="001F33B1"/>
    <w:rsid w:val="001F41E3"/>
    <w:rsid w:val="001F61D8"/>
    <w:rsid w:val="00200402"/>
    <w:rsid w:val="00211474"/>
    <w:rsid w:val="00211703"/>
    <w:rsid w:val="00211C96"/>
    <w:rsid w:val="00215F4F"/>
    <w:rsid w:val="00223E60"/>
    <w:rsid w:val="00224BF7"/>
    <w:rsid w:val="0023012A"/>
    <w:rsid w:val="002328D9"/>
    <w:rsid w:val="00237B9C"/>
    <w:rsid w:val="002413F4"/>
    <w:rsid w:val="00242BD3"/>
    <w:rsid w:val="00247058"/>
    <w:rsid w:val="002506B0"/>
    <w:rsid w:val="00253CD9"/>
    <w:rsid w:val="00254BAB"/>
    <w:rsid w:val="00254BCE"/>
    <w:rsid w:val="00257934"/>
    <w:rsid w:val="002632A0"/>
    <w:rsid w:val="002676E0"/>
    <w:rsid w:val="00270602"/>
    <w:rsid w:val="00274532"/>
    <w:rsid w:val="00274DA3"/>
    <w:rsid w:val="002756C2"/>
    <w:rsid w:val="00290C91"/>
    <w:rsid w:val="00291D97"/>
    <w:rsid w:val="00292D4A"/>
    <w:rsid w:val="00295A5D"/>
    <w:rsid w:val="00296F14"/>
    <w:rsid w:val="002A12E8"/>
    <w:rsid w:val="002A739F"/>
    <w:rsid w:val="002B2806"/>
    <w:rsid w:val="002B30ED"/>
    <w:rsid w:val="002B5E89"/>
    <w:rsid w:val="002B68DC"/>
    <w:rsid w:val="002B7A27"/>
    <w:rsid w:val="002C36E7"/>
    <w:rsid w:val="002C65C2"/>
    <w:rsid w:val="002D04AB"/>
    <w:rsid w:val="002D5395"/>
    <w:rsid w:val="002E0DE9"/>
    <w:rsid w:val="002E25E9"/>
    <w:rsid w:val="002E3A1E"/>
    <w:rsid w:val="002E5648"/>
    <w:rsid w:val="002E6033"/>
    <w:rsid w:val="002E60CB"/>
    <w:rsid w:val="002F1198"/>
    <w:rsid w:val="002F2EDA"/>
    <w:rsid w:val="002F2EF0"/>
    <w:rsid w:val="002F42FA"/>
    <w:rsid w:val="00301FD0"/>
    <w:rsid w:val="003129A7"/>
    <w:rsid w:val="003137DD"/>
    <w:rsid w:val="00315294"/>
    <w:rsid w:val="003168C2"/>
    <w:rsid w:val="00317299"/>
    <w:rsid w:val="00321732"/>
    <w:rsid w:val="00331630"/>
    <w:rsid w:val="003318B8"/>
    <w:rsid w:val="00331D38"/>
    <w:rsid w:val="00333326"/>
    <w:rsid w:val="0033391B"/>
    <w:rsid w:val="00340B84"/>
    <w:rsid w:val="00342754"/>
    <w:rsid w:val="0034542E"/>
    <w:rsid w:val="00346AFE"/>
    <w:rsid w:val="0035024E"/>
    <w:rsid w:val="003513C6"/>
    <w:rsid w:val="00354D8D"/>
    <w:rsid w:val="0036072E"/>
    <w:rsid w:val="00365DAD"/>
    <w:rsid w:val="00366067"/>
    <w:rsid w:val="00370043"/>
    <w:rsid w:val="00383490"/>
    <w:rsid w:val="0038634E"/>
    <w:rsid w:val="00386C3C"/>
    <w:rsid w:val="00391980"/>
    <w:rsid w:val="00392590"/>
    <w:rsid w:val="00393515"/>
    <w:rsid w:val="0039635E"/>
    <w:rsid w:val="003A0085"/>
    <w:rsid w:val="003A0D83"/>
    <w:rsid w:val="003A3515"/>
    <w:rsid w:val="003A41EB"/>
    <w:rsid w:val="003A502A"/>
    <w:rsid w:val="003A7879"/>
    <w:rsid w:val="003B0F40"/>
    <w:rsid w:val="003B10CC"/>
    <w:rsid w:val="003B2F91"/>
    <w:rsid w:val="003B462E"/>
    <w:rsid w:val="003B4644"/>
    <w:rsid w:val="003B6F43"/>
    <w:rsid w:val="003C0525"/>
    <w:rsid w:val="003C22B6"/>
    <w:rsid w:val="003C569E"/>
    <w:rsid w:val="003C7DAD"/>
    <w:rsid w:val="003D3347"/>
    <w:rsid w:val="003D497C"/>
    <w:rsid w:val="003E08E9"/>
    <w:rsid w:val="003E4866"/>
    <w:rsid w:val="003E4F65"/>
    <w:rsid w:val="003F0DAE"/>
    <w:rsid w:val="003F6CF5"/>
    <w:rsid w:val="00401B8E"/>
    <w:rsid w:val="00401F26"/>
    <w:rsid w:val="004026C6"/>
    <w:rsid w:val="00405CF1"/>
    <w:rsid w:val="00406EA1"/>
    <w:rsid w:val="00414FCC"/>
    <w:rsid w:val="00415A3C"/>
    <w:rsid w:val="0041601A"/>
    <w:rsid w:val="004174DB"/>
    <w:rsid w:val="004176DD"/>
    <w:rsid w:val="00420087"/>
    <w:rsid w:val="00421641"/>
    <w:rsid w:val="004224F3"/>
    <w:rsid w:val="00436521"/>
    <w:rsid w:val="0043713B"/>
    <w:rsid w:val="004376E7"/>
    <w:rsid w:val="00446170"/>
    <w:rsid w:val="00446B7A"/>
    <w:rsid w:val="00447737"/>
    <w:rsid w:val="00452BAA"/>
    <w:rsid w:val="004606EC"/>
    <w:rsid w:val="004714F5"/>
    <w:rsid w:val="00474C45"/>
    <w:rsid w:val="00476A28"/>
    <w:rsid w:val="004818A4"/>
    <w:rsid w:val="00483B88"/>
    <w:rsid w:val="004846CF"/>
    <w:rsid w:val="00491AC7"/>
    <w:rsid w:val="0049364F"/>
    <w:rsid w:val="00496ADD"/>
    <w:rsid w:val="004A7B90"/>
    <w:rsid w:val="004B3881"/>
    <w:rsid w:val="004B603B"/>
    <w:rsid w:val="004B662F"/>
    <w:rsid w:val="004C3FF1"/>
    <w:rsid w:val="004C5F8F"/>
    <w:rsid w:val="004D3242"/>
    <w:rsid w:val="004D551F"/>
    <w:rsid w:val="004D633E"/>
    <w:rsid w:val="004D6812"/>
    <w:rsid w:val="004E0FC6"/>
    <w:rsid w:val="004E2159"/>
    <w:rsid w:val="004E2F2C"/>
    <w:rsid w:val="004E3E71"/>
    <w:rsid w:val="004E54E6"/>
    <w:rsid w:val="004E60E9"/>
    <w:rsid w:val="004F0F37"/>
    <w:rsid w:val="004F1EB8"/>
    <w:rsid w:val="004F5306"/>
    <w:rsid w:val="004F5674"/>
    <w:rsid w:val="00502B15"/>
    <w:rsid w:val="00503DBE"/>
    <w:rsid w:val="005046F2"/>
    <w:rsid w:val="00505EBC"/>
    <w:rsid w:val="00506E0E"/>
    <w:rsid w:val="00510E12"/>
    <w:rsid w:val="00515F1D"/>
    <w:rsid w:val="0051763E"/>
    <w:rsid w:val="005228F4"/>
    <w:rsid w:val="00524791"/>
    <w:rsid w:val="0052708B"/>
    <w:rsid w:val="0053101A"/>
    <w:rsid w:val="005311E8"/>
    <w:rsid w:val="005330F7"/>
    <w:rsid w:val="0053381C"/>
    <w:rsid w:val="005411DC"/>
    <w:rsid w:val="00541D14"/>
    <w:rsid w:val="00544F65"/>
    <w:rsid w:val="0054518B"/>
    <w:rsid w:val="00551D9B"/>
    <w:rsid w:val="00552F0D"/>
    <w:rsid w:val="0055426F"/>
    <w:rsid w:val="005617A9"/>
    <w:rsid w:val="0056247D"/>
    <w:rsid w:val="00563598"/>
    <w:rsid w:val="0056386E"/>
    <w:rsid w:val="00570ADB"/>
    <w:rsid w:val="00573650"/>
    <w:rsid w:val="005775F2"/>
    <w:rsid w:val="005776A3"/>
    <w:rsid w:val="00580263"/>
    <w:rsid w:val="00587419"/>
    <w:rsid w:val="00597BA6"/>
    <w:rsid w:val="005A21C7"/>
    <w:rsid w:val="005A29EA"/>
    <w:rsid w:val="005A37B3"/>
    <w:rsid w:val="005A4F7F"/>
    <w:rsid w:val="005A7851"/>
    <w:rsid w:val="005B0E02"/>
    <w:rsid w:val="005B1A47"/>
    <w:rsid w:val="005B215E"/>
    <w:rsid w:val="005C005A"/>
    <w:rsid w:val="005C19BE"/>
    <w:rsid w:val="005C28E8"/>
    <w:rsid w:val="005C673F"/>
    <w:rsid w:val="005C7A57"/>
    <w:rsid w:val="005D338B"/>
    <w:rsid w:val="005D56B5"/>
    <w:rsid w:val="005E19A8"/>
    <w:rsid w:val="005E1FBA"/>
    <w:rsid w:val="005E239D"/>
    <w:rsid w:val="005E6D3C"/>
    <w:rsid w:val="005F0191"/>
    <w:rsid w:val="005F37D0"/>
    <w:rsid w:val="005F43D0"/>
    <w:rsid w:val="005F738C"/>
    <w:rsid w:val="005F7D0B"/>
    <w:rsid w:val="00606BCB"/>
    <w:rsid w:val="006106C3"/>
    <w:rsid w:val="00611727"/>
    <w:rsid w:val="00614968"/>
    <w:rsid w:val="00616D4B"/>
    <w:rsid w:val="00634EE0"/>
    <w:rsid w:val="0063604E"/>
    <w:rsid w:val="00636165"/>
    <w:rsid w:val="006378E5"/>
    <w:rsid w:val="006403CA"/>
    <w:rsid w:val="006414E0"/>
    <w:rsid w:val="0064400E"/>
    <w:rsid w:val="00645B09"/>
    <w:rsid w:val="006574E9"/>
    <w:rsid w:val="00657644"/>
    <w:rsid w:val="006576F5"/>
    <w:rsid w:val="006636FE"/>
    <w:rsid w:val="00664698"/>
    <w:rsid w:val="00666550"/>
    <w:rsid w:val="00672039"/>
    <w:rsid w:val="00673538"/>
    <w:rsid w:val="00673C64"/>
    <w:rsid w:val="00681AF2"/>
    <w:rsid w:val="00682FB4"/>
    <w:rsid w:val="00683F75"/>
    <w:rsid w:val="006933BD"/>
    <w:rsid w:val="00693762"/>
    <w:rsid w:val="00693A5E"/>
    <w:rsid w:val="00695258"/>
    <w:rsid w:val="00697AFA"/>
    <w:rsid w:val="006A2272"/>
    <w:rsid w:val="006A2B0C"/>
    <w:rsid w:val="006A51F4"/>
    <w:rsid w:val="006A7DC4"/>
    <w:rsid w:val="006B001E"/>
    <w:rsid w:val="006B17CB"/>
    <w:rsid w:val="006B3D96"/>
    <w:rsid w:val="006B5591"/>
    <w:rsid w:val="006C12C1"/>
    <w:rsid w:val="006C2399"/>
    <w:rsid w:val="006C5505"/>
    <w:rsid w:val="006C5D86"/>
    <w:rsid w:val="006D69BE"/>
    <w:rsid w:val="006D709A"/>
    <w:rsid w:val="006D7B67"/>
    <w:rsid w:val="006E0C8A"/>
    <w:rsid w:val="006E365E"/>
    <w:rsid w:val="006F0DDD"/>
    <w:rsid w:val="006F0E10"/>
    <w:rsid w:val="006F0E85"/>
    <w:rsid w:val="006F11B6"/>
    <w:rsid w:val="006F3664"/>
    <w:rsid w:val="006F49E7"/>
    <w:rsid w:val="006F4C3B"/>
    <w:rsid w:val="006F7DF6"/>
    <w:rsid w:val="00712930"/>
    <w:rsid w:val="00713C2C"/>
    <w:rsid w:val="0071688A"/>
    <w:rsid w:val="00717733"/>
    <w:rsid w:val="007178AA"/>
    <w:rsid w:val="007210F9"/>
    <w:rsid w:val="0072332C"/>
    <w:rsid w:val="00726DAC"/>
    <w:rsid w:val="007314C9"/>
    <w:rsid w:val="0073150F"/>
    <w:rsid w:val="007326AE"/>
    <w:rsid w:val="00737C51"/>
    <w:rsid w:val="00743FF0"/>
    <w:rsid w:val="00747F43"/>
    <w:rsid w:val="00751385"/>
    <w:rsid w:val="00751A2A"/>
    <w:rsid w:val="00752702"/>
    <w:rsid w:val="00754A0B"/>
    <w:rsid w:val="00760D98"/>
    <w:rsid w:val="00763455"/>
    <w:rsid w:val="00765279"/>
    <w:rsid w:val="00765C02"/>
    <w:rsid w:val="00765EE6"/>
    <w:rsid w:val="00766C58"/>
    <w:rsid w:val="00780236"/>
    <w:rsid w:val="007803CD"/>
    <w:rsid w:val="00784A1E"/>
    <w:rsid w:val="007856F9"/>
    <w:rsid w:val="00787D45"/>
    <w:rsid w:val="00790984"/>
    <w:rsid w:val="00791647"/>
    <w:rsid w:val="00792E4D"/>
    <w:rsid w:val="00794E8B"/>
    <w:rsid w:val="007954A3"/>
    <w:rsid w:val="00796F19"/>
    <w:rsid w:val="007A3696"/>
    <w:rsid w:val="007A37E0"/>
    <w:rsid w:val="007B1290"/>
    <w:rsid w:val="007B55DD"/>
    <w:rsid w:val="007B5F97"/>
    <w:rsid w:val="007C08C9"/>
    <w:rsid w:val="007C17A8"/>
    <w:rsid w:val="007C21F3"/>
    <w:rsid w:val="007C3A33"/>
    <w:rsid w:val="007C3DE5"/>
    <w:rsid w:val="007D1812"/>
    <w:rsid w:val="007F60E9"/>
    <w:rsid w:val="008019B2"/>
    <w:rsid w:val="008040FB"/>
    <w:rsid w:val="00811298"/>
    <w:rsid w:val="008128B1"/>
    <w:rsid w:val="008159C2"/>
    <w:rsid w:val="00820572"/>
    <w:rsid w:val="00821997"/>
    <w:rsid w:val="00825E50"/>
    <w:rsid w:val="00826399"/>
    <w:rsid w:val="00837295"/>
    <w:rsid w:val="00841DD9"/>
    <w:rsid w:val="00842B75"/>
    <w:rsid w:val="00844B44"/>
    <w:rsid w:val="008576FB"/>
    <w:rsid w:val="0087116E"/>
    <w:rsid w:val="00872FF8"/>
    <w:rsid w:val="008878BD"/>
    <w:rsid w:val="00887906"/>
    <w:rsid w:val="0089135D"/>
    <w:rsid w:val="00893AE9"/>
    <w:rsid w:val="0089574A"/>
    <w:rsid w:val="008A16A8"/>
    <w:rsid w:val="008A36B6"/>
    <w:rsid w:val="008B0AC3"/>
    <w:rsid w:val="008B1A2B"/>
    <w:rsid w:val="008B281F"/>
    <w:rsid w:val="008B3015"/>
    <w:rsid w:val="008B384E"/>
    <w:rsid w:val="008B4C74"/>
    <w:rsid w:val="008D1B31"/>
    <w:rsid w:val="008D2D58"/>
    <w:rsid w:val="008D3A1E"/>
    <w:rsid w:val="008E06FF"/>
    <w:rsid w:val="008E4EF5"/>
    <w:rsid w:val="008E7B7B"/>
    <w:rsid w:val="008F2994"/>
    <w:rsid w:val="008F43B0"/>
    <w:rsid w:val="008F4A98"/>
    <w:rsid w:val="008F7DE2"/>
    <w:rsid w:val="00905616"/>
    <w:rsid w:val="009059B1"/>
    <w:rsid w:val="00907ED1"/>
    <w:rsid w:val="0091797A"/>
    <w:rsid w:val="00921012"/>
    <w:rsid w:val="0092206F"/>
    <w:rsid w:val="00922D03"/>
    <w:rsid w:val="00922E28"/>
    <w:rsid w:val="00925675"/>
    <w:rsid w:val="0093006A"/>
    <w:rsid w:val="009315FC"/>
    <w:rsid w:val="00931B28"/>
    <w:rsid w:val="00933B55"/>
    <w:rsid w:val="00933B90"/>
    <w:rsid w:val="009416F6"/>
    <w:rsid w:val="0094599A"/>
    <w:rsid w:val="00955822"/>
    <w:rsid w:val="00955FD3"/>
    <w:rsid w:val="009601A8"/>
    <w:rsid w:val="00967B47"/>
    <w:rsid w:val="00967EDE"/>
    <w:rsid w:val="00973339"/>
    <w:rsid w:val="00975519"/>
    <w:rsid w:val="00980620"/>
    <w:rsid w:val="00984668"/>
    <w:rsid w:val="00984A9B"/>
    <w:rsid w:val="0099049D"/>
    <w:rsid w:val="00990E1E"/>
    <w:rsid w:val="00991973"/>
    <w:rsid w:val="00992A74"/>
    <w:rsid w:val="0099402D"/>
    <w:rsid w:val="009A12FF"/>
    <w:rsid w:val="009B3555"/>
    <w:rsid w:val="009B3D77"/>
    <w:rsid w:val="009B58B3"/>
    <w:rsid w:val="009C1080"/>
    <w:rsid w:val="009D226D"/>
    <w:rsid w:val="009D5883"/>
    <w:rsid w:val="009D773D"/>
    <w:rsid w:val="009E4190"/>
    <w:rsid w:val="009E4E96"/>
    <w:rsid w:val="009E5170"/>
    <w:rsid w:val="009E5212"/>
    <w:rsid w:val="009F14C6"/>
    <w:rsid w:val="009F27C5"/>
    <w:rsid w:val="009F3397"/>
    <w:rsid w:val="009F37D2"/>
    <w:rsid w:val="009F6C60"/>
    <w:rsid w:val="009F6F08"/>
    <w:rsid w:val="009F762E"/>
    <w:rsid w:val="00A0247B"/>
    <w:rsid w:val="00A15B5D"/>
    <w:rsid w:val="00A17AE0"/>
    <w:rsid w:val="00A21B96"/>
    <w:rsid w:val="00A21D1A"/>
    <w:rsid w:val="00A26D97"/>
    <w:rsid w:val="00A339EE"/>
    <w:rsid w:val="00A3553D"/>
    <w:rsid w:val="00A3779A"/>
    <w:rsid w:val="00A412D6"/>
    <w:rsid w:val="00A416F7"/>
    <w:rsid w:val="00A41A95"/>
    <w:rsid w:val="00A44ED2"/>
    <w:rsid w:val="00A46D83"/>
    <w:rsid w:val="00A518DE"/>
    <w:rsid w:val="00A51988"/>
    <w:rsid w:val="00A52698"/>
    <w:rsid w:val="00A52D48"/>
    <w:rsid w:val="00A5322C"/>
    <w:rsid w:val="00A55ABF"/>
    <w:rsid w:val="00A561F3"/>
    <w:rsid w:val="00A613AA"/>
    <w:rsid w:val="00A62699"/>
    <w:rsid w:val="00A626EB"/>
    <w:rsid w:val="00A65513"/>
    <w:rsid w:val="00A669EE"/>
    <w:rsid w:val="00A70261"/>
    <w:rsid w:val="00A71797"/>
    <w:rsid w:val="00A73152"/>
    <w:rsid w:val="00A73A2D"/>
    <w:rsid w:val="00A7635B"/>
    <w:rsid w:val="00A766E6"/>
    <w:rsid w:val="00A803C2"/>
    <w:rsid w:val="00A814DD"/>
    <w:rsid w:val="00A8302E"/>
    <w:rsid w:val="00A8656E"/>
    <w:rsid w:val="00A92258"/>
    <w:rsid w:val="00A9322D"/>
    <w:rsid w:val="00A94067"/>
    <w:rsid w:val="00A942F8"/>
    <w:rsid w:val="00A96735"/>
    <w:rsid w:val="00AA0DEA"/>
    <w:rsid w:val="00AA119D"/>
    <w:rsid w:val="00AA2321"/>
    <w:rsid w:val="00AA2FA5"/>
    <w:rsid w:val="00AA4DD5"/>
    <w:rsid w:val="00AA569D"/>
    <w:rsid w:val="00AB1CFD"/>
    <w:rsid w:val="00AB3C8C"/>
    <w:rsid w:val="00AB45A5"/>
    <w:rsid w:val="00AB4D45"/>
    <w:rsid w:val="00AB66CE"/>
    <w:rsid w:val="00AB76D6"/>
    <w:rsid w:val="00AC19F0"/>
    <w:rsid w:val="00AD29D1"/>
    <w:rsid w:val="00AD349F"/>
    <w:rsid w:val="00AD5C50"/>
    <w:rsid w:val="00AD7AD6"/>
    <w:rsid w:val="00AD7FCF"/>
    <w:rsid w:val="00AE20CE"/>
    <w:rsid w:val="00AE36A3"/>
    <w:rsid w:val="00AF0A2F"/>
    <w:rsid w:val="00AF598D"/>
    <w:rsid w:val="00AF6420"/>
    <w:rsid w:val="00AF7933"/>
    <w:rsid w:val="00B01397"/>
    <w:rsid w:val="00B05851"/>
    <w:rsid w:val="00B064D1"/>
    <w:rsid w:val="00B064E4"/>
    <w:rsid w:val="00B07ABF"/>
    <w:rsid w:val="00B117ED"/>
    <w:rsid w:val="00B11FF1"/>
    <w:rsid w:val="00B12CDB"/>
    <w:rsid w:val="00B16C73"/>
    <w:rsid w:val="00B2087F"/>
    <w:rsid w:val="00B25E84"/>
    <w:rsid w:val="00B31BEB"/>
    <w:rsid w:val="00B32A3E"/>
    <w:rsid w:val="00B338F0"/>
    <w:rsid w:val="00B3501E"/>
    <w:rsid w:val="00B40EA3"/>
    <w:rsid w:val="00B42D40"/>
    <w:rsid w:val="00B431D5"/>
    <w:rsid w:val="00B45175"/>
    <w:rsid w:val="00B51A11"/>
    <w:rsid w:val="00B525AA"/>
    <w:rsid w:val="00B55282"/>
    <w:rsid w:val="00B5732B"/>
    <w:rsid w:val="00B600DB"/>
    <w:rsid w:val="00B66F13"/>
    <w:rsid w:val="00B70DEE"/>
    <w:rsid w:val="00B71523"/>
    <w:rsid w:val="00B71D5C"/>
    <w:rsid w:val="00B72B86"/>
    <w:rsid w:val="00B72E00"/>
    <w:rsid w:val="00B82381"/>
    <w:rsid w:val="00B93542"/>
    <w:rsid w:val="00B947D2"/>
    <w:rsid w:val="00BA117D"/>
    <w:rsid w:val="00BA4526"/>
    <w:rsid w:val="00BA6B4A"/>
    <w:rsid w:val="00BB0AC2"/>
    <w:rsid w:val="00BB7FAE"/>
    <w:rsid w:val="00BC1163"/>
    <w:rsid w:val="00BC4839"/>
    <w:rsid w:val="00BC6E2B"/>
    <w:rsid w:val="00BC78C3"/>
    <w:rsid w:val="00BD5C86"/>
    <w:rsid w:val="00BE0907"/>
    <w:rsid w:val="00BE2B05"/>
    <w:rsid w:val="00BE7548"/>
    <w:rsid w:val="00BF4D93"/>
    <w:rsid w:val="00BF5F19"/>
    <w:rsid w:val="00C06E22"/>
    <w:rsid w:val="00C07F4A"/>
    <w:rsid w:val="00C11566"/>
    <w:rsid w:val="00C16559"/>
    <w:rsid w:val="00C175DE"/>
    <w:rsid w:val="00C205E1"/>
    <w:rsid w:val="00C2651F"/>
    <w:rsid w:val="00C31335"/>
    <w:rsid w:val="00C32D80"/>
    <w:rsid w:val="00C337CF"/>
    <w:rsid w:val="00C37783"/>
    <w:rsid w:val="00C4003B"/>
    <w:rsid w:val="00C401D6"/>
    <w:rsid w:val="00C412C4"/>
    <w:rsid w:val="00C45DCE"/>
    <w:rsid w:val="00C53915"/>
    <w:rsid w:val="00C547FE"/>
    <w:rsid w:val="00C55F29"/>
    <w:rsid w:val="00C56446"/>
    <w:rsid w:val="00C71765"/>
    <w:rsid w:val="00C7409D"/>
    <w:rsid w:val="00C760E0"/>
    <w:rsid w:val="00C77B1C"/>
    <w:rsid w:val="00C85A3F"/>
    <w:rsid w:val="00C94D6F"/>
    <w:rsid w:val="00C96EA0"/>
    <w:rsid w:val="00C97774"/>
    <w:rsid w:val="00C97CD2"/>
    <w:rsid w:val="00CA2595"/>
    <w:rsid w:val="00CA33BE"/>
    <w:rsid w:val="00CA410B"/>
    <w:rsid w:val="00CB07B6"/>
    <w:rsid w:val="00CB2986"/>
    <w:rsid w:val="00CB429F"/>
    <w:rsid w:val="00CB61CB"/>
    <w:rsid w:val="00CB6E5C"/>
    <w:rsid w:val="00CC0B81"/>
    <w:rsid w:val="00CC0CB0"/>
    <w:rsid w:val="00CC3487"/>
    <w:rsid w:val="00CC5145"/>
    <w:rsid w:val="00CC7B5D"/>
    <w:rsid w:val="00CD151E"/>
    <w:rsid w:val="00CD22EC"/>
    <w:rsid w:val="00CD6C20"/>
    <w:rsid w:val="00CD79D3"/>
    <w:rsid w:val="00CE30D6"/>
    <w:rsid w:val="00CE37B9"/>
    <w:rsid w:val="00CE5119"/>
    <w:rsid w:val="00CE5897"/>
    <w:rsid w:val="00CE5ACA"/>
    <w:rsid w:val="00CE64C0"/>
    <w:rsid w:val="00CE6D1F"/>
    <w:rsid w:val="00CE742A"/>
    <w:rsid w:val="00CF5D3B"/>
    <w:rsid w:val="00D079B4"/>
    <w:rsid w:val="00D10FC7"/>
    <w:rsid w:val="00D11113"/>
    <w:rsid w:val="00D15C45"/>
    <w:rsid w:val="00D32622"/>
    <w:rsid w:val="00D3486F"/>
    <w:rsid w:val="00D418E6"/>
    <w:rsid w:val="00D426D6"/>
    <w:rsid w:val="00D468DA"/>
    <w:rsid w:val="00D53089"/>
    <w:rsid w:val="00D564D1"/>
    <w:rsid w:val="00D5660E"/>
    <w:rsid w:val="00D60598"/>
    <w:rsid w:val="00D623F3"/>
    <w:rsid w:val="00D63181"/>
    <w:rsid w:val="00D645B0"/>
    <w:rsid w:val="00D64935"/>
    <w:rsid w:val="00D67164"/>
    <w:rsid w:val="00D72968"/>
    <w:rsid w:val="00D8000E"/>
    <w:rsid w:val="00D821A9"/>
    <w:rsid w:val="00D832B9"/>
    <w:rsid w:val="00D840EB"/>
    <w:rsid w:val="00D84AAB"/>
    <w:rsid w:val="00D86CAD"/>
    <w:rsid w:val="00D91BBE"/>
    <w:rsid w:val="00D93628"/>
    <w:rsid w:val="00DA3B29"/>
    <w:rsid w:val="00DA6C80"/>
    <w:rsid w:val="00DA7F81"/>
    <w:rsid w:val="00DB056F"/>
    <w:rsid w:val="00DB1189"/>
    <w:rsid w:val="00DB6FDD"/>
    <w:rsid w:val="00DC125B"/>
    <w:rsid w:val="00DD48D0"/>
    <w:rsid w:val="00DE3FC7"/>
    <w:rsid w:val="00DE601E"/>
    <w:rsid w:val="00DE67D6"/>
    <w:rsid w:val="00DF1A4C"/>
    <w:rsid w:val="00DF3CAE"/>
    <w:rsid w:val="00E01068"/>
    <w:rsid w:val="00E02709"/>
    <w:rsid w:val="00E03105"/>
    <w:rsid w:val="00E05A57"/>
    <w:rsid w:val="00E15174"/>
    <w:rsid w:val="00E17DA0"/>
    <w:rsid w:val="00E214B2"/>
    <w:rsid w:val="00E261E9"/>
    <w:rsid w:val="00E27D7A"/>
    <w:rsid w:val="00E340BF"/>
    <w:rsid w:val="00E34DD3"/>
    <w:rsid w:val="00E37007"/>
    <w:rsid w:val="00E37B5F"/>
    <w:rsid w:val="00E451E8"/>
    <w:rsid w:val="00E46A8F"/>
    <w:rsid w:val="00E5665B"/>
    <w:rsid w:val="00E56819"/>
    <w:rsid w:val="00E600DE"/>
    <w:rsid w:val="00E632F7"/>
    <w:rsid w:val="00E7351E"/>
    <w:rsid w:val="00E74DE7"/>
    <w:rsid w:val="00E77FB7"/>
    <w:rsid w:val="00E848C9"/>
    <w:rsid w:val="00E85D1F"/>
    <w:rsid w:val="00E8766C"/>
    <w:rsid w:val="00E908DD"/>
    <w:rsid w:val="00E9391C"/>
    <w:rsid w:val="00EA2D7B"/>
    <w:rsid w:val="00EB192B"/>
    <w:rsid w:val="00EB5E56"/>
    <w:rsid w:val="00EB72F5"/>
    <w:rsid w:val="00EB799C"/>
    <w:rsid w:val="00EC24D2"/>
    <w:rsid w:val="00EC48BA"/>
    <w:rsid w:val="00ED0F8E"/>
    <w:rsid w:val="00ED20D7"/>
    <w:rsid w:val="00ED2818"/>
    <w:rsid w:val="00EE4F09"/>
    <w:rsid w:val="00EE4FF5"/>
    <w:rsid w:val="00EF5810"/>
    <w:rsid w:val="00F022FA"/>
    <w:rsid w:val="00F03A92"/>
    <w:rsid w:val="00F0485B"/>
    <w:rsid w:val="00F05CCB"/>
    <w:rsid w:val="00F166F4"/>
    <w:rsid w:val="00F22C96"/>
    <w:rsid w:val="00F239BE"/>
    <w:rsid w:val="00F25298"/>
    <w:rsid w:val="00F309A1"/>
    <w:rsid w:val="00F32400"/>
    <w:rsid w:val="00F3348D"/>
    <w:rsid w:val="00F37844"/>
    <w:rsid w:val="00F40B1C"/>
    <w:rsid w:val="00F413FA"/>
    <w:rsid w:val="00F43446"/>
    <w:rsid w:val="00F47E77"/>
    <w:rsid w:val="00F53636"/>
    <w:rsid w:val="00F620E9"/>
    <w:rsid w:val="00F62399"/>
    <w:rsid w:val="00F66151"/>
    <w:rsid w:val="00F676AC"/>
    <w:rsid w:val="00F714DE"/>
    <w:rsid w:val="00F76EFC"/>
    <w:rsid w:val="00F81240"/>
    <w:rsid w:val="00F81556"/>
    <w:rsid w:val="00F95417"/>
    <w:rsid w:val="00FA4177"/>
    <w:rsid w:val="00FA4EA3"/>
    <w:rsid w:val="00FA5282"/>
    <w:rsid w:val="00FA766E"/>
    <w:rsid w:val="00FA77AB"/>
    <w:rsid w:val="00FA7B79"/>
    <w:rsid w:val="00FB5C4A"/>
    <w:rsid w:val="00FB7D88"/>
    <w:rsid w:val="00FC4E75"/>
    <w:rsid w:val="00FD03B6"/>
    <w:rsid w:val="00FD16E5"/>
    <w:rsid w:val="00FD1CDC"/>
    <w:rsid w:val="00FD6430"/>
    <w:rsid w:val="00FE18C0"/>
    <w:rsid w:val="00FF170F"/>
    <w:rsid w:val="00FF44F6"/>
    <w:rsid w:val="00FF4B51"/>
    <w:rsid w:val="00FF4EAE"/>
    <w:rsid w:val="00FF6D42"/>
    <w:rsid w:val="01151DBD"/>
    <w:rsid w:val="09D9D053"/>
    <w:rsid w:val="0EA4476F"/>
    <w:rsid w:val="123378E3"/>
    <w:rsid w:val="1254A836"/>
    <w:rsid w:val="134C19FC"/>
    <w:rsid w:val="13EADA00"/>
    <w:rsid w:val="1586AA61"/>
    <w:rsid w:val="16354CEC"/>
    <w:rsid w:val="19749F0B"/>
    <w:rsid w:val="199F1F54"/>
    <w:rsid w:val="1CC36EF1"/>
    <w:rsid w:val="1E27A9D4"/>
    <w:rsid w:val="1F0F3A46"/>
    <w:rsid w:val="202A9D04"/>
    <w:rsid w:val="20CFA657"/>
    <w:rsid w:val="222EA8C6"/>
    <w:rsid w:val="224C050C"/>
    <w:rsid w:val="23623DC6"/>
    <w:rsid w:val="240A0E16"/>
    <w:rsid w:val="24F87F18"/>
    <w:rsid w:val="2562453A"/>
    <w:rsid w:val="257CB13A"/>
    <w:rsid w:val="278DA17B"/>
    <w:rsid w:val="2EDC5465"/>
    <w:rsid w:val="2F16E4DE"/>
    <w:rsid w:val="2F7F8B03"/>
    <w:rsid w:val="32AE72E6"/>
    <w:rsid w:val="33DE707B"/>
    <w:rsid w:val="36947CF7"/>
    <w:rsid w:val="49447E99"/>
    <w:rsid w:val="49AE8584"/>
    <w:rsid w:val="4AC6EB9A"/>
    <w:rsid w:val="4AE04EFA"/>
    <w:rsid w:val="4C7C1F5B"/>
    <w:rsid w:val="52CD51CF"/>
    <w:rsid w:val="53AFC304"/>
    <w:rsid w:val="591C2E3E"/>
    <w:rsid w:val="59CBEB2D"/>
    <w:rsid w:val="5A165968"/>
    <w:rsid w:val="5EDDF350"/>
    <w:rsid w:val="5F3B3B2B"/>
    <w:rsid w:val="5F82C4A2"/>
    <w:rsid w:val="6338726E"/>
    <w:rsid w:val="64ECBA3E"/>
    <w:rsid w:val="64FD772C"/>
    <w:rsid w:val="66FA97A4"/>
    <w:rsid w:val="692FFE05"/>
    <w:rsid w:val="6A323866"/>
    <w:rsid w:val="6D80C0FF"/>
    <w:rsid w:val="6DF6BA07"/>
    <w:rsid w:val="6E1BF3C0"/>
    <w:rsid w:val="73D91AAC"/>
    <w:rsid w:val="7464377A"/>
    <w:rsid w:val="746D16AB"/>
    <w:rsid w:val="75C2C890"/>
    <w:rsid w:val="78B47955"/>
    <w:rsid w:val="7A4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EC167123-9FBB-45B4-B276-21C3A5C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ListParagraphChar">
    <w:name w:val="List Paragraph Char"/>
    <w:link w:val="ListParagraph"/>
    <w:locked/>
    <w:rsid w:val="00346AFE"/>
  </w:style>
  <w:style w:type="character" w:styleId="Hyperlink">
    <w:name w:val="Hyperlink"/>
    <w:uiPriority w:val="99"/>
    <w:rsid w:val="00056ADD"/>
    <w:rPr>
      <w:rFonts w:cs="Times New Roman"/>
      <w:color w:val="0000FF"/>
      <w:u w:val="single"/>
    </w:rPr>
  </w:style>
  <w:style w:type="character" w:styleId="UnresolvedMention">
    <w:name w:val="Unresolved Mention"/>
    <w:basedOn w:val="DefaultParagraphFont"/>
    <w:uiPriority w:val="99"/>
    <w:semiHidden/>
    <w:unhideWhenUsed/>
    <w:rsid w:val="00FA4EA3"/>
    <w:rPr>
      <w:color w:val="605E5C"/>
      <w:shd w:val="clear" w:color="auto" w:fill="E1DFDD"/>
    </w:rPr>
  </w:style>
  <w:style w:type="character" w:styleId="CommentReference">
    <w:name w:val="annotation reference"/>
    <w:basedOn w:val="DefaultParagraphFont"/>
    <w:uiPriority w:val="99"/>
    <w:semiHidden/>
    <w:unhideWhenUsed/>
    <w:rsid w:val="00A21B96"/>
    <w:rPr>
      <w:sz w:val="16"/>
      <w:szCs w:val="16"/>
    </w:rPr>
  </w:style>
  <w:style w:type="paragraph" w:styleId="CommentText">
    <w:name w:val="annotation text"/>
    <w:basedOn w:val="Normal"/>
    <w:link w:val="CommentTextChar"/>
    <w:uiPriority w:val="99"/>
    <w:unhideWhenUsed/>
    <w:rsid w:val="00A21B96"/>
    <w:pPr>
      <w:spacing w:line="240" w:lineRule="auto"/>
    </w:pPr>
    <w:rPr>
      <w:sz w:val="20"/>
      <w:szCs w:val="20"/>
    </w:rPr>
  </w:style>
  <w:style w:type="character" w:customStyle="1" w:styleId="CommentTextChar">
    <w:name w:val="Comment Text Char"/>
    <w:basedOn w:val="DefaultParagraphFont"/>
    <w:link w:val="CommentText"/>
    <w:uiPriority w:val="99"/>
    <w:rsid w:val="00A21B96"/>
    <w:rPr>
      <w:sz w:val="20"/>
      <w:szCs w:val="20"/>
    </w:rPr>
  </w:style>
  <w:style w:type="paragraph" w:styleId="CommentSubject">
    <w:name w:val="annotation subject"/>
    <w:basedOn w:val="CommentText"/>
    <w:next w:val="CommentText"/>
    <w:link w:val="CommentSubjectChar"/>
    <w:uiPriority w:val="99"/>
    <w:semiHidden/>
    <w:unhideWhenUsed/>
    <w:rsid w:val="00A21B96"/>
    <w:rPr>
      <w:b/>
      <w:bCs/>
    </w:rPr>
  </w:style>
  <w:style w:type="character" w:customStyle="1" w:styleId="CommentSubjectChar">
    <w:name w:val="Comment Subject Char"/>
    <w:basedOn w:val="CommentTextChar"/>
    <w:link w:val="CommentSubject"/>
    <w:uiPriority w:val="99"/>
    <w:semiHidden/>
    <w:rsid w:val="00A21B96"/>
    <w:rPr>
      <w:b/>
      <w:bCs/>
      <w:sz w:val="20"/>
      <w:szCs w:val="20"/>
    </w:rPr>
  </w:style>
  <w:style w:type="table" w:styleId="TableGrid">
    <w:name w:val="Table Grid"/>
    <w:basedOn w:val="TableNormal"/>
    <w:rsid w:val="00060859"/>
    <w:pPr>
      <w:spacing w:after="0" w:line="240" w:lineRule="auto"/>
    </w:pPr>
    <w:rPr>
      <w:rFonts w:eastAsia="Times New Roman"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20D7"/>
    <w:rPr>
      <w:color w:val="954F72" w:themeColor="followedHyperlink"/>
      <w:u w:val="single"/>
    </w:rPr>
  </w:style>
  <w:style w:type="paragraph" w:styleId="Revision">
    <w:name w:val="Revision"/>
    <w:hidden/>
    <w:uiPriority w:val="99"/>
    <w:semiHidden/>
    <w:rsid w:val="00026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ites/default/files/document/African_Lions_Meeting_Communique_E.pdf" TargetMode="External"/><Relationship Id="rId18" Type="http://schemas.openxmlformats.org/officeDocument/2006/relationships/hyperlink" Target="https://www.cms.int/sites/default/files/document/cms_stc52_outcome-5_pow-joint-cites-cms-african-carnivores-initiative_s.pdf" TargetMode="External"/><Relationship Id="rId26" Type="http://schemas.openxmlformats.org/officeDocument/2006/relationships/hyperlink" Target="https://www.cms.int/en/document/guidelines-conservation-lions-africa-available-english-and-french-only" TargetMode="External"/><Relationship Id="rId39" Type="http://schemas.openxmlformats.org/officeDocument/2006/relationships/theme" Target="theme/theme1.xml"/><Relationship Id="rId21" Type="http://schemas.openxmlformats.org/officeDocument/2006/relationships/hyperlink" Target="https://www.cms.int/en/page/decisions-1396-1397-conservation-and-management-leopard-panthera-pardus-africa"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ms.int/es/page/decisiones-1386-1387-iniciativa-conjunta-cites-cms-para-los-carn%C3%ADvoros-de-%C3%A1frica" TargetMode="External"/><Relationship Id="rId17" Type="http://schemas.openxmlformats.org/officeDocument/2006/relationships/hyperlink" Target="https://www.cms.int/en/document/cms-cites-joint-work-programmme-2021-2025" TargetMode="External"/><Relationship Id="rId25" Type="http://schemas.openxmlformats.org/officeDocument/2006/relationships/hyperlink" Target="https://www.cms.int/en/document/conservation-and-management-leopard-panthera-pardus-africa"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int/en/page/decisions-1386-1387-joint-cites-cms-african-carnivores-initiative" TargetMode="External"/><Relationship Id="rId20" Type="http://schemas.openxmlformats.org/officeDocument/2006/relationships/hyperlink" Target="https://www.cms.int/en/page/decisions-1392-1395-conservation-and-management-cheetah-acinonyx-jubatus-and-african-wild-dog" TargetMode="External"/><Relationship Id="rId29" Type="http://schemas.openxmlformats.org/officeDocument/2006/relationships/hyperlink" Target="https://www.cms.int/en/document/updates-and-prioritisation-activities-programme-work-joint-cites-cms-african-carnivo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int/es/page/decisiones-1386-1387-iniciativa-conjunta-cites-cms-para-los-carn%C3%ADvoros-de-%C3%A1frica" TargetMode="External"/><Relationship Id="rId24" Type="http://schemas.openxmlformats.org/officeDocument/2006/relationships/hyperlink" Target="https://www.cms.int/en/meeting/second-meeting-range-states-joint-cites-cms-african-carnivores-initiative"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ms.int/es/document/iniciativa-conjunta-cites-cms-para-los-carn%C3%ADvoros-africanos" TargetMode="External"/><Relationship Id="rId23" Type="http://schemas.openxmlformats.org/officeDocument/2006/relationships/hyperlink" Target="https://www.cms.int/en/document/programme-work-joint-cites-cms-african-carnivores-initiative-0" TargetMode="External"/><Relationship Id="rId28" Type="http://schemas.openxmlformats.org/officeDocument/2006/relationships/hyperlink" Target="https://cites.org/eng/dec/index.php/44334" TargetMode="External"/><Relationship Id="rId36" Type="http://schemas.openxmlformats.org/officeDocument/2006/relationships/header" Target="header4.xml"/><Relationship Id="rId10" Type="http://schemas.openxmlformats.org/officeDocument/2006/relationships/image" Target="media/image1.wmf"/><Relationship Id="rId19" Type="http://schemas.openxmlformats.org/officeDocument/2006/relationships/hyperlink" Target="https://www.cms.int/en/page/decisions-1388-1391-conservation-and-management-african-lion-panthera-leo"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int/sites/default/files/document/cms-cites_aci1%20_outcomes.1_communiqu%C3%A9_e.pdf" TargetMode="External"/><Relationship Id="rId22" Type="http://schemas.openxmlformats.org/officeDocument/2006/relationships/hyperlink" Target="https://www.cms.int/en/meeting/second-meeting-range-states-joint-cites-cms-african-carnivores-initiative" TargetMode="External"/><Relationship Id="rId27" Type="http://schemas.openxmlformats.org/officeDocument/2006/relationships/hyperlink" Target="https://portals.iucn.org/library/sites/library/files/documents/2023-009-En.pdf" TargetMode="External"/><Relationship Id="rId30" Type="http://schemas.openxmlformats.org/officeDocument/2006/relationships/hyperlink" Target="https://www.cms.int/en/meeting/second-meeting-range-states-joint-cites-cms-african-carnivores-initiative"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UserInfo>
        <DisplayName>Nora Marie Weyer</DisplayName>
        <AccountId>13</AccountId>
        <AccountType/>
      </UserInfo>
      <UserInfo>
        <DisplayName>Clara Nobbe</DisplayName>
        <AccountId>21</AccountId>
        <AccountType/>
      </UserInfo>
      <UserInfo>
        <DisplayName>Aydin Bahramlouian</DisplayName>
        <AccountId>29</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A9692-39AF-4871-8314-0D220A29B546}">
  <ds:schemaRef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a7b50396-0b06-45c1-b28e-46f86d566a10"/>
    <ds:schemaRef ds:uri="985ec44e-1bab-4c0b-9df0-6ba128686fc9"/>
    <ds:schemaRef ds:uri="http://purl.org/dc/dcmitype/"/>
    <ds:schemaRef ds:uri="http://schemas.microsoft.com/office/infopath/2007/PartnerControls"/>
    <ds:schemaRef ds:uri="c15478a5-0be8-4f5d-8383-b307d5ba8bf6"/>
  </ds:schemaRefs>
</ds:datastoreItem>
</file>

<file path=customXml/itemProps2.xml><?xml version="1.0" encoding="utf-8"?>
<ds:datastoreItem xmlns:ds="http://schemas.openxmlformats.org/officeDocument/2006/customXml" ds:itemID="{3DACCBDA-652D-447B-9E19-069AA3DC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DF315-5974-484C-A3DB-7718D6991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3494</Words>
  <Characters>19916</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Samarkand, Uzbekistan, 23 - 28 October 2023</vt:lpstr>
      <vt:lpstr>    JOINT CITES-CMS AFRICAN CARNIVORES INITIATIVE </vt:lpstr>
      <vt:lpstr>    JOINT CITES-CMS AFRICAN CARNIVORES INITIATIVE</vt:lpstr>
      <vt:lpstr>    JOINT CITES-CMS AFRICAN CARNIVORES INITIATIVE</vt:lpstr>
    </vt:vector>
  </TitlesOfParts>
  <Company/>
  <LinksUpToDate>false</LinksUpToDate>
  <CharactersWithSpaces>23364</CharactersWithSpaces>
  <SharedDoc>false</SharedDoc>
  <HLinks>
    <vt:vector size="90" baseType="variant">
      <vt:variant>
        <vt:i4>3276924</vt:i4>
      </vt:variant>
      <vt:variant>
        <vt:i4>30</vt:i4>
      </vt:variant>
      <vt:variant>
        <vt:i4>0</vt:i4>
      </vt:variant>
      <vt:variant>
        <vt:i4>5</vt:i4>
      </vt:variant>
      <vt:variant>
        <vt:lpwstr>https://www.cms.int/en/page/decisions-1396-1397-conservation-and-management-leopard-panthera-pardus-africa</vt:lpwstr>
      </vt:variant>
      <vt:variant>
        <vt:lpwstr/>
      </vt:variant>
      <vt:variant>
        <vt:i4>5111899</vt:i4>
      </vt:variant>
      <vt:variant>
        <vt:i4>27</vt:i4>
      </vt:variant>
      <vt:variant>
        <vt:i4>0</vt:i4>
      </vt:variant>
      <vt:variant>
        <vt:i4>5</vt:i4>
      </vt:variant>
      <vt:variant>
        <vt:lpwstr>https://www.cms.int/en/page/decisions-1392-1395-conservation-and-management-cheetah-acinonyx-jubatus-and-african-wild-dog</vt:lpwstr>
      </vt:variant>
      <vt:variant>
        <vt:lpwstr/>
      </vt:variant>
      <vt:variant>
        <vt:i4>5963807</vt:i4>
      </vt:variant>
      <vt:variant>
        <vt:i4>24</vt:i4>
      </vt:variant>
      <vt:variant>
        <vt:i4>0</vt:i4>
      </vt:variant>
      <vt:variant>
        <vt:i4>5</vt:i4>
      </vt:variant>
      <vt:variant>
        <vt:lpwstr>https://www.cms.int/en/page/decisions-1388-1391-conservation-and-management-african-lion-panthera-leo</vt:lpwstr>
      </vt:variant>
      <vt:variant>
        <vt:lpwstr/>
      </vt:variant>
      <vt:variant>
        <vt:i4>3801201</vt:i4>
      </vt:variant>
      <vt:variant>
        <vt:i4>21</vt:i4>
      </vt:variant>
      <vt:variant>
        <vt:i4>0</vt:i4>
      </vt:variant>
      <vt:variant>
        <vt:i4>5</vt:i4>
      </vt:variant>
      <vt:variant>
        <vt:lpwstr>https://www.cms.int/en/document/programme-work-joint-cites-cms-african-carnivores-initiative-0</vt:lpwstr>
      </vt:variant>
      <vt:variant>
        <vt:lpwstr/>
      </vt:variant>
      <vt:variant>
        <vt:i4>5111809</vt:i4>
      </vt:variant>
      <vt:variant>
        <vt:i4>18</vt:i4>
      </vt:variant>
      <vt:variant>
        <vt:i4>0</vt:i4>
      </vt:variant>
      <vt:variant>
        <vt:i4>5</vt:i4>
      </vt:variant>
      <vt:variant>
        <vt:lpwstr>https://www.cms.int/en/meeting/second-meeting-range-states-joint-cites-cms-african-carnivores-initiative</vt:lpwstr>
      </vt:variant>
      <vt:variant>
        <vt:lpwstr/>
      </vt:variant>
      <vt:variant>
        <vt:i4>2621479</vt:i4>
      </vt:variant>
      <vt:variant>
        <vt:i4>15</vt:i4>
      </vt:variant>
      <vt:variant>
        <vt:i4>0</vt:i4>
      </vt:variant>
      <vt:variant>
        <vt:i4>5</vt:i4>
      </vt:variant>
      <vt:variant>
        <vt:lpwstr>https://cites.org/sites/default/files/documents/COP/19/agenda/E-CoP19-17-04.pdf</vt:lpwstr>
      </vt:variant>
      <vt:variant>
        <vt:lpwstr/>
      </vt:variant>
      <vt:variant>
        <vt:i4>458822</vt:i4>
      </vt:variant>
      <vt:variant>
        <vt:i4>12</vt:i4>
      </vt:variant>
      <vt:variant>
        <vt:i4>0</vt:i4>
      </vt:variant>
      <vt:variant>
        <vt:i4>5</vt:i4>
      </vt:variant>
      <vt:variant>
        <vt:lpwstr>https://www.cms.int/en/document/cms-cites-joint-work-programmme-2021-2025</vt:lpwstr>
      </vt:variant>
      <vt:variant>
        <vt:lpwstr/>
      </vt:variant>
      <vt:variant>
        <vt:i4>393243</vt:i4>
      </vt:variant>
      <vt:variant>
        <vt:i4>9</vt:i4>
      </vt:variant>
      <vt:variant>
        <vt:i4>0</vt:i4>
      </vt:variant>
      <vt:variant>
        <vt:i4>5</vt:i4>
      </vt:variant>
      <vt:variant>
        <vt:lpwstr>https://www.cms.int/en/page/decisions-1386-1387-joint-cites-cms-african-carnivores-initiative</vt:lpwstr>
      </vt:variant>
      <vt:variant>
        <vt:lpwstr/>
      </vt:variant>
      <vt:variant>
        <vt:i4>4128825</vt:i4>
      </vt:variant>
      <vt:variant>
        <vt:i4>6</vt:i4>
      </vt:variant>
      <vt:variant>
        <vt:i4>0</vt:i4>
      </vt:variant>
      <vt:variant>
        <vt:i4>5</vt:i4>
      </vt:variant>
      <vt:variant>
        <vt:lpwstr>https://www.cms.int/en/document/joint-cites-cms-african-carnivores-initiative-0</vt:lpwstr>
      </vt:variant>
      <vt:variant>
        <vt:lpwstr/>
      </vt:variant>
      <vt:variant>
        <vt:i4>4522050</vt:i4>
      </vt:variant>
      <vt:variant>
        <vt:i4>3</vt:i4>
      </vt:variant>
      <vt:variant>
        <vt:i4>0</vt:i4>
      </vt:variant>
      <vt:variant>
        <vt:i4>5</vt:i4>
      </vt:variant>
      <vt:variant>
        <vt:lpwstr>https://www.cms.int/sites/default/files/document/cms-cites_aci1 _outcomes.1_communiqu%C3%A9_e.pdf</vt:lpwstr>
      </vt:variant>
      <vt:variant>
        <vt:lpwstr/>
      </vt:variant>
      <vt:variant>
        <vt:i4>1835084</vt:i4>
      </vt:variant>
      <vt:variant>
        <vt:i4>0</vt:i4>
      </vt:variant>
      <vt:variant>
        <vt:i4>0</vt:i4>
      </vt:variant>
      <vt:variant>
        <vt:i4>5</vt:i4>
      </vt:variant>
      <vt:variant>
        <vt:lpwstr>https://www.cms.int/sites/default/files/document/African_Lions_Meeting_Communique_E.pdf</vt:lpwstr>
      </vt:variant>
      <vt:variant>
        <vt:lpwstr/>
      </vt:variant>
      <vt:variant>
        <vt:i4>3276924</vt:i4>
      </vt:variant>
      <vt:variant>
        <vt:i4>9</vt:i4>
      </vt:variant>
      <vt:variant>
        <vt:i4>0</vt:i4>
      </vt:variant>
      <vt:variant>
        <vt:i4>5</vt:i4>
      </vt:variant>
      <vt:variant>
        <vt:lpwstr>https://www.cms.int/en/page/decisions-1396-1397-conservation-and-management-leopard-panthera-pardus-africa</vt:lpwstr>
      </vt:variant>
      <vt:variant>
        <vt:lpwstr/>
      </vt:variant>
      <vt:variant>
        <vt:i4>5111899</vt:i4>
      </vt:variant>
      <vt:variant>
        <vt:i4>6</vt:i4>
      </vt:variant>
      <vt:variant>
        <vt:i4>0</vt:i4>
      </vt:variant>
      <vt:variant>
        <vt:i4>5</vt:i4>
      </vt:variant>
      <vt:variant>
        <vt:lpwstr>https://www.cms.int/en/page/decisions-1392-1395-conservation-and-management-cheetah-acinonyx-jubatus-and-african-wild-dog</vt:lpwstr>
      </vt:variant>
      <vt:variant>
        <vt:lpwstr/>
      </vt:variant>
      <vt:variant>
        <vt:i4>5963807</vt:i4>
      </vt:variant>
      <vt:variant>
        <vt:i4>3</vt:i4>
      </vt:variant>
      <vt:variant>
        <vt:i4>0</vt:i4>
      </vt:variant>
      <vt:variant>
        <vt:i4>5</vt:i4>
      </vt:variant>
      <vt:variant>
        <vt:lpwstr>https://www.cms.int/en/page/decisions-1388-1391-conservation-and-management-african-lion-panthera-leo</vt:lpwstr>
      </vt:variant>
      <vt:variant>
        <vt:lpwstr/>
      </vt:variant>
      <vt:variant>
        <vt:i4>393243</vt:i4>
      </vt:variant>
      <vt:variant>
        <vt:i4>0</vt:i4>
      </vt:variant>
      <vt:variant>
        <vt:i4>0</vt:i4>
      </vt:variant>
      <vt:variant>
        <vt:i4>5</vt:i4>
      </vt:variant>
      <vt:variant>
        <vt:lpwstr>https://www.cms.int/en/page/decisions-1386-1387-joint-cites-cms-african-carnivores-initiative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24</cp:revision>
  <dcterms:created xsi:type="dcterms:W3CDTF">2023-06-29T13:50:00Z</dcterms:created>
  <dcterms:modified xsi:type="dcterms:W3CDTF">2023-09-20T13:31:00Z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