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4F24" w14:textId="065C7DE0" w:rsidR="008879F2" w:rsidRPr="002B719B" w:rsidRDefault="008879F2" w:rsidP="008879F2">
      <w:pPr>
        <w:jc w:val="right"/>
        <w:rPr>
          <w:rFonts w:cs="Arial"/>
          <w:b/>
          <w:bCs/>
          <w:caps/>
          <w:lang w:val="fr-FR"/>
        </w:rPr>
      </w:pPr>
      <w:bookmarkStart w:id="0" w:name="_Hlk134435489"/>
      <w:r w:rsidRPr="002B719B">
        <w:rPr>
          <w:rFonts w:cs="Arial"/>
          <w:b/>
          <w:caps/>
          <w:lang w:val="fr-FR"/>
        </w:rPr>
        <w:t>Annexe</w:t>
      </w:r>
      <w:r w:rsidR="00D8066D" w:rsidRPr="002B719B">
        <w:rPr>
          <w:rFonts w:cs="Arial"/>
          <w:b/>
          <w:caps/>
          <w:lang w:val="fr-FR"/>
        </w:rPr>
        <w:t> </w:t>
      </w:r>
      <w:r w:rsidR="00E24F8B" w:rsidRPr="002B719B">
        <w:rPr>
          <w:rFonts w:cs="Arial"/>
          <w:b/>
          <w:caps/>
          <w:lang w:val="fr-FR"/>
        </w:rPr>
        <w:t>3</w:t>
      </w:r>
    </w:p>
    <w:p w14:paraId="05F9AAEC" w14:textId="77777777" w:rsidR="008109BD" w:rsidRPr="002B719B" w:rsidRDefault="008109BD" w:rsidP="008879F2">
      <w:pPr>
        <w:rPr>
          <w:rFonts w:cs="Arial"/>
          <w:lang w:val="fr-FR"/>
        </w:rPr>
      </w:pPr>
    </w:p>
    <w:bookmarkEnd w:id="0"/>
    <w:p w14:paraId="6668145C" w14:textId="77777777" w:rsidR="00D53F47" w:rsidRDefault="00D53F47">
      <w:pPr>
        <w:pStyle w:val="Title1"/>
        <w:rPr>
          <w:bCs/>
          <w:lang w:val="fr-FR"/>
        </w:rPr>
      </w:pPr>
    </w:p>
    <w:p w14:paraId="27A8D36E" w14:textId="7CFF3A2F" w:rsidR="003C3EEA" w:rsidRPr="002B719B" w:rsidRDefault="002C2A62">
      <w:pPr>
        <w:pStyle w:val="Title1"/>
        <w:rPr>
          <w:bCs/>
          <w:lang w:val="fr-FR"/>
        </w:rPr>
      </w:pPr>
      <w:r w:rsidRPr="002B719B">
        <w:rPr>
          <w:bCs/>
          <w:lang w:val="fr-FR"/>
        </w:rPr>
        <w:t>PLAN D'ACTION POUR LUTTER CONTRE LES PRÉLÈVEMENTS DE VIANDE D’ANIMAUX SAUVAGES AQUATIQUES EN AFRIQUE DE L'OUEST</w:t>
      </w:r>
    </w:p>
    <w:p w14:paraId="7F5F48D6" w14:textId="77777777" w:rsidR="003C3EEA" w:rsidRDefault="003C3EEA">
      <w:pPr>
        <w:textAlignment w:val="baseline"/>
        <w:rPr>
          <w:rFonts w:eastAsia="Calibri" w:cs="Arial"/>
          <w:lang w:val="fr-FR"/>
        </w:rPr>
      </w:pPr>
    </w:p>
    <w:p w14:paraId="136EBBA2" w14:textId="77777777" w:rsidR="00D53F47" w:rsidRPr="002B719B" w:rsidRDefault="00D53F47">
      <w:pPr>
        <w:textAlignment w:val="baseline"/>
        <w:rPr>
          <w:rFonts w:eastAsia="Calibri" w:cs="Arial"/>
          <w:lang w:val="fr-FR"/>
        </w:rPr>
      </w:pPr>
    </w:p>
    <w:p w14:paraId="057A3DB2" w14:textId="77777777" w:rsidR="003C3EEA" w:rsidRPr="002B719B" w:rsidRDefault="00056A3F">
      <w:pPr>
        <w:textAlignment w:val="baseline"/>
        <w:rPr>
          <w:rFonts w:eastAsia="Calibri" w:cs="Arial"/>
          <w:u w:val="single"/>
          <w:lang w:val="fr-FR"/>
        </w:rPr>
      </w:pPr>
      <w:r w:rsidRPr="002B719B">
        <w:rPr>
          <w:rFonts w:eastAsia="Calibri" w:cs="Arial"/>
          <w:u w:val="single"/>
          <w:lang w:val="fr-FR"/>
        </w:rPr>
        <w:t>Contexte</w:t>
      </w:r>
    </w:p>
    <w:p w14:paraId="3D9D8432" w14:textId="77777777" w:rsidR="003C3EEA" w:rsidRPr="002B719B" w:rsidRDefault="003C3EEA">
      <w:pPr>
        <w:rPr>
          <w:rFonts w:cs="Arial"/>
          <w:lang w:val="fr-FR"/>
        </w:rPr>
      </w:pPr>
    </w:p>
    <w:p w14:paraId="5EE54449" w14:textId="210844CD" w:rsidR="003C3EEA" w:rsidRPr="002B719B" w:rsidRDefault="00330051">
      <w:pPr>
        <w:widowControl w:val="0"/>
        <w:numPr>
          <w:ilvl w:val="0"/>
          <w:numId w:val="5"/>
        </w:numPr>
        <w:ind w:left="567" w:hanging="567"/>
        <w:jc w:val="both"/>
        <w:rPr>
          <w:rFonts w:cs="Arial"/>
          <w:lang w:val="fr-FR"/>
        </w:rPr>
      </w:pPr>
      <w:r w:rsidRPr="002B719B">
        <w:rPr>
          <w:rFonts w:cs="Arial"/>
          <w:lang w:val="fr-FR"/>
        </w:rPr>
        <w:t>Dans la majeure partie de l’Afrique de l’Ouest, les animaux sauvages aquatiques sont chassés ou capturés de façon opportuniste et leur viande, certaines parties de leur corps et/ou leurs œufs sont consommés à des fins de subsistance locale, utilisés à des fins traditionnelles ou échangés pour obtenir des revenus. Les espèces aquatiques, notamment les mammifères, les reptiles, les poissons élasmobranches et les oiseaux aquatiques, sont régulièrement capturés dans les écosystèmes marins, côtiers et fluviaux. Le prélèvement et la consommation, dans ces écosystèmes est très répandue. Dans certains endroits, les prélèvements de viande d’animaux sauvages se poursuivent depuis des millénaires et constituent une ressource importante pour les communautés en matière de nutrition, de revenus et d’identité culturelle. Cependant, la pression liée à la sécurité alimentaire, dans certains cas, et les possibilités économiques liées à l’exploitation de la faune sauvage à plus grande échelle, dans d’autres, ont conduit à une exploitation non durable de certaines espèces inscrites sur les listes de la CMS.</w:t>
      </w:r>
    </w:p>
    <w:p w14:paraId="1C79815C" w14:textId="77777777" w:rsidR="003C3EEA" w:rsidRPr="002B719B" w:rsidRDefault="003C3EEA">
      <w:pPr>
        <w:widowControl w:val="0"/>
        <w:ind w:left="567" w:hanging="567"/>
        <w:jc w:val="both"/>
        <w:rPr>
          <w:rFonts w:cs="Arial"/>
          <w:lang w:val="fr-FR"/>
        </w:rPr>
      </w:pPr>
    </w:p>
    <w:p w14:paraId="26509EEE" w14:textId="77777777" w:rsidR="00973747" w:rsidRPr="002B719B" w:rsidRDefault="005109F6" w:rsidP="00973747">
      <w:pPr>
        <w:widowControl w:val="0"/>
        <w:numPr>
          <w:ilvl w:val="0"/>
          <w:numId w:val="5"/>
        </w:numPr>
        <w:ind w:left="567" w:hanging="567"/>
        <w:jc w:val="both"/>
        <w:rPr>
          <w:rFonts w:cs="Arial"/>
          <w:lang w:val="fr-FR"/>
        </w:rPr>
      </w:pPr>
      <w:r w:rsidRPr="002B719B">
        <w:rPr>
          <w:rFonts w:cs="Arial"/>
          <w:lang w:val="fr-FR"/>
        </w:rPr>
        <w:t>Le présent plan d'action pour lutter contre les prélèvements de viande d’animaux sauvages aquatiques en Afrique de l'Ouest vise à attirer l'attention des politiques et des scientifiques sur ces prélèvements dans la région et, si dans la mesure du possible, à prendre des mesures pour une gestion durable des activités. Dans certains cas, cela nécessitera des changements significatifs dans le comportement des communautés. Dans d'autres cas, les communautés peuvent fournir des orientations pour une gestion future qui respecteront les traditions locales et préserve les espèces aquatiques importantes et leurs habitats.</w:t>
      </w:r>
    </w:p>
    <w:p w14:paraId="7DEDD8EA" w14:textId="77777777" w:rsidR="00973747" w:rsidRPr="002B719B" w:rsidRDefault="00973747" w:rsidP="00973747">
      <w:pPr>
        <w:pStyle w:val="ListParagraph"/>
        <w:rPr>
          <w:rFonts w:cs="Arial"/>
          <w:lang w:val="fr-FR"/>
        </w:rPr>
      </w:pPr>
    </w:p>
    <w:p w14:paraId="5B27145E" w14:textId="6EE6C641" w:rsidR="00973747" w:rsidRPr="002B719B" w:rsidRDefault="00973747" w:rsidP="00D53F47">
      <w:pPr>
        <w:widowControl w:val="0"/>
        <w:numPr>
          <w:ilvl w:val="0"/>
          <w:numId w:val="5"/>
        </w:numPr>
        <w:spacing w:after="80"/>
        <w:ind w:left="567" w:hanging="567"/>
        <w:jc w:val="both"/>
        <w:rPr>
          <w:rFonts w:cs="Arial"/>
          <w:lang w:val="fr-FR"/>
        </w:rPr>
      </w:pPr>
      <w:r w:rsidRPr="002B719B">
        <w:rPr>
          <w:rFonts w:cs="Arial"/>
          <w:lang w:val="fr-FR"/>
        </w:rPr>
        <w:t>Le plan d'action est divisé en six thèmes :</w:t>
      </w:r>
    </w:p>
    <w:p w14:paraId="05454839" w14:textId="0B57F125" w:rsidR="00973747" w:rsidRPr="002B719B" w:rsidRDefault="00973747" w:rsidP="00D53F47">
      <w:pPr>
        <w:numPr>
          <w:ilvl w:val="1"/>
          <w:numId w:val="6"/>
        </w:numPr>
        <w:tabs>
          <w:tab w:val="clear" w:pos="1080"/>
          <w:tab w:val="num" w:pos="1276"/>
        </w:tabs>
        <w:spacing w:after="80"/>
        <w:ind w:left="993" w:hanging="426"/>
        <w:jc w:val="both"/>
        <w:rPr>
          <w:rFonts w:cs="Arial"/>
          <w:lang w:val="fr-FR"/>
        </w:rPr>
      </w:pPr>
      <w:r w:rsidRPr="002B719B">
        <w:rPr>
          <w:rFonts w:cs="Arial"/>
          <w:lang w:val="fr-FR"/>
        </w:rPr>
        <w:t>Réfléchir sur les connaissances scientifiques et identifier les insuffisances scientifiques</w:t>
      </w:r>
      <w:r w:rsidR="00351BBC" w:rsidRPr="002B719B">
        <w:rPr>
          <w:rFonts w:cs="Arial"/>
          <w:lang w:val="fr-FR"/>
        </w:rPr>
        <w:t> ;</w:t>
      </w:r>
    </w:p>
    <w:p w14:paraId="4DF05FAA" w14:textId="3AE2556E" w:rsidR="00973747" w:rsidRPr="002B719B" w:rsidRDefault="00973747" w:rsidP="00D53F47">
      <w:pPr>
        <w:numPr>
          <w:ilvl w:val="1"/>
          <w:numId w:val="6"/>
        </w:numPr>
        <w:tabs>
          <w:tab w:val="clear" w:pos="1080"/>
          <w:tab w:val="num" w:pos="1276"/>
        </w:tabs>
        <w:spacing w:after="80"/>
        <w:ind w:left="993" w:hanging="426"/>
        <w:jc w:val="both"/>
        <w:rPr>
          <w:rFonts w:cs="Arial"/>
          <w:lang w:val="fr-FR"/>
        </w:rPr>
      </w:pPr>
      <w:r w:rsidRPr="002B719B">
        <w:rPr>
          <w:rFonts w:cs="Arial"/>
          <w:lang w:val="fr-FR"/>
        </w:rPr>
        <w:t>Comprendre les raisons et les pressions (flottes de pêche en eaux lointaines, migrations internes, déclin des écosystèmes) et élaboration de solutions</w:t>
      </w:r>
      <w:r w:rsidR="00351BBC" w:rsidRPr="002B719B">
        <w:rPr>
          <w:rFonts w:cs="Arial"/>
          <w:lang w:val="fr-FR"/>
        </w:rPr>
        <w:t> ;</w:t>
      </w:r>
    </w:p>
    <w:p w14:paraId="1992D600" w14:textId="49D32E4B" w:rsidR="00973747" w:rsidRPr="002B719B" w:rsidRDefault="00973747" w:rsidP="00D53F47">
      <w:pPr>
        <w:numPr>
          <w:ilvl w:val="1"/>
          <w:numId w:val="6"/>
        </w:numPr>
        <w:tabs>
          <w:tab w:val="clear" w:pos="1080"/>
          <w:tab w:val="num" w:pos="1276"/>
        </w:tabs>
        <w:spacing w:after="80"/>
        <w:ind w:left="993" w:hanging="426"/>
        <w:jc w:val="both"/>
        <w:rPr>
          <w:rFonts w:cs="Arial"/>
          <w:lang w:val="fr-FR"/>
        </w:rPr>
      </w:pPr>
      <w:r w:rsidRPr="002B719B">
        <w:rPr>
          <w:rFonts w:cs="Arial"/>
          <w:lang w:val="fr-FR"/>
        </w:rPr>
        <w:t>Comprendre les interactions entre la pêche et l’environnement (aux niveaux national et international) et création de liens plus étroits</w:t>
      </w:r>
      <w:r w:rsidR="00351BBC" w:rsidRPr="002B719B">
        <w:rPr>
          <w:rFonts w:cs="Arial"/>
          <w:lang w:val="fr-FR"/>
        </w:rPr>
        <w:t> ;</w:t>
      </w:r>
    </w:p>
    <w:p w14:paraId="31287E4A" w14:textId="77777777" w:rsidR="00973747" w:rsidRPr="002B719B" w:rsidRDefault="00973747" w:rsidP="00D53F47">
      <w:pPr>
        <w:numPr>
          <w:ilvl w:val="1"/>
          <w:numId w:val="6"/>
        </w:numPr>
        <w:tabs>
          <w:tab w:val="clear" w:pos="1080"/>
          <w:tab w:val="num" w:pos="1276"/>
        </w:tabs>
        <w:spacing w:after="80"/>
        <w:ind w:left="993" w:hanging="426"/>
        <w:jc w:val="both"/>
        <w:rPr>
          <w:rFonts w:cs="Arial"/>
          <w:lang w:val="fr-FR"/>
        </w:rPr>
      </w:pPr>
      <w:r w:rsidRPr="002B719B">
        <w:rPr>
          <w:rFonts w:cs="Arial"/>
          <w:lang w:val="fr-FR"/>
        </w:rPr>
        <w:t xml:space="preserve">Promouvoir des solutions impulsées par la communauté, rédiger et mettre en application les lois si nécessaire ; </w:t>
      </w:r>
    </w:p>
    <w:p w14:paraId="7981B0E0" w14:textId="47CACD7E" w:rsidR="00973747" w:rsidRPr="002B719B" w:rsidRDefault="00973747" w:rsidP="00D53F47">
      <w:pPr>
        <w:numPr>
          <w:ilvl w:val="1"/>
          <w:numId w:val="6"/>
        </w:numPr>
        <w:tabs>
          <w:tab w:val="clear" w:pos="1080"/>
          <w:tab w:val="num" w:pos="1276"/>
        </w:tabs>
        <w:spacing w:after="80"/>
        <w:ind w:left="993" w:hanging="426"/>
        <w:jc w:val="both"/>
        <w:rPr>
          <w:rFonts w:cs="Arial"/>
          <w:lang w:val="fr-FR"/>
        </w:rPr>
      </w:pPr>
      <w:r w:rsidRPr="002B719B">
        <w:rPr>
          <w:rFonts w:cs="Arial"/>
          <w:lang w:val="fr-FR"/>
        </w:rPr>
        <w:t>Sensibiliser et promouvoir un changement des comportements et des attitudes pour la protection des espèces de viandes d’animaux sauvages aquatiques</w:t>
      </w:r>
      <w:r w:rsidR="00351BBC" w:rsidRPr="002B719B">
        <w:rPr>
          <w:rFonts w:cs="Arial"/>
          <w:lang w:val="fr-FR"/>
        </w:rPr>
        <w:t xml:space="preserve"> </w:t>
      </w:r>
      <w:r w:rsidRPr="002B719B">
        <w:rPr>
          <w:rFonts w:cs="Arial"/>
          <w:lang w:val="fr-FR"/>
        </w:rPr>
        <w:t xml:space="preserve">; et </w:t>
      </w:r>
    </w:p>
    <w:p w14:paraId="1F65F29B" w14:textId="7F6B72F6" w:rsidR="0055145C" w:rsidRDefault="00973747" w:rsidP="00973747">
      <w:pPr>
        <w:numPr>
          <w:ilvl w:val="1"/>
          <w:numId w:val="6"/>
        </w:numPr>
        <w:tabs>
          <w:tab w:val="clear" w:pos="1080"/>
          <w:tab w:val="num" w:pos="1276"/>
        </w:tabs>
        <w:ind w:left="993" w:hanging="426"/>
        <w:jc w:val="both"/>
        <w:rPr>
          <w:rFonts w:cs="Arial"/>
          <w:lang w:val="fr-FR"/>
        </w:rPr>
      </w:pPr>
      <w:r w:rsidRPr="002B719B">
        <w:rPr>
          <w:rFonts w:cs="Arial"/>
          <w:lang w:val="fr-FR"/>
        </w:rPr>
        <w:t>Développer et mettre en œuvre une stratégie de financement durable pour la conservation des espèces de viandes d’animaux sauvages aquatiques.</w:t>
      </w:r>
    </w:p>
    <w:p w14:paraId="5EF6F134" w14:textId="77777777" w:rsidR="00D53F47" w:rsidRPr="002B719B" w:rsidRDefault="00D53F47" w:rsidP="00D53F47">
      <w:pPr>
        <w:ind w:left="993"/>
        <w:jc w:val="both"/>
        <w:rPr>
          <w:rFonts w:cs="Arial"/>
          <w:lang w:val="fr-FR"/>
        </w:rPr>
      </w:pPr>
    </w:p>
    <w:p w14:paraId="685CB032" w14:textId="6806F1AE" w:rsidR="000312AD" w:rsidRPr="002B719B" w:rsidRDefault="00351BBC" w:rsidP="00351BBC">
      <w:pPr>
        <w:tabs>
          <w:tab w:val="num" w:pos="1276"/>
        </w:tabs>
        <w:ind w:left="567"/>
        <w:jc w:val="both"/>
        <w:rPr>
          <w:rFonts w:cs="Arial"/>
          <w:lang w:val="fr-FR"/>
        </w:rPr>
      </w:pPr>
      <w:r w:rsidRPr="002B719B">
        <w:rPr>
          <w:rFonts w:cs="Arial"/>
          <w:lang w:val="fr-FR"/>
        </w:rPr>
        <w:t>Chaque thème met l'accent sur le renforcement indispensable des capacités (locales et régionales), tout en indiquant des orientations claires pour le financement et l’appui aux renforcement des capacités. Cela reflète le besoin pressant d'une approche ascendante et communautaire, qui donne aux communautés de la région la capacité d'exploiter les informations et de s'attaquer aux prélèvements non durables de viande d’animaux sauvages aquatiques.</w:t>
      </w:r>
    </w:p>
    <w:p w14:paraId="6EC6F34A" w14:textId="310FE1C3" w:rsidR="00D53F47" w:rsidRDefault="00D53F47" w:rsidP="00E24F8B">
      <w:pPr>
        <w:tabs>
          <w:tab w:val="num" w:pos="1276"/>
        </w:tabs>
        <w:ind w:left="993" w:hanging="426"/>
        <w:jc w:val="both"/>
        <w:rPr>
          <w:rFonts w:cs="Arial"/>
          <w:lang w:val="fr-FR"/>
        </w:rPr>
      </w:pPr>
      <w:r>
        <w:rPr>
          <w:rFonts w:cs="Arial"/>
          <w:lang w:val="fr-FR"/>
        </w:rPr>
        <w:br w:type="page"/>
      </w:r>
    </w:p>
    <w:p w14:paraId="29C0BD61" w14:textId="77777777" w:rsidR="00A12DC3" w:rsidRPr="002B719B" w:rsidRDefault="00F31F0A" w:rsidP="00902527">
      <w:pPr>
        <w:pStyle w:val="ListParagraph"/>
        <w:numPr>
          <w:ilvl w:val="0"/>
          <w:numId w:val="5"/>
        </w:numPr>
        <w:ind w:left="567" w:hanging="567"/>
        <w:jc w:val="both"/>
        <w:rPr>
          <w:rFonts w:cs="Arial"/>
          <w:lang w:val="fr-FR"/>
        </w:rPr>
        <w:sectPr w:rsidR="00A12DC3" w:rsidRPr="002B719B" w:rsidSect="00E24F8B">
          <w:headerReference w:type="even" r:id="rId11"/>
          <w:headerReference w:type="default" r:id="rId12"/>
          <w:footerReference w:type="even" r:id="rId13"/>
          <w:footerReference w:type="default" r:id="rId14"/>
          <w:headerReference w:type="first" r:id="rId15"/>
          <w:pgSz w:w="11906" w:h="16838"/>
          <w:pgMar w:top="1440" w:right="1440" w:bottom="1440" w:left="1440" w:header="720" w:footer="720" w:gutter="0"/>
          <w:cols w:space="720"/>
          <w:formProt w:val="0"/>
          <w:titlePg/>
          <w:docGrid w:linePitch="360" w:charSpace="8192"/>
        </w:sectPr>
      </w:pPr>
      <w:r w:rsidRPr="002B719B">
        <w:rPr>
          <w:rFonts w:cs="Arial"/>
          <w:lang w:val="fr-FR"/>
        </w:rPr>
        <w:lastRenderedPageBreak/>
        <w:t>Le plan d'action a été élaboré dans le cadre d'une série de quatre ateliers en ligne portant sur chaque thème et d'un atelier final en présentiel visant à dégager un consensus sur l'ensemble du processus.</w:t>
      </w:r>
      <w:r w:rsidR="00E25C89" w:rsidRPr="002B719B">
        <w:rPr>
          <w:rFonts w:cs="Arial"/>
          <w:lang w:val="fr-FR"/>
        </w:rPr>
        <w:t xml:space="preserve"> Le processus a utilisé un projet de plan d’action élaboré par les membres du Groupe de travail sur la viande d’animaux sauvages aquatiques (AWM WG) afin de soutenir les Parties qui sont des États de l’aire de répartition de la CMS lors des négociations sur ce plan d’action.</w:t>
      </w:r>
    </w:p>
    <w:p w14:paraId="196E745F" w14:textId="5348D0C8" w:rsidR="00E16720" w:rsidRPr="002B719B" w:rsidRDefault="00E16720" w:rsidP="00D00125">
      <w:pPr>
        <w:jc w:val="both"/>
        <w:rPr>
          <w:rFonts w:cs="Arial"/>
          <w:lang w:val="fr-FR"/>
        </w:rPr>
      </w:pPr>
    </w:p>
    <w:p w14:paraId="60E182EE" w14:textId="77777777" w:rsidR="00E16720" w:rsidRPr="002B719B" w:rsidRDefault="00E16720">
      <w:pPr>
        <w:pStyle w:val="Heading3"/>
        <w:spacing w:before="0" w:after="0"/>
        <w:jc w:val="center"/>
        <w:rPr>
          <w:rFonts w:ascii="Arial" w:hAnsi="Arial" w:cs="Arial"/>
          <w:sz w:val="22"/>
          <w:szCs w:val="22"/>
          <w:lang w:val="fr-FR"/>
        </w:rPr>
      </w:pPr>
      <w:r w:rsidRPr="002B719B">
        <w:rPr>
          <w:rFonts w:ascii="Arial" w:hAnsi="Arial" w:cs="Arial"/>
          <w:sz w:val="22"/>
          <w:szCs w:val="22"/>
          <w:lang w:val="fr-FR"/>
        </w:rPr>
        <w:t>Vision</w:t>
      </w:r>
    </w:p>
    <w:p w14:paraId="201E70F3" w14:textId="77777777" w:rsidR="00E16720" w:rsidRPr="002B719B" w:rsidRDefault="00E16720">
      <w:pPr>
        <w:numPr>
          <w:ilvl w:val="0"/>
          <w:numId w:val="8"/>
        </w:numPr>
        <w:rPr>
          <w:rFonts w:cs="Arial"/>
          <w:lang w:val="fr-FR"/>
        </w:rPr>
      </w:pPr>
    </w:p>
    <w:p w14:paraId="4668DF32" w14:textId="3D32872F" w:rsidR="00E16720" w:rsidRPr="002B719B" w:rsidRDefault="002C685B" w:rsidP="002C685B">
      <w:pPr>
        <w:numPr>
          <w:ilvl w:val="0"/>
          <w:numId w:val="8"/>
        </w:numPr>
        <w:jc w:val="center"/>
        <w:rPr>
          <w:rFonts w:cs="Arial"/>
          <w:b/>
          <w:bCs/>
          <w:i/>
          <w:iCs/>
          <w:lang w:val="fr-FR"/>
        </w:rPr>
      </w:pPr>
      <w:r w:rsidRPr="002B719B">
        <w:rPr>
          <w:rFonts w:cs="Arial"/>
          <w:b/>
          <w:bCs/>
          <w:i/>
          <w:iCs/>
          <w:lang w:val="fr-FR"/>
        </w:rPr>
        <w:t>Accomplir des progrès tangibles vers une gestion durable du prélèvement de la viande d’animaux sauvages aquatiques en Afrique de l’Ouest et préserver un état de conservation positif de toutes les espèces concernées inscrites sur les listes de la CMS.</w:t>
      </w:r>
    </w:p>
    <w:p w14:paraId="404748DF" w14:textId="77777777" w:rsidR="00E16720" w:rsidRPr="002B719B" w:rsidRDefault="00E16720" w:rsidP="00E16720">
      <w:pPr>
        <w:rPr>
          <w:rFonts w:cs="Arial"/>
          <w:lang w:val="fr-FR"/>
        </w:rPr>
      </w:pPr>
    </w:p>
    <w:p w14:paraId="09C36656" w14:textId="77777777" w:rsidR="00E16720" w:rsidRPr="002B719B" w:rsidRDefault="00E16720" w:rsidP="00E16720">
      <w:pPr>
        <w:rPr>
          <w:rFonts w:cs="Arial"/>
          <w:lang w:val="fr-FR"/>
        </w:rPr>
      </w:pPr>
    </w:p>
    <w:p w14:paraId="618D404D" w14:textId="71A0C8C1" w:rsidR="00D20A8C" w:rsidRPr="002B719B" w:rsidRDefault="00E16720">
      <w:pPr>
        <w:pStyle w:val="Heading3"/>
        <w:spacing w:before="0" w:after="0"/>
        <w:jc w:val="center"/>
        <w:rPr>
          <w:rFonts w:ascii="Arial" w:hAnsi="Arial" w:cs="Arial"/>
          <w:sz w:val="22"/>
          <w:szCs w:val="22"/>
          <w:lang w:val="fr-FR"/>
        </w:rPr>
      </w:pPr>
      <w:r w:rsidRPr="002B719B">
        <w:rPr>
          <w:rFonts w:ascii="Arial" w:hAnsi="Arial" w:cs="Arial"/>
          <w:sz w:val="22"/>
          <w:szCs w:val="22"/>
          <w:lang w:val="fr-FR"/>
        </w:rPr>
        <w:t>Thème</w:t>
      </w:r>
      <w:r w:rsidR="00D8066D" w:rsidRPr="002B719B">
        <w:rPr>
          <w:rFonts w:ascii="Arial" w:hAnsi="Arial" w:cs="Arial"/>
          <w:sz w:val="22"/>
          <w:szCs w:val="22"/>
          <w:lang w:val="fr-FR"/>
        </w:rPr>
        <w:t> </w:t>
      </w:r>
      <w:r w:rsidRPr="002B719B">
        <w:rPr>
          <w:rFonts w:ascii="Arial" w:hAnsi="Arial" w:cs="Arial"/>
          <w:sz w:val="22"/>
          <w:szCs w:val="22"/>
          <w:lang w:val="fr-FR"/>
        </w:rPr>
        <w:t>1</w:t>
      </w:r>
      <w:r w:rsidR="00D8066D" w:rsidRPr="002B719B">
        <w:rPr>
          <w:rFonts w:ascii="Arial" w:hAnsi="Arial" w:cs="Arial"/>
          <w:sz w:val="22"/>
          <w:szCs w:val="22"/>
          <w:lang w:val="fr-FR"/>
        </w:rPr>
        <w:t> </w:t>
      </w:r>
      <w:r w:rsidRPr="002B719B">
        <w:rPr>
          <w:rFonts w:ascii="Arial" w:hAnsi="Arial" w:cs="Arial"/>
          <w:sz w:val="22"/>
          <w:szCs w:val="22"/>
          <w:lang w:val="fr-FR"/>
        </w:rPr>
        <w:t xml:space="preserve">: </w:t>
      </w:r>
    </w:p>
    <w:p w14:paraId="2839A41F" w14:textId="34FEA3B8" w:rsidR="00E16720" w:rsidRPr="002B719B" w:rsidRDefault="00392CA9">
      <w:pPr>
        <w:pStyle w:val="Heading3"/>
        <w:spacing w:before="0" w:after="0"/>
        <w:jc w:val="center"/>
        <w:rPr>
          <w:rFonts w:ascii="Arial" w:hAnsi="Arial" w:cs="Arial"/>
          <w:sz w:val="22"/>
          <w:szCs w:val="22"/>
          <w:lang w:val="fr-FR"/>
        </w:rPr>
      </w:pPr>
      <w:r w:rsidRPr="002B719B">
        <w:rPr>
          <w:rFonts w:ascii="Arial" w:hAnsi="Arial" w:cs="Arial"/>
          <w:sz w:val="22"/>
          <w:szCs w:val="22"/>
          <w:lang w:val="fr-FR"/>
        </w:rPr>
        <w:t>Etat des lieux des connaissances scientifiques et identification des insuffisances</w:t>
      </w:r>
    </w:p>
    <w:p w14:paraId="49EE7B5D" w14:textId="77777777" w:rsidR="000F64AD" w:rsidRPr="002B719B" w:rsidRDefault="000F64AD">
      <w:pPr>
        <w:numPr>
          <w:ilvl w:val="0"/>
          <w:numId w:val="8"/>
        </w:numPr>
        <w:rPr>
          <w:rFonts w:cs="Arial"/>
          <w:lang w:val="fr-FR"/>
        </w:rPr>
      </w:pPr>
    </w:p>
    <w:p w14:paraId="3C62D28F" w14:textId="77777777" w:rsidR="007831BF" w:rsidRPr="002B719B" w:rsidRDefault="007831BF" w:rsidP="007831BF">
      <w:pPr>
        <w:numPr>
          <w:ilvl w:val="0"/>
          <w:numId w:val="12"/>
        </w:numPr>
        <w:jc w:val="both"/>
        <w:rPr>
          <w:rFonts w:cs="Arial"/>
          <w:lang w:val="fr-FR"/>
        </w:rPr>
      </w:pPr>
      <w:r w:rsidRPr="002B719B">
        <w:rPr>
          <w:rFonts w:cs="Arial"/>
          <w:lang w:val="fr-FR"/>
        </w:rPr>
        <w:t>Les espèces aquatiques, y compris les mammifères, les reptiles, les poissons élasmobranches et les oiseaux aquatiques, sont régulièrement capturées dans les écosystèmes marins, côtiers et fluviaux. Le prélèvement et la consommation de viande d’animaux sauvages aquatiques dans ces écosystèmes sont très répandus. La recherche et les actions engagées pour la rendre accessible devraient être orientées pour aider les États de l'aire de répartition et les communautés à lutter contre les prélèvements non durables de viande sauvage aquatique.</w:t>
      </w:r>
    </w:p>
    <w:p w14:paraId="04C76A39" w14:textId="77777777" w:rsidR="00E16720" w:rsidRPr="002B719B" w:rsidRDefault="00E16720">
      <w:pPr>
        <w:numPr>
          <w:ilvl w:val="0"/>
          <w:numId w:val="8"/>
        </w:numPr>
        <w:rPr>
          <w:rFonts w:cs="Arial"/>
          <w:lang w:val="fr-FR"/>
        </w:rPr>
      </w:pPr>
    </w:p>
    <w:p w14:paraId="25B6B8D8" w14:textId="77777777" w:rsidR="002F2BD7" w:rsidRPr="002B719B" w:rsidRDefault="002F2BD7" w:rsidP="002F2BD7">
      <w:pPr>
        <w:numPr>
          <w:ilvl w:val="0"/>
          <w:numId w:val="12"/>
        </w:numPr>
        <w:jc w:val="both"/>
        <w:rPr>
          <w:rFonts w:cs="Arial"/>
          <w:lang w:val="fr-FR"/>
        </w:rPr>
      </w:pPr>
      <w:r w:rsidRPr="002B719B">
        <w:rPr>
          <w:rFonts w:cs="Arial"/>
          <w:lang w:val="fr-FR"/>
        </w:rPr>
        <w:t xml:space="preserve">Objectif thématique quinquennal : </w:t>
      </w:r>
      <w:r w:rsidRPr="002B719B">
        <w:rPr>
          <w:rFonts w:cs="Arial"/>
          <w:b/>
          <w:bCs/>
          <w:lang w:val="fr-FR"/>
        </w:rPr>
        <w:t>Mettre les connaissances scientifiques à la disposition des États de l’aire de répartition en Afrique de l’Ouest et encourager la collecte d’informations pour combler les lacunes de connaissances</w:t>
      </w:r>
    </w:p>
    <w:p w14:paraId="26A315F7" w14:textId="77777777" w:rsidR="00E16720" w:rsidRPr="002B719B" w:rsidRDefault="00E16720">
      <w:pPr>
        <w:numPr>
          <w:ilvl w:val="0"/>
          <w:numId w:val="8"/>
        </w:numPr>
        <w:rPr>
          <w:rFonts w:cs="Arial"/>
          <w:lang w:val="fr-FR"/>
        </w:rPr>
      </w:pPr>
    </w:p>
    <w:tbl>
      <w:tblPr>
        <w:tblStyle w:val="TableGrid"/>
        <w:tblW w:w="0" w:type="auto"/>
        <w:tblLook w:val="0000" w:firstRow="0" w:lastRow="0" w:firstColumn="0" w:lastColumn="0" w:noHBand="0" w:noVBand="0"/>
      </w:tblPr>
      <w:tblGrid>
        <w:gridCol w:w="2972"/>
        <w:gridCol w:w="4536"/>
        <w:gridCol w:w="2664"/>
        <w:gridCol w:w="1305"/>
        <w:gridCol w:w="2471"/>
      </w:tblGrid>
      <w:tr w:rsidR="004062E4" w:rsidRPr="00D53F47" w14:paraId="071B95BC" w14:textId="77777777" w:rsidTr="00442B25">
        <w:trPr>
          <w:tblHeader/>
        </w:trPr>
        <w:tc>
          <w:tcPr>
            <w:tcW w:w="2972" w:type="dxa"/>
            <w:shd w:val="clear" w:color="auto" w:fill="DEEAF6" w:themeFill="accent5" w:themeFillTint="33"/>
          </w:tcPr>
          <w:p w14:paraId="7F603E4A" w14:textId="77777777" w:rsidR="00FB1F1F" w:rsidRPr="00D53F47" w:rsidRDefault="00FB1F1F" w:rsidP="00D53F47">
            <w:pPr>
              <w:numPr>
                <w:ilvl w:val="0"/>
                <w:numId w:val="13"/>
              </w:numPr>
              <w:spacing w:before="40" w:after="40"/>
              <w:rPr>
                <w:rFonts w:ascii="Arial" w:eastAsia="Calibri" w:hAnsi="Arial" w:cs="Arial"/>
                <w:b/>
                <w:bCs/>
                <w:sz w:val="20"/>
                <w:szCs w:val="20"/>
                <w:lang w:val="fr-FR" w:eastAsia="en-GB"/>
              </w:rPr>
            </w:pPr>
            <w:r w:rsidRPr="00D53F47">
              <w:rPr>
                <w:rFonts w:ascii="Arial" w:eastAsia="Calibri" w:hAnsi="Arial" w:cs="Arial"/>
                <w:b/>
                <w:bCs/>
                <w:sz w:val="20"/>
                <w:szCs w:val="20"/>
                <w:lang w:val="fr-FR"/>
              </w:rPr>
              <w:t>Action</w:t>
            </w:r>
          </w:p>
        </w:tc>
        <w:tc>
          <w:tcPr>
            <w:tcW w:w="4536" w:type="dxa"/>
            <w:shd w:val="clear" w:color="auto" w:fill="DEEAF6" w:themeFill="accent5" w:themeFillTint="33"/>
          </w:tcPr>
          <w:p w14:paraId="2A429106" w14:textId="77777777" w:rsidR="00FB1F1F" w:rsidRPr="00D53F47" w:rsidRDefault="00FB1F1F" w:rsidP="00D53F47">
            <w:pPr>
              <w:numPr>
                <w:ilvl w:val="0"/>
                <w:numId w:val="13"/>
              </w:numPr>
              <w:spacing w:before="40" w:after="40"/>
              <w:rPr>
                <w:rFonts w:ascii="Arial" w:eastAsia="Calibri" w:hAnsi="Arial" w:cs="Arial"/>
                <w:b/>
                <w:bCs/>
                <w:sz w:val="20"/>
                <w:szCs w:val="20"/>
                <w:lang w:val="fr-FR" w:eastAsia="en-GB"/>
              </w:rPr>
            </w:pPr>
            <w:r w:rsidRPr="00D53F47">
              <w:rPr>
                <w:rFonts w:ascii="Arial" w:eastAsia="Calibri" w:hAnsi="Arial" w:cs="Arial"/>
                <w:b/>
                <w:bCs/>
                <w:sz w:val="20"/>
                <w:szCs w:val="20"/>
                <w:lang w:val="fr-FR"/>
              </w:rPr>
              <w:t>Activités</w:t>
            </w:r>
          </w:p>
        </w:tc>
        <w:tc>
          <w:tcPr>
            <w:tcW w:w="2664" w:type="dxa"/>
            <w:shd w:val="clear" w:color="auto" w:fill="DEEAF6" w:themeFill="accent5" w:themeFillTint="33"/>
          </w:tcPr>
          <w:p w14:paraId="56C25BA2" w14:textId="77777777" w:rsidR="00FB1F1F" w:rsidRPr="00D53F47" w:rsidRDefault="00FB1F1F" w:rsidP="00D53F47">
            <w:pPr>
              <w:numPr>
                <w:ilvl w:val="0"/>
                <w:numId w:val="13"/>
              </w:numPr>
              <w:spacing w:before="40" w:after="40"/>
              <w:rPr>
                <w:rFonts w:ascii="Arial" w:eastAsia="Calibri" w:hAnsi="Arial" w:cs="Arial"/>
                <w:b/>
                <w:bCs/>
                <w:sz w:val="20"/>
                <w:szCs w:val="20"/>
                <w:lang w:val="fr-FR" w:eastAsia="en-GB"/>
              </w:rPr>
            </w:pPr>
            <w:r w:rsidRPr="00D53F47">
              <w:rPr>
                <w:rFonts w:ascii="Arial" w:eastAsia="Calibri" w:hAnsi="Arial" w:cs="Arial"/>
                <w:b/>
                <w:bCs/>
                <w:sz w:val="20"/>
                <w:szCs w:val="20"/>
                <w:lang w:val="fr-FR"/>
              </w:rPr>
              <w:t>Responsable(s)</w:t>
            </w:r>
          </w:p>
        </w:tc>
        <w:tc>
          <w:tcPr>
            <w:tcW w:w="1305" w:type="dxa"/>
            <w:shd w:val="clear" w:color="auto" w:fill="DEEAF6" w:themeFill="accent5" w:themeFillTint="33"/>
          </w:tcPr>
          <w:p w14:paraId="7942487D" w14:textId="77777777" w:rsidR="00FB1F1F" w:rsidRPr="00D53F47" w:rsidRDefault="00FB1F1F" w:rsidP="00D53F47">
            <w:pPr>
              <w:numPr>
                <w:ilvl w:val="0"/>
                <w:numId w:val="13"/>
              </w:numPr>
              <w:spacing w:before="40" w:after="40"/>
              <w:rPr>
                <w:rFonts w:ascii="Arial" w:eastAsia="Calibri" w:hAnsi="Arial" w:cs="Arial"/>
                <w:b/>
                <w:bCs/>
                <w:sz w:val="20"/>
                <w:szCs w:val="20"/>
                <w:lang w:val="fr-FR" w:eastAsia="en-GB"/>
              </w:rPr>
            </w:pPr>
            <w:r w:rsidRPr="00D53F47">
              <w:rPr>
                <w:rFonts w:ascii="Arial" w:eastAsia="Calibri" w:hAnsi="Arial" w:cs="Arial"/>
                <w:b/>
                <w:bCs/>
                <w:sz w:val="20"/>
                <w:szCs w:val="20"/>
                <w:lang w:val="fr-FR"/>
              </w:rPr>
              <w:t>Calendrier</w:t>
            </w:r>
          </w:p>
        </w:tc>
        <w:tc>
          <w:tcPr>
            <w:tcW w:w="2471" w:type="dxa"/>
            <w:shd w:val="clear" w:color="auto" w:fill="DEEAF6" w:themeFill="accent5" w:themeFillTint="33"/>
          </w:tcPr>
          <w:p w14:paraId="7EE3E02A" w14:textId="77777777" w:rsidR="00FB1F1F" w:rsidRPr="00D53F47" w:rsidRDefault="00FB1F1F" w:rsidP="00D53F47">
            <w:pPr>
              <w:numPr>
                <w:ilvl w:val="0"/>
                <w:numId w:val="13"/>
              </w:numPr>
              <w:spacing w:before="40" w:after="40"/>
              <w:rPr>
                <w:rFonts w:ascii="Arial" w:eastAsia="Calibri" w:hAnsi="Arial" w:cs="Arial"/>
                <w:b/>
                <w:bCs/>
                <w:sz w:val="20"/>
                <w:szCs w:val="20"/>
                <w:lang w:val="fr-FR" w:eastAsia="en-GB"/>
              </w:rPr>
            </w:pPr>
            <w:r w:rsidRPr="00D53F47">
              <w:rPr>
                <w:rFonts w:ascii="Arial" w:eastAsia="Calibri" w:hAnsi="Arial" w:cs="Arial"/>
                <w:b/>
                <w:bCs/>
                <w:sz w:val="20"/>
                <w:szCs w:val="20"/>
                <w:lang w:val="fr-FR"/>
              </w:rPr>
              <w:t>Ressources nécessaires</w:t>
            </w:r>
          </w:p>
        </w:tc>
      </w:tr>
      <w:tr w:rsidR="004062E4" w:rsidRPr="00D53F47" w14:paraId="56F68530" w14:textId="77777777" w:rsidTr="00442B25">
        <w:tc>
          <w:tcPr>
            <w:tcW w:w="2972" w:type="dxa"/>
            <w:vMerge w:val="restart"/>
          </w:tcPr>
          <w:p w14:paraId="23C153FF" w14:textId="77777777" w:rsidR="00D848D4" w:rsidRPr="00D53F47" w:rsidRDefault="00D848D4" w:rsidP="00D53F47">
            <w:p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1.1. Consolider les connaissances scientifiques sur l’impact du prélèvement d’animaux sauvages aquatiques pour leur viande sur les espèces inscrites sur les listes de la CMS</w:t>
            </w:r>
          </w:p>
        </w:tc>
        <w:tc>
          <w:tcPr>
            <w:tcW w:w="4536" w:type="dxa"/>
          </w:tcPr>
          <w:p w14:paraId="4AC01B3A" w14:textId="0460F395" w:rsidR="00D848D4" w:rsidRPr="00D53F47" w:rsidRDefault="00D848D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1.1.1. Elaborer une note synthèse sur les connaissances scientifiques pour chaque pays, avec des liens vers les documents publiés et dans la langue appropriée pour chaque pays</w:t>
            </w:r>
          </w:p>
        </w:tc>
        <w:tc>
          <w:tcPr>
            <w:tcW w:w="2664" w:type="dxa"/>
          </w:tcPr>
          <w:p w14:paraId="46E165BF" w14:textId="7AFD1B83" w:rsidR="00D848D4" w:rsidRPr="00D53F47" w:rsidRDefault="00D848D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Groupe de travail de la CMS sur la viande d’animaux sauvages aquatiques (AWM WG en collaboration avec les points focaux)</w:t>
            </w:r>
          </w:p>
        </w:tc>
        <w:tc>
          <w:tcPr>
            <w:tcW w:w="1305" w:type="dxa"/>
          </w:tcPr>
          <w:p w14:paraId="50093CE2" w14:textId="5E6186D7" w:rsidR="00D848D4" w:rsidRPr="00D53F47" w:rsidRDefault="00D848D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2024</w:t>
            </w:r>
          </w:p>
        </w:tc>
        <w:tc>
          <w:tcPr>
            <w:tcW w:w="2471" w:type="dxa"/>
          </w:tcPr>
          <w:p w14:paraId="0D71848B" w14:textId="40E109B7" w:rsidR="00D848D4" w:rsidRPr="00D53F47" w:rsidRDefault="00D848D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Temps de recherche documentaire et de rédaction</w:t>
            </w:r>
          </w:p>
        </w:tc>
      </w:tr>
      <w:tr w:rsidR="004062E4" w:rsidRPr="00D53F47" w14:paraId="60A3ABA0" w14:textId="77777777" w:rsidTr="00442B25">
        <w:tc>
          <w:tcPr>
            <w:tcW w:w="2972" w:type="dxa"/>
            <w:vMerge/>
          </w:tcPr>
          <w:p w14:paraId="7DBE9593" w14:textId="77777777" w:rsidR="00D848D4" w:rsidRPr="00D53F47" w:rsidRDefault="00D848D4" w:rsidP="00D53F47">
            <w:pPr>
              <w:spacing w:before="40" w:after="40"/>
              <w:rPr>
                <w:rFonts w:ascii="Arial" w:eastAsia="Calibri" w:hAnsi="Arial" w:cs="Arial"/>
                <w:sz w:val="20"/>
                <w:szCs w:val="20"/>
                <w:lang w:val="fr-FR" w:eastAsia="en-GB"/>
              </w:rPr>
            </w:pPr>
          </w:p>
        </w:tc>
        <w:tc>
          <w:tcPr>
            <w:tcW w:w="4536" w:type="dxa"/>
          </w:tcPr>
          <w:p w14:paraId="137D1487" w14:textId="70EE2B7E" w:rsidR="00D848D4" w:rsidRPr="00D53F47" w:rsidRDefault="00D848D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1.1.2. Mettre à disposition de tous les États de l’aire de répartition concernés par le plan d’action la note synthèse</w:t>
            </w:r>
          </w:p>
        </w:tc>
        <w:tc>
          <w:tcPr>
            <w:tcW w:w="2664" w:type="dxa"/>
          </w:tcPr>
          <w:p w14:paraId="408936B7" w14:textId="5D51D156" w:rsidR="00D848D4" w:rsidRPr="00D53F47" w:rsidRDefault="00D848D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Secrétariat de la CMS</w:t>
            </w:r>
          </w:p>
        </w:tc>
        <w:tc>
          <w:tcPr>
            <w:tcW w:w="1305" w:type="dxa"/>
          </w:tcPr>
          <w:p w14:paraId="6B04E2BE" w14:textId="62B0E5E6" w:rsidR="00D848D4" w:rsidRPr="00D53F47" w:rsidRDefault="00D848D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2024</w:t>
            </w:r>
          </w:p>
        </w:tc>
        <w:tc>
          <w:tcPr>
            <w:tcW w:w="2471" w:type="dxa"/>
          </w:tcPr>
          <w:p w14:paraId="357B922D" w14:textId="774EF46C" w:rsidR="00D848D4" w:rsidRPr="00D53F47" w:rsidRDefault="00D848D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Temps de travail du personnel du Secrétariat</w:t>
            </w:r>
          </w:p>
        </w:tc>
      </w:tr>
      <w:tr w:rsidR="004062E4" w:rsidRPr="00D53F47" w14:paraId="317E9613" w14:textId="77777777" w:rsidTr="00442B25">
        <w:tc>
          <w:tcPr>
            <w:tcW w:w="2972" w:type="dxa"/>
            <w:vMerge w:val="restart"/>
          </w:tcPr>
          <w:p w14:paraId="4E7E3692" w14:textId="77777777" w:rsidR="00D848D4" w:rsidRPr="00D53F47" w:rsidRDefault="00D848D4" w:rsidP="00D53F47">
            <w:p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1.2. Identifier et combler les lacunes dans les connaissances scientifiques</w:t>
            </w:r>
          </w:p>
        </w:tc>
        <w:tc>
          <w:tcPr>
            <w:tcW w:w="4536" w:type="dxa"/>
          </w:tcPr>
          <w:p w14:paraId="5B0055F4" w14:textId="426D1251" w:rsidR="00D848D4" w:rsidRPr="00D53F47" w:rsidRDefault="00D848D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1.2.1. Évaluer les connaissances scientifiques par rapport à la répartition des espèces dans chaque État de l’aire de répartition et identifier les lacunes de connaissances</w:t>
            </w:r>
          </w:p>
        </w:tc>
        <w:tc>
          <w:tcPr>
            <w:tcW w:w="2664" w:type="dxa"/>
          </w:tcPr>
          <w:p w14:paraId="36EE6674" w14:textId="4461107B" w:rsidR="00D848D4" w:rsidRPr="00D53F47" w:rsidRDefault="00D848D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Points focaux de l’Afrique de l’Ouest de la CMS, CITES, Convention d’Abidjan, Ramsar, UICN et FAO</w:t>
            </w:r>
          </w:p>
        </w:tc>
        <w:tc>
          <w:tcPr>
            <w:tcW w:w="1305" w:type="dxa"/>
          </w:tcPr>
          <w:p w14:paraId="72DD50CC" w14:textId="60BB3ACD" w:rsidR="00D848D4" w:rsidRPr="00D53F47" w:rsidRDefault="00D848D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2024-2026</w:t>
            </w:r>
          </w:p>
        </w:tc>
        <w:tc>
          <w:tcPr>
            <w:tcW w:w="2471" w:type="dxa"/>
          </w:tcPr>
          <w:p w14:paraId="2F718817" w14:textId="67FD799B" w:rsidR="00D848D4" w:rsidRPr="00D53F47" w:rsidRDefault="00D848D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 xml:space="preserve">Temps de travail interne </w:t>
            </w:r>
          </w:p>
        </w:tc>
      </w:tr>
      <w:tr w:rsidR="004062E4" w:rsidRPr="00D53F47" w14:paraId="7F8F36AF" w14:textId="77777777" w:rsidTr="00442B25">
        <w:tc>
          <w:tcPr>
            <w:tcW w:w="2972" w:type="dxa"/>
            <w:vMerge/>
          </w:tcPr>
          <w:p w14:paraId="605027D3" w14:textId="77777777" w:rsidR="00D848D4" w:rsidRPr="00D53F47" w:rsidRDefault="00D848D4" w:rsidP="00D53F47">
            <w:pPr>
              <w:numPr>
                <w:ilvl w:val="0"/>
                <w:numId w:val="13"/>
              </w:numPr>
              <w:spacing w:before="40" w:after="40"/>
              <w:rPr>
                <w:rFonts w:ascii="Arial" w:eastAsia="Calibri" w:hAnsi="Arial" w:cs="Arial"/>
                <w:sz w:val="20"/>
                <w:szCs w:val="20"/>
                <w:lang w:val="fr-FR" w:eastAsia="en-GB"/>
              </w:rPr>
            </w:pPr>
          </w:p>
        </w:tc>
        <w:tc>
          <w:tcPr>
            <w:tcW w:w="4536" w:type="dxa"/>
          </w:tcPr>
          <w:p w14:paraId="7C7D2B5A" w14:textId="77777777" w:rsidR="00D848D4" w:rsidRPr="00D53F47" w:rsidRDefault="00D848D4" w:rsidP="00D53F47">
            <w:p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1.2.2. Recenser et approcher les institutions scientifiques clés et mener ensemble avec elles des campagnes de recherches de financement pour promouvoir leur contributions au plan d’action en menant des projets de recherche essentiels sur les lacunes les plus pressantes en matière d’informations, par exemple sur :</w:t>
            </w:r>
          </w:p>
          <w:p w14:paraId="68F50651" w14:textId="77777777" w:rsidR="00D848D4" w:rsidRPr="00D53F47" w:rsidRDefault="00D848D4" w:rsidP="00D53F47">
            <w:pPr>
              <w:numPr>
                <w:ilvl w:val="0"/>
                <w:numId w:val="13"/>
              </w:numPr>
              <w:spacing w:before="40" w:after="40"/>
              <w:rPr>
                <w:rFonts w:ascii="Arial" w:eastAsia="Calibri" w:hAnsi="Arial" w:cs="Arial"/>
                <w:sz w:val="20"/>
                <w:szCs w:val="20"/>
                <w:lang w:val="fr-FR" w:eastAsia="en-GB"/>
              </w:rPr>
            </w:pPr>
          </w:p>
          <w:p w14:paraId="734601D1" w14:textId="79E3500C" w:rsidR="00D848D4" w:rsidRPr="00D53F47" w:rsidRDefault="00D848D4" w:rsidP="00D53F47">
            <w:p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a) les aspects socioculturels du prélèvement et de la consommation de viande d’animaux sauvages aquatiques, y compris le rôle des systèmes de tabous ;</w:t>
            </w:r>
          </w:p>
          <w:p w14:paraId="5FC0A696" w14:textId="77777777" w:rsidR="00D848D4" w:rsidRPr="00D53F47" w:rsidRDefault="00D848D4" w:rsidP="00D53F47">
            <w:pPr>
              <w:spacing w:before="40" w:after="40"/>
              <w:rPr>
                <w:rFonts w:ascii="Arial" w:eastAsia="Calibri" w:hAnsi="Arial" w:cs="Arial"/>
                <w:sz w:val="20"/>
                <w:szCs w:val="20"/>
                <w:lang w:val="fr-FR" w:eastAsia="en-GB"/>
              </w:rPr>
            </w:pPr>
          </w:p>
          <w:p w14:paraId="78B0231E" w14:textId="01201446" w:rsidR="00D848D4" w:rsidRPr="00D53F47" w:rsidRDefault="00D848D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eastAsia="en-GB"/>
              </w:rPr>
              <w:t xml:space="preserve">b) </w:t>
            </w:r>
            <w:r w:rsidRPr="00D53F47">
              <w:rPr>
                <w:rFonts w:ascii="Arial" w:eastAsia="Calibri" w:hAnsi="Arial" w:cs="Arial"/>
                <w:sz w:val="20"/>
                <w:szCs w:val="20"/>
                <w:lang w:val="fr-FR"/>
              </w:rPr>
              <w:t>les rôles nutritionnels de la viande d’animaux sauvages aquatiques ;</w:t>
            </w:r>
          </w:p>
          <w:p w14:paraId="18402206" w14:textId="77777777" w:rsidR="00D848D4" w:rsidRPr="00D53F47" w:rsidRDefault="00D848D4" w:rsidP="00D53F47">
            <w:pPr>
              <w:numPr>
                <w:ilvl w:val="0"/>
                <w:numId w:val="13"/>
              </w:numPr>
              <w:spacing w:before="40" w:after="40"/>
              <w:rPr>
                <w:rFonts w:ascii="Arial" w:eastAsia="Calibri" w:hAnsi="Arial" w:cs="Arial"/>
                <w:sz w:val="20"/>
                <w:szCs w:val="20"/>
                <w:lang w:val="fr-FR" w:eastAsia="en-GB"/>
              </w:rPr>
            </w:pPr>
          </w:p>
          <w:p w14:paraId="35E23E76" w14:textId="28FE7BF0" w:rsidR="00D848D4" w:rsidRPr="00D53F47" w:rsidRDefault="00D848D4" w:rsidP="00D53F47">
            <w:p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eastAsia="en-GB"/>
              </w:rPr>
              <w:t xml:space="preserve">c) </w:t>
            </w:r>
            <w:r w:rsidRPr="00D53F47">
              <w:rPr>
                <w:rFonts w:ascii="Arial" w:eastAsia="Calibri" w:hAnsi="Arial" w:cs="Arial"/>
                <w:sz w:val="20"/>
                <w:szCs w:val="20"/>
                <w:lang w:val="fr-FR"/>
              </w:rPr>
              <w:t>les évaluations quantitatives de la consommation et du commerce de viande d’animaux sauvages aquatiques afin de mieux en comprendre la demande et les circuits commerciaux ;</w:t>
            </w:r>
          </w:p>
          <w:p w14:paraId="43830DCF" w14:textId="77777777" w:rsidR="00D848D4" w:rsidRPr="00D53F47" w:rsidRDefault="00D848D4" w:rsidP="00D53F47">
            <w:pPr>
              <w:numPr>
                <w:ilvl w:val="0"/>
                <w:numId w:val="13"/>
              </w:numPr>
              <w:spacing w:before="40" w:after="40"/>
              <w:rPr>
                <w:rFonts w:ascii="Arial" w:eastAsia="Calibri" w:hAnsi="Arial" w:cs="Arial"/>
                <w:sz w:val="20"/>
                <w:szCs w:val="20"/>
                <w:lang w:val="fr-FR" w:eastAsia="en-GB"/>
              </w:rPr>
            </w:pPr>
          </w:p>
          <w:p w14:paraId="7054C34C" w14:textId="2EDCAA22" w:rsidR="00D848D4" w:rsidRPr="00D53F47" w:rsidRDefault="00D848D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eastAsia="en-GB"/>
              </w:rPr>
              <w:t xml:space="preserve">d) </w:t>
            </w:r>
            <w:r w:rsidRPr="00D53F47">
              <w:rPr>
                <w:rFonts w:ascii="Arial" w:eastAsia="Calibri" w:hAnsi="Arial" w:cs="Arial"/>
                <w:sz w:val="20"/>
                <w:szCs w:val="20"/>
                <w:lang w:val="fr-FR"/>
              </w:rPr>
              <w:t>la durabilité écologique des prélèvements actuels, ainsi que les paramètres et processus démographiques et les stratégies de gestion basées sur la science qui sont nécessaires pour remédier aux problèmes, en particulier ceux induits par les effets du changement climatique sur les habitats.</w:t>
            </w:r>
          </w:p>
          <w:p w14:paraId="7ED52AB3" w14:textId="77777777" w:rsidR="00D848D4" w:rsidRPr="00D53F47" w:rsidRDefault="00D848D4" w:rsidP="00D53F47">
            <w:pPr>
              <w:numPr>
                <w:ilvl w:val="0"/>
                <w:numId w:val="13"/>
              </w:numPr>
              <w:spacing w:before="40" w:after="40"/>
              <w:rPr>
                <w:rFonts w:ascii="Arial" w:eastAsia="Calibri" w:hAnsi="Arial" w:cs="Arial"/>
                <w:sz w:val="20"/>
                <w:szCs w:val="20"/>
                <w:lang w:val="fr-FR" w:eastAsia="en-GB"/>
              </w:rPr>
            </w:pPr>
          </w:p>
          <w:p w14:paraId="2BB85BC5" w14:textId="74CE8D94" w:rsidR="00D848D4" w:rsidRPr="00D53F47" w:rsidRDefault="00D848D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eastAsia="en-GB"/>
              </w:rPr>
              <w:t xml:space="preserve">e) </w:t>
            </w:r>
            <w:r w:rsidRPr="00D53F47">
              <w:rPr>
                <w:rFonts w:ascii="Arial" w:eastAsia="Calibri" w:hAnsi="Arial" w:cs="Arial"/>
                <w:sz w:val="20"/>
                <w:szCs w:val="20"/>
                <w:lang w:val="fr-FR"/>
              </w:rPr>
              <w:t>la conception et l’expérimentation de méthodes de pêche visant à minimiser et, à terme, à éliminer la mortalité des prises accidentelles ;</w:t>
            </w:r>
          </w:p>
          <w:p w14:paraId="5EBE46E2" w14:textId="3416515B" w:rsidR="00D848D4" w:rsidRPr="00D53F47" w:rsidRDefault="00D848D4" w:rsidP="00D53F47">
            <w:p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eastAsia="en-GB"/>
              </w:rPr>
              <w:lastRenderedPageBreak/>
              <w:t xml:space="preserve">f) </w:t>
            </w:r>
            <w:r w:rsidRPr="00D53F47">
              <w:rPr>
                <w:rFonts w:ascii="Arial" w:eastAsia="Calibri" w:hAnsi="Arial" w:cs="Arial"/>
                <w:sz w:val="20"/>
                <w:szCs w:val="20"/>
                <w:lang w:val="fr-FR"/>
              </w:rPr>
              <w:t>l’utilisation de viande d’animaux sauvages aquatiques comme appât pour d’autres types de pêche commerciale et sur la possibilité d’utiliser d’autres appâts pouvant être obtenus de manière durable ;</w:t>
            </w:r>
          </w:p>
          <w:p w14:paraId="44B23CB8" w14:textId="77777777" w:rsidR="00D848D4" w:rsidRPr="00D53F47" w:rsidRDefault="00D848D4" w:rsidP="00D53F47">
            <w:pPr>
              <w:numPr>
                <w:ilvl w:val="0"/>
                <w:numId w:val="13"/>
              </w:numPr>
              <w:spacing w:before="40" w:after="40"/>
              <w:rPr>
                <w:rFonts w:ascii="Arial" w:eastAsia="Calibri" w:hAnsi="Arial" w:cs="Arial"/>
                <w:sz w:val="20"/>
                <w:szCs w:val="20"/>
                <w:lang w:val="fr-FR" w:eastAsia="en-GB"/>
              </w:rPr>
            </w:pPr>
          </w:p>
          <w:p w14:paraId="432402DC" w14:textId="11E9B3BF" w:rsidR="00D848D4" w:rsidRPr="00D53F47" w:rsidRDefault="00D848D4" w:rsidP="00D53F47">
            <w:pPr>
              <w:numPr>
                <w:ilvl w:val="0"/>
                <w:numId w:val="13"/>
              </w:numPr>
              <w:spacing w:before="40" w:after="40"/>
              <w:rPr>
                <w:rFonts w:ascii="Arial" w:eastAsia="Calibri" w:hAnsi="Arial" w:cs="Arial"/>
                <w:sz w:val="20"/>
                <w:szCs w:val="20"/>
                <w:lang w:val="fr-FR"/>
              </w:rPr>
            </w:pPr>
            <w:r w:rsidRPr="00D53F47">
              <w:rPr>
                <w:rFonts w:ascii="Arial" w:eastAsia="Calibri" w:hAnsi="Arial" w:cs="Arial"/>
                <w:sz w:val="20"/>
                <w:szCs w:val="20"/>
                <w:lang w:val="fr-FR" w:eastAsia="en-GB"/>
              </w:rPr>
              <w:t xml:space="preserve">g) </w:t>
            </w:r>
            <w:r w:rsidRPr="00D53F47">
              <w:rPr>
                <w:rFonts w:ascii="Arial" w:eastAsia="Calibri" w:hAnsi="Arial" w:cs="Arial"/>
                <w:sz w:val="20"/>
                <w:szCs w:val="20"/>
                <w:lang w:val="fr-FR"/>
              </w:rPr>
              <w:t>les routes migratoires de la mégafaune aquatique, afin de mieux comprendre le rôle de l’immigration et de l’émigration dans l’exploitation des populations d’animaux sauvages aquatiques pour leur viande</w:t>
            </w:r>
          </w:p>
          <w:p w14:paraId="578E7EF2" w14:textId="77777777" w:rsidR="00D848D4" w:rsidRPr="00D53F47" w:rsidRDefault="00D848D4" w:rsidP="00D53F47">
            <w:pPr>
              <w:spacing w:before="40" w:after="40"/>
              <w:rPr>
                <w:rFonts w:ascii="Arial" w:eastAsia="Calibri" w:hAnsi="Arial" w:cs="Arial"/>
                <w:sz w:val="20"/>
                <w:szCs w:val="20"/>
                <w:lang w:val="fr-FR"/>
              </w:rPr>
            </w:pPr>
          </w:p>
          <w:p w14:paraId="7E14AA15" w14:textId="502ACAA8" w:rsidR="00D848D4" w:rsidRPr="00D53F47" w:rsidRDefault="00D848D4" w:rsidP="00D53F47">
            <w:p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eastAsia="en-GB"/>
              </w:rPr>
              <w:t>h) l’incidence et impacts des zoonose aquatiques (approche une seule santé et définir les mesures d’atténuation appropriées)</w:t>
            </w:r>
          </w:p>
        </w:tc>
        <w:tc>
          <w:tcPr>
            <w:tcW w:w="2664" w:type="dxa"/>
          </w:tcPr>
          <w:p w14:paraId="79CDDF10" w14:textId="4031DB88" w:rsidR="00D848D4" w:rsidRPr="00D53F47" w:rsidRDefault="00D848D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lastRenderedPageBreak/>
              <w:t>AWM WG</w:t>
            </w:r>
          </w:p>
        </w:tc>
        <w:tc>
          <w:tcPr>
            <w:tcW w:w="1305" w:type="dxa"/>
          </w:tcPr>
          <w:p w14:paraId="69F35754" w14:textId="325AB2A2" w:rsidR="00D848D4" w:rsidRPr="00D53F47" w:rsidRDefault="00D848D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2024</w:t>
            </w:r>
          </w:p>
        </w:tc>
        <w:tc>
          <w:tcPr>
            <w:tcW w:w="2471" w:type="dxa"/>
          </w:tcPr>
          <w:p w14:paraId="376A2EB9" w14:textId="2A4E3E48" w:rsidR="00D848D4" w:rsidRPr="00D53F47" w:rsidRDefault="00D848D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Temps de travail interne du AWM WG pour appuyer les efforts de collecte de fonds et susciter des engagements en vue de commencer les activités de recherches scientifiques</w:t>
            </w:r>
          </w:p>
        </w:tc>
      </w:tr>
      <w:tr w:rsidR="004062E4" w:rsidRPr="00D53F47" w14:paraId="1370E1A5" w14:textId="77777777" w:rsidTr="00442B25">
        <w:tc>
          <w:tcPr>
            <w:tcW w:w="2972" w:type="dxa"/>
            <w:vMerge/>
          </w:tcPr>
          <w:p w14:paraId="6CA1A422" w14:textId="77777777" w:rsidR="00D848D4" w:rsidRPr="00D53F47" w:rsidRDefault="00D848D4" w:rsidP="00D53F47">
            <w:pPr>
              <w:spacing w:before="40" w:after="40"/>
              <w:rPr>
                <w:rFonts w:ascii="Arial" w:eastAsia="Calibri" w:hAnsi="Arial" w:cs="Arial"/>
                <w:sz w:val="20"/>
                <w:szCs w:val="20"/>
                <w:lang w:val="fr-FR" w:eastAsia="en-GB"/>
              </w:rPr>
            </w:pPr>
          </w:p>
        </w:tc>
        <w:tc>
          <w:tcPr>
            <w:tcW w:w="4536" w:type="dxa"/>
          </w:tcPr>
          <w:p w14:paraId="1022A8A9" w14:textId="14C7D246" w:rsidR="00D848D4" w:rsidRPr="00D53F47" w:rsidRDefault="00D848D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1.2.3. Encourager la mise en place et l’expansion de réseaux d’experts compétents et d’acteurs locaux ayant des informations importantes, en particulier, mais pas exclusivement au sein du Groupe de travail de la CMS sur la viande d’animaux sauvages aquatiques et le Réseau d’Abidjan sur la faune sauvage aquatique (travaillant en étroite collaboration avec d’autres grands réseaux en Afrique de l’Ouest) afin d’aider les États de l’aire de répartition à mettre en œuvre le plan d’action</w:t>
            </w:r>
          </w:p>
        </w:tc>
        <w:tc>
          <w:tcPr>
            <w:tcW w:w="2664" w:type="dxa"/>
          </w:tcPr>
          <w:p w14:paraId="1CAD1C0F" w14:textId="689B8899" w:rsidR="00D848D4" w:rsidRPr="00D53F47" w:rsidRDefault="00D848D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AWM WG</w:t>
            </w:r>
          </w:p>
        </w:tc>
        <w:tc>
          <w:tcPr>
            <w:tcW w:w="1305" w:type="dxa"/>
          </w:tcPr>
          <w:p w14:paraId="381A3BEC" w14:textId="3731511E" w:rsidR="00D848D4" w:rsidRPr="00D53F47" w:rsidRDefault="00D848D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2024-2029</w:t>
            </w:r>
          </w:p>
        </w:tc>
        <w:tc>
          <w:tcPr>
            <w:tcW w:w="2471" w:type="dxa"/>
          </w:tcPr>
          <w:p w14:paraId="6179A9B8" w14:textId="3192CF41" w:rsidR="00D848D4" w:rsidRPr="00D53F47" w:rsidRDefault="00D848D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 xml:space="preserve">Temps de travail interne du AWM WG </w:t>
            </w:r>
          </w:p>
        </w:tc>
      </w:tr>
    </w:tbl>
    <w:p w14:paraId="3B4DC895" w14:textId="77777777" w:rsidR="00442B25" w:rsidRPr="002B719B" w:rsidRDefault="00442B25">
      <w:pPr>
        <w:rPr>
          <w:rFonts w:cs="Arial"/>
          <w:lang w:val="fr-FR"/>
        </w:rPr>
      </w:pPr>
      <w:r w:rsidRPr="002B719B">
        <w:rPr>
          <w:rFonts w:cs="Arial"/>
          <w:lang w:val="fr-FR"/>
        </w:rPr>
        <w:br w:type="page"/>
      </w:r>
    </w:p>
    <w:p w14:paraId="584206BF" w14:textId="43536A61" w:rsidR="00D20A8C" w:rsidRPr="002B719B" w:rsidRDefault="00E16720">
      <w:pPr>
        <w:pStyle w:val="Heading3"/>
        <w:spacing w:before="0" w:after="0"/>
        <w:jc w:val="center"/>
        <w:rPr>
          <w:rFonts w:ascii="Arial" w:hAnsi="Arial" w:cs="Arial"/>
          <w:sz w:val="22"/>
          <w:szCs w:val="22"/>
          <w:lang w:val="fr-FR"/>
        </w:rPr>
      </w:pPr>
      <w:r w:rsidRPr="002B719B">
        <w:rPr>
          <w:rFonts w:ascii="Arial" w:hAnsi="Arial" w:cs="Arial"/>
          <w:sz w:val="22"/>
          <w:szCs w:val="22"/>
          <w:lang w:val="fr-FR"/>
        </w:rPr>
        <w:lastRenderedPageBreak/>
        <w:t>Thème</w:t>
      </w:r>
      <w:r w:rsidR="00D8066D" w:rsidRPr="002B719B">
        <w:rPr>
          <w:rFonts w:ascii="Arial" w:hAnsi="Arial" w:cs="Arial"/>
          <w:sz w:val="22"/>
          <w:szCs w:val="22"/>
          <w:lang w:val="fr-FR"/>
        </w:rPr>
        <w:t> </w:t>
      </w:r>
      <w:r w:rsidRPr="002B719B">
        <w:rPr>
          <w:rFonts w:ascii="Arial" w:hAnsi="Arial" w:cs="Arial"/>
          <w:sz w:val="22"/>
          <w:szCs w:val="22"/>
          <w:lang w:val="fr-FR"/>
        </w:rPr>
        <w:t>2</w:t>
      </w:r>
      <w:r w:rsidR="00D8066D" w:rsidRPr="002B719B">
        <w:rPr>
          <w:rFonts w:ascii="Arial" w:hAnsi="Arial" w:cs="Arial"/>
          <w:sz w:val="22"/>
          <w:szCs w:val="22"/>
          <w:lang w:val="fr-FR"/>
        </w:rPr>
        <w:t> </w:t>
      </w:r>
      <w:r w:rsidRPr="002B719B">
        <w:rPr>
          <w:rFonts w:ascii="Arial" w:hAnsi="Arial" w:cs="Arial"/>
          <w:sz w:val="22"/>
          <w:szCs w:val="22"/>
          <w:lang w:val="fr-FR"/>
        </w:rPr>
        <w:t xml:space="preserve">: </w:t>
      </w:r>
    </w:p>
    <w:p w14:paraId="7000E784" w14:textId="4E69AF26" w:rsidR="00E16720" w:rsidRPr="002B719B" w:rsidRDefault="00831BC4">
      <w:pPr>
        <w:pStyle w:val="Heading3"/>
        <w:spacing w:before="0" w:after="0"/>
        <w:jc w:val="center"/>
        <w:rPr>
          <w:rFonts w:ascii="Arial" w:hAnsi="Arial" w:cs="Arial"/>
          <w:sz w:val="22"/>
          <w:szCs w:val="22"/>
          <w:lang w:val="fr-FR"/>
        </w:rPr>
      </w:pPr>
      <w:r w:rsidRPr="002B719B">
        <w:rPr>
          <w:rFonts w:ascii="Arial" w:hAnsi="Arial" w:cs="Arial"/>
          <w:sz w:val="22"/>
          <w:szCs w:val="22"/>
          <w:lang w:val="fr-FR"/>
        </w:rPr>
        <w:t>Comprendre les raisons et les pressions liés au prélèvement de la viande d’animaux sauvages aquatiques</w:t>
      </w:r>
    </w:p>
    <w:p w14:paraId="3A1C8E62" w14:textId="77777777" w:rsidR="0054142C" w:rsidRPr="002B719B" w:rsidRDefault="0054142C">
      <w:pPr>
        <w:numPr>
          <w:ilvl w:val="0"/>
          <w:numId w:val="8"/>
        </w:numPr>
        <w:jc w:val="both"/>
        <w:rPr>
          <w:rFonts w:cs="Arial"/>
          <w:lang w:val="fr-FR"/>
        </w:rPr>
      </w:pPr>
    </w:p>
    <w:p w14:paraId="62CD024C" w14:textId="77777777" w:rsidR="007109E2" w:rsidRPr="002B719B" w:rsidRDefault="007109E2" w:rsidP="007109E2">
      <w:pPr>
        <w:numPr>
          <w:ilvl w:val="0"/>
          <w:numId w:val="12"/>
        </w:numPr>
        <w:jc w:val="both"/>
        <w:rPr>
          <w:rFonts w:cs="Arial"/>
          <w:lang w:val="fr-FR"/>
        </w:rPr>
      </w:pPr>
      <w:r w:rsidRPr="002B719B">
        <w:rPr>
          <w:rFonts w:cs="Arial"/>
          <w:lang w:val="fr-FR"/>
        </w:rPr>
        <w:t>Il est important de comprendre les facteurs et les pressions qui s'exercent sur les prélèvements de viande d’animaux sauvages aquatiques dans la région et au sein des communautés pour concevoir des programmes d'atténuation. Il convient donc de rassembler et de diffuser des informations permettant d'approfondir ces données.</w:t>
      </w:r>
    </w:p>
    <w:p w14:paraId="474DBE51" w14:textId="77777777" w:rsidR="00E16720" w:rsidRPr="002B719B" w:rsidRDefault="00E16720">
      <w:pPr>
        <w:numPr>
          <w:ilvl w:val="0"/>
          <w:numId w:val="8"/>
        </w:numPr>
        <w:jc w:val="both"/>
        <w:rPr>
          <w:rFonts w:cs="Arial"/>
          <w:lang w:val="fr-FR"/>
        </w:rPr>
      </w:pPr>
    </w:p>
    <w:p w14:paraId="2076A20D" w14:textId="77777777" w:rsidR="00641DD6" w:rsidRPr="002B719B" w:rsidRDefault="00641DD6" w:rsidP="00641DD6">
      <w:pPr>
        <w:numPr>
          <w:ilvl w:val="0"/>
          <w:numId w:val="12"/>
        </w:numPr>
        <w:jc w:val="both"/>
        <w:rPr>
          <w:rFonts w:cs="Arial"/>
          <w:lang w:val="fr-FR"/>
        </w:rPr>
      </w:pPr>
      <w:r w:rsidRPr="002B719B">
        <w:rPr>
          <w:rFonts w:cs="Arial"/>
          <w:lang w:val="fr-FR"/>
        </w:rPr>
        <w:t xml:space="preserve">Objectif thématique quinquennal : </w:t>
      </w:r>
      <w:r w:rsidRPr="002B719B">
        <w:rPr>
          <w:rFonts w:cs="Arial"/>
          <w:b/>
          <w:bCs/>
          <w:lang w:val="fr-FR"/>
        </w:rPr>
        <w:t>Approfondir la compréhension des facteurs et des pressions liés au prélèvement d’animaux sauvages aquatiques pour leur viande afin de concevoir des solutions plus éclairées</w:t>
      </w:r>
    </w:p>
    <w:p w14:paraId="4B73A019" w14:textId="77777777" w:rsidR="00E16720" w:rsidRPr="002B719B" w:rsidRDefault="00E16720">
      <w:pPr>
        <w:numPr>
          <w:ilvl w:val="0"/>
          <w:numId w:val="8"/>
        </w:numPr>
        <w:jc w:val="both"/>
        <w:rPr>
          <w:rFonts w:cs="Arial"/>
          <w:lang w:val="fr-FR"/>
        </w:rPr>
      </w:pPr>
    </w:p>
    <w:tbl>
      <w:tblPr>
        <w:tblStyle w:val="TableGrid1"/>
        <w:tblW w:w="0" w:type="auto"/>
        <w:tblLayout w:type="fixed"/>
        <w:tblLook w:val="0000" w:firstRow="0" w:lastRow="0" w:firstColumn="0" w:lastColumn="0" w:noHBand="0" w:noVBand="0"/>
      </w:tblPr>
      <w:tblGrid>
        <w:gridCol w:w="2972"/>
        <w:gridCol w:w="4536"/>
        <w:gridCol w:w="2665"/>
        <w:gridCol w:w="1304"/>
        <w:gridCol w:w="2471"/>
      </w:tblGrid>
      <w:tr w:rsidR="004062E4" w:rsidRPr="00D53F47" w14:paraId="6547D577" w14:textId="77777777" w:rsidTr="00AC33E0">
        <w:trPr>
          <w:tblHeader/>
        </w:trPr>
        <w:tc>
          <w:tcPr>
            <w:tcW w:w="2972" w:type="dxa"/>
            <w:shd w:val="clear" w:color="auto" w:fill="DEEAF6" w:themeFill="accent5" w:themeFillTint="33"/>
          </w:tcPr>
          <w:p w14:paraId="1B3B5650" w14:textId="77777777" w:rsidR="0092507C" w:rsidRPr="00D53F47" w:rsidRDefault="0092507C" w:rsidP="00D53F47">
            <w:pPr>
              <w:numPr>
                <w:ilvl w:val="0"/>
                <w:numId w:val="13"/>
              </w:numPr>
              <w:spacing w:before="40" w:after="40"/>
              <w:rPr>
                <w:rFonts w:ascii="Arial" w:eastAsia="Calibri" w:hAnsi="Arial" w:cs="Arial"/>
                <w:b/>
                <w:bCs/>
                <w:sz w:val="20"/>
                <w:szCs w:val="20"/>
                <w:lang w:val="fr-FR" w:eastAsia="en-GB"/>
              </w:rPr>
            </w:pPr>
            <w:r w:rsidRPr="00D53F47">
              <w:rPr>
                <w:rFonts w:ascii="Arial" w:eastAsia="Calibri" w:hAnsi="Arial" w:cs="Arial"/>
                <w:b/>
                <w:bCs/>
                <w:sz w:val="20"/>
                <w:szCs w:val="20"/>
                <w:lang w:val="fr-FR"/>
              </w:rPr>
              <w:t>Action</w:t>
            </w:r>
          </w:p>
        </w:tc>
        <w:tc>
          <w:tcPr>
            <w:tcW w:w="4536" w:type="dxa"/>
            <w:shd w:val="clear" w:color="auto" w:fill="DEEAF6" w:themeFill="accent5" w:themeFillTint="33"/>
          </w:tcPr>
          <w:p w14:paraId="4E6AF4E8" w14:textId="77777777" w:rsidR="0092507C" w:rsidRPr="00D53F47" w:rsidRDefault="0092507C" w:rsidP="00D53F47">
            <w:pPr>
              <w:numPr>
                <w:ilvl w:val="0"/>
                <w:numId w:val="13"/>
              </w:numPr>
              <w:spacing w:before="40" w:after="40"/>
              <w:rPr>
                <w:rFonts w:ascii="Arial" w:eastAsia="Calibri" w:hAnsi="Arial" w:cs="Arial"/>
                <w:b/>
                <w:bCs/>
                <w:sz w:val="20"/>
                <w:szCs w:val="20"/>
                <w:lang w:val="fr-FR" w:eastAsia="en-GB"/>
              </w:rPr>
            </w:pPr>
            <w:r w:rsidRPr="00D53F47">
              <w:rPr>
                <w:rFonts w:ascii="Arial" w:eastAsia="Calibri" w:hAnsi="Arial" w:cs="Arial"/>
                <w:b/>
                <w:bCs/>
                <w:sz w:val="20"/>
                <w:szCs w:val="20"/>
                <w:lang w:val="fr-FR"/>
              </w:rPr>
              <w:t>Activités</w:t>
            </w:r>
          </w:p>
        </w:tc>
        <w:tc>
          <w:tcPr>
            <w:tcW w:w="2665" w:type="dxa"/>
            <w:shd w:val="clear" w:color="auto" w:fill="DEEAF6" w:themeFill="accent5" w:themeFillTint="33"/>
          </w:tcPr>
          <w:p w14:paraId="78424ACF" w14:textId="77777777" w:rsidR="0092507C" w:rsidRPr="00D53F47" w:rsidRDefault="0092507C" w:rsidP="00D53F47">
            <w:pPr>
              <w:numPr>
                <w:ilvl w:val="0"/>
                <w:numId w:val="13"/>
              </w:numPr>
              <w:spacing w:before="40" w:after="40"/>
              <w:rPr>
                <w:rFonts w:ascii="Arial" w:eastAsia="Calibri" w:hAnsi="Arial" w:cs="Arial"/>
                <w:b/>
                <w:bCs/>
                <w:sz w:val="20"/>
                <w:szCs w:val="20"/>
                <w:lang w:val="fr-FR" w:eastAsia="en-GB"/>
              </w:rPr>
            </w:pPr>
            <w:r w:rsidRPr="00D53F47">
              <w:rPr>
                <w:rFonts w:ascii="Arial" w:eastAsia="Calibri" w:hAnsi="Arial" w:cs="Arial"/>
                <w:b/>
                <w:bCs/>
                <w:sz w:val="20"/>
                <w:szCs w:val="20"/>
                <w:lang w:val="fr-FR"/>
              </w:rPr>
              <w:t>Responsable(s)</w:t>
            </w:r>
          </w:p>
        </w:tc>
        <w:tc>
          <w:tcPr>
            <w:tcW w:w="1304" w:type="dxa"/>
            <w:shd w:val="clear" w:color="auto" w:fill="DEEAF6" w:themeFill="accent5" w:themeFillTint="33"/>
          </w:tcPr>
          <w:p w14:paraId="223CE1EF" w14:textId="77777777" w:rsidR="0092507C" w:rsidRPr="00D53F47" w:rsidRDefault="0092507C" w:rsidP="00D53F47">
            <w:pPr>
              <w:numPr>
                <w:ilvl w:val="0"/>
                <w:numId w:val="13"/>
              </w:numPr>
              <w:spacing w:before="40" w:after="40"/>
              <w:rPr>
                <w:rFonts w:ascii="Arial" w:eastAsia="Calibri" w:hAnsi="Arial" w:cs="Arial"/>
                <w:b/>
                <w:bCs/>
                <w:spacing w:val="-2"/>
                <w:sz w:val="20"/>
                <w:szCs w:val="20"/>
                <w:lang w:val="fr-FR" w:eastAsia="en-GB"/>
              </w:rPr>
            </w:pPr>
            <w:r w:rsidRPr="00D53F47">
              <w:rPr>
                <w:rFonts w:ascii="Arial" w:eastAsia="Calibri" w:hAnsi="Arial" w:cs="Arial"/>
                <w:b/>
                <w:bCs/>
                <w:spacing w:val="-2"/>
                <w:sz w:val="20"/>
                <w:szCs w:val="20"/>
                <w:lang w:val="fr-FR"/>
              </w:rPr>
              <w:t>Calendrier</w:t>
            </w:r>
          </w:p>
        </w:tc>
        <w:tc>
          <w:tcPr>
            <w:tcW w:w="2471" w:type="dxa"/>
            <w:shd w:val="clear" w:color="auto" w:fill="DEEAF6" w:themeFill="accent5" w:themeFillTint="33"/>
          </w:tcPr>
          <w:p w14:paraId="14B455AF" w14:textId="77777777" w:rsidR="0092507C" w:rsidRPr="00D53F47" w:rsidRDefault="0092507C" w:rsidP="00D53F47">
            <w:pPr>
              <w:numPr>
                <w:ilvl w:val="0"/>
                <w:numId w:val="13"/>
              </w:numPr>
              <w:spacing w:before="40" w:after="40"/>
              <w:rPr>
                <w:rFonts w:ascii="Arial" w:eastAsia="Calibri" w:hAnsi="Arial" w:cs="Arial"/>
                <w:b/>
                <w:bCs/>
                <w:sz w:val="20"/>
                <w:szCs w:val="20"/>
                <w:lang w:val="fr-FR" w:eastAsia="en-GB"/>
              </w:rPr>
            </w:pPr>
            <w:r w:rsidRPr="00D53F47">
              <w:rPr>
                <w:rFonts w:ascii="Arial" w:eastAsia="Calibri" w:hAnsi="Arial" w:cs="Arial"/>
                <w:b/>
                <w:bCs/>
                <w:sz w:val="20"/>
                <w:szCs w:val="20"/>
                <w:lang w:val="fr-FR"/>
              </w:rPr>
              <w:t>Ressources nécessaires</w:t>
            </w:r>
          </w:p>
        </w:tc>
      </w:tr>
      <w:tr w:rsidR="004062E4" w:rsidRPr="00D53F47" w14:paraId="50BC5797" w14:textId="77777777" w:rsidTr="00AC33E0">
        <w:tc>
          <w:tcPr>
            <w:tcW w:w="2972" w:type="dxa"/>
            <w:vMerge w:val="restart"/>
          </w:tcPr>
          <w:p w14:paraId="20C86DEE" w14:textId="77777777" w:rsidR="0092507C" w:rsidRPr="00D53F47" w:rsidRDefault="0092507C" w:rsidP="00D53F47">
            <w:p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2.1. Mieux comprendre les causes profondes de la surexploitation d’animaux sauvages aquatiques pour leur viande dans la région</w:t>
            </w:r>
          </w:p>
        </w:tc>
        <w:tc>
          <w:tcPr>
            <w:tcW w:w="4536" w:type="dxa"/>
          </w:tcPr>
          <w:p w14:paraId="442E0BD8" w14:textId="6019D63F"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2.1.1. Rédiger une note synthèse sur l’importance de la viande d’animaux sauvages aquatiques en tant que source d’alimentation locale les régions de l’Afrique de l’Ouest, en indiquant les espèces privilégiées dans certains pays, en mettant l'accent sur les espèces protégées et les espèces les plus touchées, en faisant connaître la situation sur le terrain afin de soutenir les autorités compétentes et de leur permettre de prendre des mesures</w:t>
            </w:r>
          </w:p>
        </w:tc>
        <w:tc>
          <w:tcPr>
            <w:tcW w:w="2665" w:type="dxa"/>
          </w:tcPr>
          <w:p w14:paraId="3589312A" w14:textId="72313CFD"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Instituts de recherche, ONG et agences gouvernementales compétentes, avec le soutien du AWM WG</w:t>
            </w:r>
          </w:p>
        </w:tc>
        <w:tc>
          <w:tcPr>
            <w:tcW w:w="1304" w:type="dxa"/>
          </w:tcPr>
          <w:p w14:paraId="6B2FEDF9" w14:textId="51D8A15A"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2025</w:t>
            </w:r>
          </w:p>
        </w:tc>
        <w:tc>
          <w:tcPr>
            <w:tcW w:w="2471" w:type="dxa"/>
          </w:tcPr>
          <w:p w14:paraId="28C961DE" w14:textId="2F1C0CEA"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Temps de recherche documentaire et de rédaction</w:t>
            </w:r>
          </w:p>
        </w:tc>
      </w:tr>
      <w:tr w:rsidR="004062E4" w:rsidRPr="00D53F47" w14:paraId="6D766299" w14:textId="77777777" w:rsidTr="00AC33E0">
        <w:tc>
          <w:tcPr>
            <w:tcW w:w="2972" w:type="dxa"/>
            <w:vMerge/>
          </w:tcPr>
          <w:p w14:paraId="1DF021A9" w14:textId="77777777" w:rsidR="0092507C" w:rsidRPr="00D53F47" w:rsidRDefault="0092507C" w:rsidP="00D53F47">
            <w:pPr>
              <w:spacing w:before="40" w:after="40"/>
              <w:rPr>
                <w:rFonts w:ascii="Arial" w:eastAsia="Calibri" w:hAnsi="Arial" w:cs="Arial"/>
                <w:sz w:val="20"/>
                <w:szCs w:val="20"/>
                <w:lang w:val="fr-FR" w:eastAsia="en-GB"/>
              </w:rPr>
            </w:pPr>
          </w:p>
        </w:tc>
        <w:tc>
          <w:tcPr>
            <w:tcW w:w="4536" w:type="dxa"/>
          </w:tcPr>
          <w:p w14:paraId="2048188E" w14:textId="7DA24446"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2.1.2. Rechercher et publier des documents sur la relation entre l’offre, la demande et les avantages des prélèvements illégaux d’animaux sauvages aquatiques pour leur viande</w:t>
            </w:r>
          </w:p>
        </w:tc>
        <w:tc>
          <w:tcPr>
            <w:tcW w:w="2665" w:type="dxa"/>
          </w:tcPr>
          <w:p w14:paraId="08E2AFFE" w14:textId="197B40C2" w:rsidR="0092507C" w:rsidRPr="00D53F47" w:rsidRDefault="0092507C" w:rsidP="00D53F47">
            <w:p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AWM WG travaillant en étroite collaboration avec les institutions de recherche de l’Afrique de l’Ouest</w:t>
            </w:r>
          </w:p>
        </w:tc>
        <w:tc>
          <w:tcPr>
            <w:tcW w:w="1304" w:type="dxa"/>
          </w:tcPr>
          <w:p w14:paraId="7B8663C9" w14:textId="70D16312"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2025</w:t>
            </w:r>
          </w:p>
        </w:tc>
        <w:tc>
          <w:tcPr>
            <w:tcW w:w="2471" w:type="dxa"/>
          </w:tcPr>
          <w:p w14:paraId="6DAEFEEB" w14:textId="4B50D526"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Temps de recherche documentaire et de rédaction, financement pour la collecte de données sur le terrain et la traduction</w:t>
            </w:r>
          </w:p>
        </w:tc>
      </w:tr>
      <w:tr w:rsidR="004062E4" w:rsidRPr="00D53F47" w14:paraId="1B498AC9" w14:textId="77777777" w:rsidTr="00AC33E0">
        <w:tc>
          <w:tcPr>
            <w:tcW w:w="2972" w:type="dxa"/>
            <w:vMerge/>
          </w:tcPr>
          <w:p w14:paraId="75F98593" w14:textId="77777777" w:rsidR="0092507C" w:rsidRPr="00D53F47" w:rsidRDefault="0092507C" w:rsidP="00D53F47">
            <w:pPr>
              <w:spacing w:before="40" w:after="40"/>
              <w:rPr>
                <w:rFonts w:ascii="Arial" w:eastAsia="Calibri" w:hAnsi="Arial" w:cs="Arial"/>
                <w:sz w:val="20"/>
                <w:szCs w:val="20"/>
                <w:lang w:val="fr-FR" w:eastAsia="en-GB"/>
              </w:rPr>
            </w:pPr>
          </w:p>
        </w:tc>
        <w:tc>
          <w:tcPr>
            <w:tcW w:w="4536" w:type="dxa"/>
          </w:tcPr>
          <w:p w14:paraId="00864EA5" w14:textId="3F677ED7"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 xml:space="preserve">2.1.3. Rechercher et publier des documents (en français et en anglais) favorisant une meilleure compréhension de la pêche illicite, non déclarée et non réglementée (INN) et les flottes de pêche artisanale dans la région par les flottes de pêche en eaux lointaines en lien avec la sécurité alimentaire, et lorsque cette information n'est </w:t>
            </w:r>
            <w:r w:rsidRPr="00D53F47">
              <w:rPr>
                <w:rFonts w:ascii="Arial" w:eastAsia="Calibri" w:hAnsi="Arial" w:cs="Arial"/>
                <w:sz w:val="20"/>
                <w:szCs w:val="20"/>
                <w:lang w:val="fr-FR"/>
              </w:rPr>
              <w:lastRenderedPageBreak/>
              <w:t>pas disponible, insister sur la nécessité de collecter des données</w:t>
            </w:r>
          </w:p>
        </w:tc>
        <w:tc>
          <w:tcPr>
            <w:tcW w:w="2665" w:type="dxa"/>
          </w:tcPr>
          <w:p w14:paraId="3B83B555" w14:textId="5A059720" w:rsidR="0092507C" w:rsidRPr="00D53F47" w:rsidRDefault="0092507C" w:rsidP="00D53F47">
            <w:p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lastRenderedPageBreak/>
              <w:t>AWM WG travaillant en étroite collaboration avec les institutions de recherche de l’Afrique de l’Ouest</w:t>
            </w:r>
          </w:p>
        </w:tc>
        <w:tc>
          <w:tcPr>
            <w:tcW w:w="1304" w:type="dxa"/>
          </w:tcPr>
          <w:p w14:paraId="46D049DB" w14:textId="06E4325F"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2025/2026</w:t>
            </w:r>
          </w:p>
        </w:tc>
        <w:tc>
          <w:tcPr>
            <w:tcW w:w="2471" w:type="dxa"/>
          </w:tcPr>
          <w:p w14:paraId="3FAE42E8" w14:textId="2245FF33" w:rsidR="0092507C" w:rsidRPr="00D53F47" w:rsidRDefault="0092507C" w:rsidP="00D53F47">
            <w:p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Temps de recherche documentaire et de rédaction financement pour la collecte de données sur le terrain et la traduction</w:t>
            </w:r>
          </w:p>
        </w:tc>
      </w:tr>
      <w:tr w:rsidR="004062E4" w:rsidRPr="00D53F47" w14:paraId="75BFB62D" w14:textId="77777777" w:rsidTr="00AC33E0">
        <w:tc>
          <w:tcPr>
            <w:tcW w:w="2972" w:type="dxa"/>
            <w:vMerge/>
          </w:tcPr>
          <w:p w14:paraId="2925D402" w14:textId="77777777" w:rsidR="0092507C" w:rsidRPr="00D53F47" w:rsidRDefault="0092507C" w:rsidP="00D53F47">
            <w:pPr>
              <w:spacing w:before="40" w:after="40"/>
              <w:rPr>
                <w:rFonts w:ascii="Arial" w:eastAsia="Calibri" w:hAnsi="Arial" w:cs="Arial"/>
                <w:sz w:val="20"/>
                <w:szCs w:val="20"/>
                <w:lang w:val="fr-FR" w:eastAsia="en-GB"/>
              </w:rPr>
            </w:pPr>
          </w:p>
        </w:tc>
        <w:tc>
          <w:tcPr>
            <w:tcW w:w="4536" w:type="dxa"/>
          </w:tcPr>
          <w:p w14:paraId="2B4312D1" w14:textId="23863F0B"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2.1.4. Rédiger une note synthèse sur la vulnérabilité des écosystèmes aquatiques de la région face aux effets des changements climatiques et à la perte de biodiversité</w:t>
            </w:r>
          </w:p>
        </w:tc>
        <w:tc>
          <w:tcPr>
            <w:tcW w:w="2665" w:type="dxa"/>
          </w:tcPr>
          <w:p w14:paraId="47359758" w14:textId="17C112A8"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AWM WG en collaboration avec les points focaux de CMS, CITES, Convention d’Abidjan, Ramsar, UICN et FAO dans chaque pays (rassembler tout le corps des chercheurs)</w:t>
            </w:r>
          </w:p>
        </w:tc>
        <w:tc>
          <w:tcPr>
            <w:tcW w:w="1304" w:type="dxa"/>
          </w:tcPr>
          <w:p w14:paraId="6DFBE661" w14:textId="35181981"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2025</w:t>
            </w:r>
          </w:p>
        </w:tc>
        <w:tc>
          <w:tcPr>
            <w:tcW w:w="2471" w:type="dxa"/>
          </w:tcPr>
          <w:p w14:paraId="73C20827" w14:textId="5CE22F83"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Temps de recherche documentaire, de rédaction et de traduction</w:t>
            </w:r>
          </w:p>
        </w:tc>
      </w:tr>
      <w:tr w:rsidR="004062E4" w:rsidRPr="00D53F47" w14:paraId="7C6FC80C" w14:textId="77777777" w:rsidTr="00AC33E0">
        <w:tc>
          <w:tcPr>
            <w:tcW w:w="2972" w:type="dxa"/>
            <w:vMerge w:val="restart"/>
          </w:tcPr>
          <w:p w14:paraId="0FF49D35" w14:textId="77777777" w:rsidR="0092507C" w:rsidRPr="00D53F47" w:rsidRDefault="0092507C" w:rsidP="00D53F47">
            <w:p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2.2. Mieux comprendre les facteurs sociaux, politiques et institutionnels des prélèvements illégaux d’animaux sauvages aquatiques pour leur viande dans la région</w:t>
            </w:r>
          </w:p>
        </w:tc>
        <w:tc>
          <w:tcPr>
            <w:tcW w:w="4536" w:type="dxa"/>
          </w:tcPr>
          <w:p w14:paraId="363FA830" w14:textId="54A662F9"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2.2.1. Créer, pour chaque pays, une note synthèse sur les systèmes socio-écologiques de la région, en mettant l’accent sur la gestion traditionnelle de la faune sauvage et la gouvernance en la matière</w:t>
            </w:r>
          </w:p>
        </w:tc>
        <w:tc>
          <w:tcPr>
            <w:tcW w:w="2665" w:type="dxa"/>
          </w:tcPr>
          <w:p w14:paraId="4323FA2D" w14:textId="5825F951"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eastAsia="en-GB"/>
              </w:rPr>
              <w:t>Points focaux de la CMS avec le soutien de la société civile et des institutions de recherche</w:t>
            </w:r>
          </w:p>
        </w:tc>
        <w:tc>
          <w:tcPr>
            <w:tcW w:w="1304" w:type="dxa"/>
          </w:tcPr>
          <w:p w14:paraId="564167CA" w14:textId="302497F1"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2026</w:t>
            </w:r>
          </w:p>
        </w:tc>
        <w:tc>
          <w:tcPr>
            <w:tcW w:w="2471" w:type="dxa"/>
          </w:tcPr>
          <w:p w14:paraId="39DC16F7" w14:textId="77777777" w:rsidR="0092507C" w:rsidRPr="00D53F47" w:rsidRDefault="0092507C" w:rsidP="00D53F47">
            <w:pPr>
              <w:widowControl w:val="0"/>
              <w:numPr>
                <w:ilvl w:val="0"/>
                <w:numId w:val="12"/>
              </w:numPr>
              <w:spacing w:before="40" w:after="40"/>
              <w:rPr>
                <w:rFonts w:ascii="Arial" w:eastAsia="Calibri" w:hAnsi="Arial" w:cs="Arial"/>
                <w:sz w:val="20"/>
                <w:szCs w:val="20"/>
                <w:lang w:val="fr-FR"/>
              </w:rPr>
            </w:pPr>
            <w:r w:rsidRPr="00D53F47">
              <w:rPr>
                <w:rFonts w:ascii="Arial" w:eastAsia="Calibri" w:hAnsi="Arial" w:cs="Arial"/>
                <w:sz w:val="20"/>
                <w:szCs w:val="20"/>
                <w:lang w:val="fr-FR"/>
              </w:rPr>
              <w:t>Financement pour la collecte de données complémentaires</w:t>
            </w:r>
          </w:p>
          <w:p w14:paraId="3B992010" w14:textId="4B69E084"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Temps de recherche documentaire de rédaction et de traduction</w:t>
            </w:r>
          </w:p>
        </w:tc>
      </w:tr>
      <w:tr w:rsidR="004062E4" w:rsidRPr="00D53F47" w14:paraId="04AB6535" w14:textId="77777777" w:rsidTr="00AC33E0">
        <w:tc>
          <w:tcPr>
            <w:tcW w:w="2972" w:type="dxa"/>
            <w:vMerge/>
          </w:tcPr>
          <w:p w14:paraId="0FF0524B" w14:textId="77777777" w:rsidR="0092507C" w:rsidRPr="00D53F47" w:rsidRDefault="0092507C" w:rsidP="00D53F47">
            <w:pPr>
              <w:spacing w:before="40" w:after="40"/>
              <w:rPr>
                <w:rFonts w:ascii="Arial" w:eastAsia="Calibri" w:hAnsi="Arial" w:cs="Arial"/>
                <w:sz w:val="20"/>
                <w:szCs w:val="20"/>
                <w:lang w:val="fr-FR" w:eastAsia="en-GB"/>
              </w:rPr>
            </w:pPr>
          </w:p>
        </w:tc>
        <w:tc>
          <w:tcPr>
            <w:tcW w:w="4536" w:type="dxa"/>
          </w:tcPr>
          <w:p w14:paraId="1191C464" w14:textId="6BFDBC64"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2.2.2. Créer une note synthèse sur les tendances démographiques résultant de la croissance des populations humaines et des migrations internes de ces populations</w:t>
            </w:r>
          </w:p>
        </w:tc>
        <w:tc>
          <w:tcPr>
            <w:tcW w:w="2665" w:type="dxa"/>
          </w:tcPr>
          <w:p w14:paraId="2027EC33" w14:textId="79ECC6DD"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Points focaux de CMS, CITES, Convention d’Abidjan, Ramsar, UICN et FAO avec le soutien de la société civile et des institutions de recherche</w:t>
            </w:r>
          </w:p>
        </w:tc>
        <w:tc>
          <w:tcPr>
            <w:tcW w:w="1304" w:type="dxa"/>
          </w:tcPr>
          <w:p w14:paraId="369D1906" w14:textId="136A7A00"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2026</w:t>
            </w:r>
          </w:p>
        </w:tc>
        <w:tc>
          <w:tcPr>
            <w:tcW w:w="2471" w:type="dxa"/>
          </w:tcPr>
          <w:p w14:paraId="351BE6E9" w14:textId="77777777" w:rsidR="0092507C" w:rsidRPr="00D53F47" w:rsidRDefault="0092507C" w:rsidP="00D53F47">
            <w:pPr>
              <w:widowControl w:val="0"/>
              <w:numPr>
                <w:ilvl w:val="0"/>
                <w:numId w:val="12"/>
              </w:numPr>
              <w:spacing w:before="40" w:after="40"/>
              <w:rPr>
                <w:rFonts w:ascii="Arial" w:eastAsia="Calibri" w:hAnsi="Arial" w:cs="Arial"/>
                <w:sz w:val="20"/>
                <w:szCs w:val="20"/>
                <w:lang w:val="fr-FR"/>
              </w:rPr>
            </w:pPr>
            <w:r w:rsidRPr="00D53F47">
              <w:rPr>
                <w:rFonts w:ascii="Arial" w:eastAsia="Calibri" w:hAnsi="Arial" w:cs="Arial"/>
                <w:sz w:val="20"/>
                <w:szCs w:val="20"/>
                <w:lang w:val="fr-FR"/>
              </w:rPr>
              <w:t>Financement pour la collecte de données complémentaires</w:t>
            </w:r>
          </w:p>
          <w:p w14:paraId="7D1AB554" w14:textId="0A76533D"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Temps de recherche documentaire de rédaction et de traduction</w:t>
            </w:r>
          </w:p>
        </w:tc>
      </w:tr>
      <w:tr w:rsidR="004062E4" w:rsidRPr="00D53F47" w14:paraId="607642EE" w14:textId="77777777" w:rsidTr="00AC33E0">
        <w:tc>
          <w:tcPr>
            <w:tcW w:w="2972" w:type="dxa"/>
            <w:vMerge w:val="restart"/>
          </w:tcPr>
          <w:p w14:paraId="07AE14E5" w14:textId="77777777" w:rsidR="0092507C" w:rsidRPr="00D53F47" w:rsidRDefault="0092507C" w:rsidP="00D53F47">
            <w:p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2.3. Diffuser des informations essentielles aux responsables politiques, aux agences de pêche et aux gestionnaires de la vie sauvage dans toute la région</w:t>
            </w:r>
          </w:p>
        </w:tc>
        <w:tc>
          <w:tcPr>
            <w:tcW w:w="4536" w:type="dxa"/>
          </w:tcPr>
          <w:p w14:paraId="3C644EE3" w14:textId="7363D8F9"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2.3.1. Développer une stratégie pour la diffusion des informations générées dans le cadre des actions</w:t>
            </w:r>
            <w:r w:rsidR="00D87607" w:rsidRPr="00D53F47">
              <w:rPr>
                <w:rFonts w:ascii="Arial" w:eastAsia="Calibri" w:hAnsi="Arial" w:cs="Arial"/>
                <w:sz w:val="20"/>
                <w:szCs w:val="20"/>
                <w:lang w:val="fr-FR"/>
              </w:rPr>
              <w:t xml:space="preserve"> </w:t>
            </w:r>
            <w:r w:rsidR="00D87607" w:rsidRPr="00D53F47">
              <w:rPr>
                <w:rFonts w:ascii="Arial" w:hAnsi="Arial" w:cs="Arial"/>
                <w:sz w:val="20"/>
                <w:szCs w:val="20"/>
                <w:lang w:val="fr-FR" w:eastAsia="en-GB"/>
              </w:rPr>
              <w:t xml:space="preserve">1.1, 1.2, 2.1 </w:t>
            </w:r>
            <w:r w:rsidR="0079730C" w:rsidRPr="00D53F47">
              <w:rPr>
                <w:rFonts w:ascii="Arial" w:hAnsi="Arial" w:cs="Arial"/>
                <w:sz w:val="20"/>
                <w:szCs w:val="20"/>
                <w:lang w:val="fr-FR" w:eastAsia="en-GB"/>
              </w:rPr>
              <w:t>et</w:t>
            </w:r>
            <w:r w:rsidR="00D87607" w:rsidRPr="00D53F47">
              <w:rPr>
                <w:rFonts w:ascii="Arial" w:hAnsi="Arial" w:cs="Arial"/>
                <w:sz w:val="20"/>
                <w:szCs w:val="20"/>
                <w:lang w:val="fr-FR" w:eastAsia="en-GB"/>
              </w:rPr>
              <w:t xml:space="preserve"> 2.2</w:t>
            </w:r>
            <w:r w:rsidRPr="00D53F47">
              <w:rPr>
                <w:rFonts w:ascii="Arial" w:eastAsia="Calibri" w:hAnsi="Arial" w:cs="Arial"/>
                <w:sz w:val="20"/>
                <w:szCs w:val="20"/>
                <w:lang w:val="fr-FR"/>
              </w:rPr>
              <w:t xml:space="preserve"> (local, régional, national etc.)</w:t>
            </w:r>
          </w:p>
        </w:tc>
        <w:tc>
          <w:tcPr>
            <w:tcW w:w="2665" w:type="dxa"/>
          </w:tcPr>
          <w:p w14:paraId="6F332F0E" w14:textId="116A1AFB"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AWM WG en collaboration avec les points focaux de CMS, CITES, Convention d’Abidjan, Ramsar, UICN et FAO</w:t>
            </w:r>
          </w:p>
        </w:tc>
        <w:tc>
          <w:tcPr>
            <w:tcW w:w="1304" w:type="dxa"/>
          </w:tcPr>
          <w:p w14:paraId="19A12F10" w14:textId="5FB03251"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w:t>
            </w:r>
            <w:r w:rsidRPr="00D53F47">
              <w:rPr>
                <w:rFonts w:ascii="Arial" w:eastAsia="Calibri" w:hAnsi="Arial" w:cs="Arial"/>
                <w:strike/>
                <w:sz w:val="20"/>
                <w:szCs w:val="20"/>
                <w:lang w:val="fr-FR"/>
              </w:rPr>
              <w:t>4</w:t>
            </w:r>
          </w:p>
        </w:tc>
        <w:tc>
          <w:tcPr>
            <w:tcW w:w="2471" w:type="dxa"/>
          </w:tcPr>
          <w:p w14:paraId="57973FC5" w14:textId="31B1770F"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Financement pour l’allocation des ressources au niveau régional pour la mise en œuvre de la stratégie (pour le AWM WG et les points focaux nationaux)</w:t>
            </w:r>
            <w:r w:rsidRPr="00D53F47">
              <w:rPr>
                <w:rFonts w:ascii="Arial" w:eastAsia="Calibri" w:hAnsi="Arial" w:cs="Arial"/>
                <w:strike/>
                <w:sz w:val="20"/>
                <w:szCs w:val="20"/>
                <w:lang w:val="fr-FR"/>
              </w:rPr>
              <w:t xml:space="preserve"> </w:t>
            </w:r>
          </w:p>
        </w:tc>
      </w:tr>
      <w:tr w:rsidR="004062E4" w:rsidRPr="00D53F47" w14:paraId="52DFE8CC" w14:textId="77777777" w:rsidTr="00AC33E0">
        <w:tc>
          <w:tcPr>
            <w:tcW w:w="2972" w:type="dxa"/>
            <w:vMerge/>
          </w:tcPr>
          <w:p w14:paraId="2EDBC29A" w14:textId="77777777" w:rsidR="0092507C" w:rsidRPr="00D53F47" w:rsidRDefault="0092507C" w:rsidP="00D53F47">
            <w:pPr>
              <w:spacing w:before="40" w:after="40"/>
              <w:rPr>
                <w:rFonts w:ascii="Arial" w:eastAsia="Calibri" w:hAnsi="Arial" w:cs="Arial"/>
                <w:sz w:val="20"/>
                <w:szCs w:val="20"/>
                <w:lang w:val="fr-FR" w:eastAsia="en-GB"/>
              </w:rPr>
            </w:pPr>
          </w:p>
        </w:tc>
        <w:tc>
          <w:tcPr>
            <w:tcW w:w="4536" w:type="dxa"/>
          </w:tcPr>
          <w:p w14:paraId="3FC567C9" w14:textId="7A2A41FA"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 xml:space="preserve">2.3.2 Élaborer une stratégie de collecte de fonds pour soutenir la stratégie de diffusion, en ciblant et en travaillant avec les donateurs et les bailleurs de fonds (FEM, Banque Africaine de </w:t>
            </w:r>
            <w:r w:rsidRPr="00D53F47">
              <w:rPr>
                <w:rFonts w:ascii="Arial" w:eastAsia="Calibri" w:hAnsi="Arial" w:cs="Arial"/>
                <w:sz w:val="20"/>
                <w:szCs w:val="20"/>
                <w:lang w:val="fr-FR"/>
              </w:rPr>
              <w:lastRenderedPageBreak/>
              <w:t>Développement, etc.) et en coordonnant avec les stratégies régionales pertinentes (entre autres la stratégie ouest-africaine de lutte contre la criminalité liée aux espèces sauvages de la CEDEAO).</w:t>
            </w:r>
          </w:p>
        </w:tc>
        <w:tc>
          <w:tcPr>
            <w:tcW w:w="2665" w:type="dxa"/>
          </w:tcPr>
          <w:p w14:paraId="132B5BB2" w14:textId="1520288D"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lastRenderedPageBreak/>
              <w:t>Secrétariat de la CMS en collaboration si possible avec le Secrétariat de la CEDEAO</w:t>
            </w:r>
          </w:p>
        </w:tc>
        <w:tc>
          <w:tcPr>
            <w:tcW w:w="1304" w:type="dxa"/>
          </w:tcPr>
          <w:p w14:paraId="01696EB2" w14:textId="2660BFD5"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2024</w:t>
            </w:r>
          </w:p>
        </w:tc>
        <w:tc>
          <w:tcPr>
            <w:tcW w:w="2471" w:type="dxa"/>
          </w:tcPr>
          <w:p w14:paraId="44C84A87" w14:textId="2D033B60"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 xml:space="preserve">Financement des ressources régionales de la stratégie (pour le AWM </w:t>
            </w:r>
            <w:r w:rsidRPr="00D53F47">
              <w:rPr>
                <w:rFonts w:ascii="Arial" w:eastAsia="Calibri" w:hAnsi="Arial" w:cs="Arial"/>
                <w:sz w:val="20"/>
                <w:szCs w:val="20"/>
                <w:lang w:val="fr-FR"/>
              </w:rPr>
              <w:lastRenderedPageBreak/>
              <w:t>WG et les points focaux nationaux)</w:t>
            </w:r>
          </w:p>
        </w:tc>
      </w:tr>
      <w:tr w:rsidR="004062E4" w:rsidRPr="00D53F47" w14:paraId="1C193E13" w14:textId="77777777" w:rsidTr="00AC33E0">
        <w:tc>
          <w:tcPr>
            <w:tcW w:w="2972" w:type="dxa"/>
            <w:vMerge/>
          </w:tcPr>
          <w:p w14:paraId="4034686C" w14:textId="77777777" w:rsidR="0092507C" w:rsidRPr="00D53F47" w:rsidRDefault="0092507C" w:rsidP="00D53F47">
            <w:pPr>
              <w:spacing w:before="40" w:after="40"/>
              <w:rPr>
                <w:rFonts w:ascii="Arial" w:eastAsia="Calibri" w:hAnsi="Arial" w:cs="Arial"/>
                <w:sz w:val="20"/>
                <w:szCs w:val="20"/>
                <w:lang w:val="fr-FR" w:eastAsia="en-GB"/>
              </w:rPr>
            </w:pPr>
          </w:p>
        </w:tc>
        <w:tc>
          <w:tcPr>
            <w:tcW w:w="4536" w:type="dxa"/>
          </w:tcPr>
          <w:p w14:paraId="3596DFE9" w14:textId="175E6ABD"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 xml:space="preserve">2.3.3 Rassembler les informations résumées et publiées générées dans le cadre des actions </w:t>
            </w:r>
            <w:r w:rsidR="009619C7" w:rsidRPr="00D53F47">
              <w:rPr>
                <w:rFonts w:ascii="Arial" w:hAnsi="Arial" w:cs="Arial"/>
                <w:sz w:val="20"/>
                <w:szCs w:val="20"/>
                <w:lang w:val="fr-FR" w:eastAsia="en-GB"/>
              </w:rPr>
              <w:t xml:space="preserve">1.1, 1.2, 2.1 </w:t>
            </w:r>
            <w:r w:rsidR="0079730C" w:rsidRPr="00D53F47">
              <w:rPr>
                <w:rFonts w:ascii="Arial" w:hAnsi="Arial" w:cs="Arial"/>
                <w:sz w:val="20"/>
                <w:szCs w:val="20"/>
                <w:lang w:val="fr-FR" w:eastAsia="en-GB"/>
              </w:rPr>
              <w:t>et</w:t>
            </w:r>
            <w:r w:rsidR="009619C7" w:rsidRPr="00D53F47">
              <w:rPr>
                <w:rFonts w:ascii="Arial" w:hAnsi="Arial" w:cs="Arial"/>
                <w:sz w:val="20"/>
                <w:szCs w:val="20"/>
                <w:lang w:val="fr-FR" w:eastAsia="en-GB"/>
              </w:rPr>
              <w:t xml:space="preserve"> 2.2</w:t>
            </w:r>
            <w:r w:rsidRPr="00D53F47">
              <w:rPr>
                <w:rFonts w:ascii="Arial" w:eastAsia="Calibri" w:hAnsi="Arial" w:cs="Arial"/>
                <w:sz w:val="20"/>
                <w:szCs w:val="20"/>
                <w:lang w:val="fr-FR"/>
              </w:rPr>
              <w:t>, les résumer dans des formats appropriés pour différents publics et les distribuer aux institutions nationales de la pêche et de la faune dans toute la région (comme défini dans la stratégie @2.3.1). Générer des propositions de financement pour soutenir les points focaux afin d'augmenter les capacités régionales.</w:t>
            </w:r>
          </w:p>
        </w:tc>
        <w:tc>
          <w:tcPr>
            <w:tcW w:w="2665" w:type="dxa"/>
          </w:tcPr>
          <w:p w14:paraId="7818CC5A" w14:textId="4F2A5F6E"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AWM WG en collaboration avec les points focaux de la CMS et d'autres institutions et acteurs (ONG, etc.) à déterminer dans la stratégie elle-même</w:t>
            </w:r>
          </w:p>
        </w:tc>
        <w:tc>
          <w:tcPr>
            <w:tcW w:w="1304" w:type="dxa"/>
          </w:tcPr>
          <w:p w14:paraId="6A64894F" w14:textId="247C583F"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w:t>
            </w:r>
            <w:r w:rsidRPr="00D53F47">
              <w:rPr>
                <w:rFonts w:ascii="Arial" w:eastAsia="Calibri" w:hAnsi="Arial" w:cs="Arial"/>
                <w:strike/>
                <w:sz w:val="20"/>
                <w:szCs w:val="20"/>
                <w:lang w:val="fr-FR"/>
              </w:rPr>
              <w:t>25</w:t>
            </w:r>
            <w:r w:rsidRPr="00D53F47">
              <w:rPr>
                <w:rFonts w:ascii="Arial" w:eastAsia="Calibri" w:hAnsi="Arial" w:cs="Arial"/>
                <w:sz w:val="20"/>
                <w:szCs w:val="20"/>
                <w:lang w:val="fr-FR"/>
              </w:rPr>
              <w:t>26 en vue de la COP de la CMS probablement en 2026</w:t>
            </w:r>
          </w:p>
        </w:tc>
        <w:tc>
          <w:tcPr>
            <w:tcW w:w="2471" w:type="dxa"/>
          </w:tcPr>
          <w:p w14:paraId="2DF49C34" w14:textId="5725214D" w:rsidR="0092507C" w:rsidRPr="00D53F47" w:rsidRDefault="0092507C"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Financement des ressources régionales de la stratégie (pour le AWM WG et les points focaux nationaux)</w:t>
            </w:r>
          </w:p>
        </w:tc>
      </w:tr>
    </w:tbl>
    <w:p w14:paraId="3A8AB33B" w14:textId="77777777" w:rsidR="006758A3" w:rsidRPr="00D53F47" w:rsidRDefault="006758A3" w:rsidP="00D53F47">
      <w:pPr>
        <w:spacing w:before="40" w:after="40"/>
        <w:rPr>
          <w:sz w:val="20"/>
          <w:szCs w:val="20"/>
          <w:lang w:val="fr-FR"/>
        </w:rPr>
      </w:pPr>
    </w:p>
    <w:p w14:paraId="1076E935" w14:textId="77777777" w:rsidR="0080598D" w:rsidRPr="002B719B" w:rsidRDefault="0080598D">
      <w:pPr>
        <w:rPr>
          <w:rFonts w:eastAsia="Noto Sans CJK SC" w:cs="Arial"/>
          <w:b/>
          <w:bCs/>
          <w:kern w:val="2"/>
          <w:lang w:val="fr-FR" w:eastAsia="zh-CN" w:bidi="hi-IN"/>
        </w:rPr>
      </w:pPr>
      <w:r w:rsidRPr="002B719B">
        <w:rPr>
          <w:rFonts w:cs="Arial"/>
          <w:lang w:val="fr-FR"/>
        </w:rPr>
        <w:br w:type="page"/>
      </w:r>
    </w:p>
    <w:p w14:paraId="2786350B" w14:textId="2D7584DD" w:rsidR="00D20A8C" w:rsidRPr="002B719B" w:rsidRDefault="00E16720">
      <w:pPr>
        <w:pStyle w:val="Heading3"/>
        <w:spacing w:before="0" w:after="0"/>
        <w:jc w:val="center"/>
        <w:rPr>
          <w:rFonts w:ascii="Arial" w:hAnsi="Arial" w:cs="Arial"/>
          <w:sz w:val="22"/>
          <w:szCs w:val="22"/>
          <w:lang w:val="fr-FR"/>
        </w:rPr>
      </w:pPr>
      <w:r w:rsidRPr="002B719B">
        <w:rPr>
          <w:rFonts w:ascii="Arial" w:hAnsi="Arial" w:cs="Arial"/>
          <w:sz w:val="22"/>
          <w:szCs w:val="22"/>
          <w:lang w:val="fr-FR"/>
        </w:rPr>
        <w:lastRenderedPageBreak/>
        <w:t>Thème</w:t>
      </w:r>
      <w:r w:rsidR="00034B91" w:rsidRPr="002B719B">
        <w:rPr>
          <w:rFonts w:ascii="Arial" w:hAnsi="Arial" w:cs="Arial"/>
          <w:sz w:val="22"/>
          <w:szCs w:val="22"/>
          <w:lang w:val="fr-FR"/>
        </w:rPr>
        <w:t> </w:t>
      </w:r>
      <w:r w:rsidRPr="002B719B">
        <w:rPr>
          <w:rFonts w:ascii="Arial" w:hAnsi="Arial" w:cs="Arial"/>
          <w:sz w:val="22"/>
          <w:szCs w:val="22"/>
          <w:lang w:val="fr-FR"/>
        </w:rPr>
        <w:t>3</w:t>
      </w:r>
      <w:r w:rsidR="00034B91" w:rsidRPr="002B719B">
        <w:rPr>
          <w:rFonts w:ascii="Arial" w:hAnsi="Arial" w:cs="Arial"/>
          <w:sz w:val="22"/>
          <w:szCs w:val="22"/>
          <w:lang w:val="fr-FR"/>
        </w:rPr>
        <w:t> </w:t>
      </w:r>
      <w:r w:rsidRPr="002B719B">
        <w:rPr>
          <w:rFonts w:ascii="Arial" w:hAnsi="Arial" w:cs="Arial"/>
          <w:sz w:val="22"/>
          <w:szCs w:val="22"/>
          <w:lang w:val="fr-FR"/>
        </w:rPr>
        <w:t xml:space="preserve">: </w:t>
      </w:r>
    </w:p>
    <w:p w14:paraId="67573DA6" w14:textId="4A49470C" w:rsidR="00E16720" w:rsidRPr="002B719B" w:rsidRDefault="00BE6235">
      <w:pPr>
        <w:pStyle w:val="Heading3"/>
        <w:spacing w:before="0" w:after="0"/>
        <w:jc w:val="center"/>
        <w:rPr>
          <w:rFonts w:ascii="Arial" w:hAnsi="Arial" w:cs="Arial"/>
          <w:sz w:val="22"/>
          <w:szCs w:val="22"/>
          <w:lang w:val="fr-FR"/>
        </w:rPr>
      </w:pPr>
      <w:r w:rsidRPr="002B719B">
        <w:rPr>
          <w:rFonts w:ascii="Arial" w:hAnsi="Arial" w:cs="Arial"/>
          <w:sz w:val="22"/>
          <w:szCs w:val="22"/>
          <w:lang w:val="fr-FR"/>
        </w:rPr>
        <w:t>Comprendre les interactions entre la pêche et l’environnement (aux niveaux national et international) et création de liens plus étroits</w:t>
      </w:r>
    </w:p>
    <w:p w14:paraId="38435A9E" w14:textId="77777777" w:rsidR="00E207C7" w:rsidRPr="002B719B" w:rsidRDefault="00E207C7">
      <w:pPr>
        <w:numPr>
          <w:ilvl w:val="0"/>
          <w:numId w:val="8"/>
        </w:numPr>
        <w:jc w:val="both"/>
        <w:rPr>
          <w:rFonts w:cs="Arial"/>
          <w:lang w:val="fr-FR"/>
        </w:rPr>
      </w:pPr>
    </w:p>
    <w:p w14:paraId="5CBF2171" w14:textId="77777777" w:rsidR="00D25FFC" w:rsidRPr="002B719B" w:rsidRDefault="00D25FFC" w:rsidP="00D25FFC">
      <w:pPr>
        <w:numPr>
          <w:ilvl w:val="0"/>
          <w:numId w:val="12"/>
        </w:numPr>
        <w:jc w:val="both"/>
        <w:rPr>
          <w:rFonts w:cs="Arial"/>
          <w:lang w:val="fr-FR"/>
        </w:rPr>
      </w:pPr>
      <w:r w:rsidRPr="002B719B">
        <w:rPr>
          <w:rFonts w:cs="Arial"/>
          <w:lang w:val="fr-FR"/>
        </w:rPr>
        <w:t>La viande d’animaux sauvages aquatiques a souvent été négligée parce qu'elle n'a pas été considérée comme relevant du mandat des autorités de la pêche ou de l'environnement, alors qu'elle englobe à la fois l'un et l'autre. En raison de la complexité des facteurs catalyseurs de la pêche en particulier, il est indispensable que toutes les agences acquièrent une meilleure compréhension de la biodiversité de la faune aquatique de la région ainsi que des incohérences dans sa gestion.</w:t>
      </w:r>
    </w:p>
    <w:p w14:paraId="249F3DED" w14:textId="77777777" w:rsidR="00E16720" w:rsidRPr="002B719B" w:rsidRDefault="00E16720">
      <w:pPr>
        <w:numPr>
          <w:ilvl w:val="0"/>
          <w:numId w:val="8"/>
        </w:numPr>
        <w:jc w:val="both"/>
        <w:rPr>
          <w:rFonts w:cs="Arial"/>
          <w:szCs w:val="20"/>
          <w:lang w:val="fr-FR"/>
        </w:rPr>
      </w:pPr>
    </w:p>
    <w:p w14:paraId="05B63F77" w14:textId="77777777" w:rsidR="009B7BFA" w:rsidRPr="002B719B" w:rsidRDefault="009B7BFA" w:rsidP="009B7BFA">
      <w:pPr>
        <w:numPr>
          <w:ilvl w:val="0"/>
          <w:numId w:val="12"/>
        </w:numPr>
        <w:jc w:val="both"/>
        <w:rPr>
          <w:rFonts w:cs="Arial"/>
          <w:lang w:val="fr-FR"/>
        </w:rPr>
      </w:pPr>
      <w:r w:rsidRPr="002B719B">
        <w:rPr>
          <w:rFonts w:cs="Arial"/>
          <w:lang w:val="fr-FR"/>
        </w:rPr>
        <w:t xml:space="preserve">Objectif thématique quinquennal : </w:t>
      </w:r>
      <w:r w:rsidRPr="002B719B">
        <w:rPr>
          <w:rFonts w:cs="Arial"/>
          <w:b/>
          <w:bCs/>
          <w:lang w:val="fr-FR"/>
        </w:rPr>
        <w:t>Mieux comprendre l’importance mondiale des activités de pêche de la région, remédier aux incohérences en matière de gestion et exploiter les possibilités de synergies et d’amélioration de la gestion</w:t>
      </w:r>
    </w:p>
    <w:p w14:paraId="7D80D847" w14:textId="77777777" w:rsidR="00E16720" w:rsidRPr="002B719B" w:rsidRDefault="00E16720">
      <w:pPr>
        <w:numPr>
          <w:ilvl w:val="0"/>
          <w:numId w:val="8"/>
        </w:numPr>
        <w:jc w:val="both"/>
        <w:rPr>
          <w:rFonts w:cs="Arial"/>
          <w:lang w:val="fr-FR"/>
        </w:rPr>
      </w:pPr>
    </w:p>
    <w:tbl>
      <w:tblPr>
        <w:tblStyle w:val="TableGrid2"/>
        <w:tblW w:w="13946" w:type="dxa"/>
        <w:tblLayout w:type="fixed"/>
        <w:tblLook w:val="0000" w:firstRow="0" w:lastRow="0" w:firstColumn="0" w:lastColumn="0" w:noHBand="0" w:noVBand="0"/>
      </w:tblPr>
      <w:tblGrid>
        <w:gridCol w:w="2971"/>
        <w:gridCol w:w="4535"/>
        <w:gridCol w:w="2665"/>
        <w:gridCol w:w="1304"/>
        <w:gridCol w:w="2471"/>
      </w:tblGrid>
      <w:tr w:rsidR="004062E4" w:rsidRPr="00D53F47" w14:paraId="784C25FE" w14:textId="77777777" w:rsidTr="001F4645">
        <w:trPr>
          <w:tblHeader/>
        </w:trPr>
        <w:tc>
          <w:tcPr>
            <w:tcW w:w="2971" w:type="dxa"/>
            <w:shd w:val="clear" w:color="auto" w:fill="DEEAF6" w:themeFill="accent5" w:themeFillTint="33"/>
          </w:tcPr>
          <w:p w14:paraId="6F4DC7E0" w14:textId="77777777" w:rsidR="004062E4" w:rsidRPr="00D53F47" w:rsidRDefault="004062E4" w:rsidP="00D53F47">
            <w:pPr>
              <w:numPr>
                <w:ilvl w:val="0"/>
                <w:numId w:val="13"/>
              </w:numPr>
              <w:spacing w:before="40" w:after="40"/>
              <w:rPr>
                <w:rFonts w:ascii="Arial" w:eastAsia="Calibri" w:hAnsi="Arial" w:cs="Arial"/>
                <w:b/>
                <w:bCs/>
                <w:sz w:val="20"/>
                <w:szCs w:val="20"/>
                <w:lang w:val="fr-FR" w:eastAsia="en-GB"/>
              </w:rPr>
            </w:pPr>
            <w:r w:rsidRPr="00D53F47">
              <w:rPr>
                <w:rFonts w:ascii="Arial" w:eastAsia="Calibri" w:hAnsi="Arial" w:cs="Arial"/>
                <w:b/>
                <w:bCs/>
                <w:sz w:val="20"/>
                <w:szCs w:val="20"/>
                <w:lang w:val="fr-FR"/>
              </w:rPr>
              <w:t>Action</w:t>
            </w:r>
          </w:p>
        </w:tc>
        <w:tc>
          <w:tcPr>
            <w:tcW w:w="4535" w:type="dxa"/>
            <w:shd w:val="clear" w:color="auto" w:fill="DEEAF6" w:themeFill="accent5" w:themeFillTint="33"/>
          </w:tcPr>
          <w:p w14:paraId="15F9D71C" w14:textId="77777777" w:rsidR="004062E4" w:rsidRPr="00D53F47" w:rsidRDefault="004062E4" w:rsidP="00D53F47">
            <w:pPr>
              <w:numPr>
                <w:ilvl w:val="0"/>
                <w:numId w:val="13"/>
              </w:numPr>
              <w:spacing w:before="40" w:after="40"/>
              <w:rPr>
                <w:rFonts w:ascii="Arial" w:eastAsia="Calibri" w:hAnsi="Arial" w:cs="Arial"/>
                <w:b/>
                <w:bCs/>
                <w:sz w:val="20"/>
                <w:szCs w:val="20"/>
                <w:lang w:val="fr-FR" w:eastAsia="en-GB"/>
              </w:rPr>
            </w:pPr>
            <w:r w:rsidRPr="00D53F47">
              <w:rPr>
                <w:rFonts w:ascii="Arial" w:eastAsia="Calibri" w:hAnsi="Arial" w:cs="Arial"/>
                <w:b/>
                <w:bCs/>
                <w:sz w:val="20"/>
                <w:szCs w:val="20"/>
                <w:lang w:val="fr-FR"/>
              </w:rPr>
              <w:t>Activités</w:t>
            </w:r>
          </w:p>
        </w:tc>
        <w:tc>
          <w:tcPr>
            <w:tcW w:w="2665" w:type="dxa"/>
            <w:shd w:val="clear" w:color="auto" w:fill="DEEAF6" w:themeFill="accent5" w:themeFillTint="33"/>
          </w:tcPr>
          <w:p w14:paraId="2CBE1508" w14:textId="77777777" w:rsidR="004062E4" w:rsidRPr="00D53F47" w:rsidRDefault="004062E4" w:rsidP="00D53F47">
            <w:pPr>
              <w:numPr>
                <w:ilvl w:val="0"/>
                <w:numId w:val="13"/>
              </w:numPr>
              <w:spacing w:before="40" w:after="40"/>
              <w:rPr>
                <w:rFonts w:ascii="Arial" w:eastAsia="Calibri" w:hAnsi="Arial" w:cs="Arial"/>
                <w:b/>
                <w:bCs/>
                <w:sz w:val="20"/>
                <w:szCs w:val="20"/>
                <w:lang w:val="fr-FR" w:eastAsia="en-GB"/>
              </w:rPr>
            </w:pPr>
            <w:r w:rsidRPr="00D53F47">
              <w:rPr>
                <w:rFonts w:ascii="Arial" w:eastAsia="Calibri" w:hAnsi="Arial" w:cs="Arial"/>
                <w:b/>
                <w:bCs/>
                <w:sz w:val="20"/>
                <w:szCs w:val="20"/>
                <w:lang w:val="fr-FR"/>
              </w:rPr>
              <w:t>Responsable(s)</w:t>
            </w:r>
          </w:p>
        </w:tc>
        <w:tc>
          <w:tcPr>
            <w:tcW w:w="1304" w:type="dxa"/>
            <w:shd w:val="clear" w:color="auto" w:fill="DEEAF6" w:themeFill="accent5" w:themeFillTint="33"/>
          </w:tcPr>
          <w:p w14:paraId="13398ECE" w14:textId="77777777" w:rsidR="004062E4" w:rsidRPr="00D53F47" w:rsidRDefault="004062E4" w:rsidP="00D53F47">
            <w:pPr>
              <w:numPr>
                <w:ilvl w:val="0"/>
                <w:numId w:val="13"/>
              </w:numPr>
              <w:spacing w:before="40" w:after="40"/>
              <w:rPr>
                <w:rFonts w:ascii="Arial" w:eastAsia="Calibri" w:hAnsi="Arial" w:cs="Arial"/>
                <w:b/>
                <w:bCs/>
                <w:spacing w:val="-2"/>
                <w:sz w:val="20"/>
                <w:szCs w:val="20"/>
                <w:lang w:val="fr-FR" w:eastAsia="en-GB"/>
              </w:rPr>
            </w:pPr>
            <w:r w:rsidRPr="00D53F47">
              <w:rPr>
                <w:rFonts w:ascii="Arial" w:eastAsia="Calibri" w:hAnsi="Arial" w:cs="Arial"/>
                <w:b/>
                <w:bCs/>
                <w:spacing w:val="-2"/>
                <w:sz w:val="20"/>
                <w:szCs w:val="20"/>
                <w:lang w:val="fr-FR"/>
              </w:rPr>
              <w:t>Calendrier</w:t>
            </w:r>
          </w:p>
        </w:tc>
        <w:tc>
          <w:tcPr>
            <w:tcW w:w="2471" w:type="dxa"/>
            <w:shd w:val="clear" w:color="auto" w:fill="DEEAF6" w:themeFill="accent5" w:themeFillTint="33"/>
          </w:tcPr>
          <w:p w14:paraId="22281F79" w14:textId="77777777" w:rsidR="004062E4" w:rsidRPr="00D53F47" w:rsidRDefault="004062E4" w:rsidP="00D53F47">
            <w:pPr>
              <w:numPr>
                <w:ilvl w:val="0"/>
                <w:numId w:val="13"/>
              </w:numPr>
              <w:spacing w:before="40" w:after="40"/>
              <w:rPr>
                <w:rFonts w:ascii="Arial" w:eastAsia="Calibri" w:hAnsi="Arial" w:cs="Arial"/>
                <w:b/>
                <w:bCs/>
                <w:sz w:val="20"/>
                <w:szCs w:val="20"/>
                <w:lang w:val="fr-FR" w:eastAsia="en-GB"/>
              </w:rPr>
            </w:pPr>
            <w:r w:rsidRPr="00D53F47">
              <w:rPr>
                <w:rFonts w:ascii="Arial" w:eastAsia="Calibri" w:hAnsi="Arial" w:cs="Arial"/>
                <w:b/>
                <w:bCs/>
                <w:sz w:val="20"/>
                <w:szCs w:val="20"/>
                <w:lang w:val="fr-FR"/>
              </w:rPr>
              <w:t>Ressources nécessaires</w:t>
            </w:r>
          </w:p>
        </w:tc>
      </w:tr>
      <w:tr w:rsidR="004062E4" w:rsidRPr="00D53F47" w14:paraId="6EDE03F1" w14:textId="77777777" w:rsidTr="001F4645">
        <w:tc>
          <w:tcPr>
            <w:tcW w:w="2971" w:type="dxa"/>
            <w:vMerge w:val="restart"/>
          </w:tcPr>
          <w:p w14:paraId="4F350257" w14:textId="77777777" w:rsidR="004062E4" w:rsidRPr="00D53F47" w:rsidRDefault="004062E4" w:rsidP="00D53F47">
            <w:p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3.1. Évaluer le potentiel de la région en matière de lutte contre la perte de biodiversité de la faune aquatique au niveau mondial</w:t>
            </w:r>
          </w:p>
        </w:tc>
        <w:tc>
          <w:tcPr>
            <w:tcW w:w="4535" w:type="dxa"/>
          </w:tcPr>
          <w:p w14:paraId="3FA79A00" w14:textId="2692658D" w:rsidR="004062E4" w:rsidRPr="00D53F47" w:rsidRDefault="004062E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3.1.1. À partir des informations fournies dans les actions 1</w:t>
            </w:r>
            <w:r w:rsidR="005E3152" w:rsidRPr="00D53F47">
              <w:rPr>
                <w:rFonts w:ascii="Arial" w:eastAsia="Calibri" w:hAnsi="Arial" w:cs="Arial"/>
                <w:sz w:val="20"/>
                <w:szCs w:val="20"/>
                <w:lang w:val="fr-FR"/>
              </w:rPr>
              <w:t>.1</w:t>
            </w:r>
            <w:r w:rsidRPr="00D53F47">
              <w:rPr>
                <w:rFonts w:ascii="Arial" w:eastAsia="Calibri" w:hAnsi="Arial" w:cs="Arial"/>
                <w:sz w:val="20"/>
                <w:szCs w:val="20"/>
                <w:lang w:val="fr-FR"/>
              </w:rPr>
              <w:t xml:space="preserve"> et </w:t>
            </w:r>
            <w:r w:rsidR="005E3152" w:rsidRPr="00D53F47">
              <w:rPr>
                <w:rFonts w:ascii="Arial" w:eastAsia="Calibri" w:hAnsi="Arial" w:cs="Arial"/>
                <w:sz w:val="20"/>
                <w:szCs w:val="20"/>
                <w:lang w:val="fr-FR"/>
              </w:rPr>
              <w:t>2.3</w:t>
            </w:r>
            <w:r w:rsidRPr="00D53F47">
              <w:rPr>
                <w:rFonts w:ascii="Arial" w:eastAsia="Calibri" w:hAnsi="Arial" w:cs="Arial"/>
                <w:sz w:val="20"/>
                <w:szCs w:val="20"/>
                <w:lang w:val="fr-FR"/>
              </w:rPr>
              <w:t>, approfondir les recherches et rédiger un résumé de trois pages sur la richesse de la biodiversité de la faune aquatique et des stocks halieutiques de la région, sur l’importance de ces deux éléments pour la sécurité alimentaire et la stabilité économique, et sur le rôle que jouent les écosystèmes aquatiques d’Afrique de l’Ouest dans un contexte écologique plus large, tout en se référant aux conventions internationales (CITES, CBD, etc.)</w:t>
            </w:r>
          </w:p>
        </w:tc>
        <w:tc>
          <w:tcPr>
            <w:tcW w:w="2665" w:type="dxa"/>
          </w:tcPr>
          <w:p w14:paraId="1BCBB60A" w14:textId="3FE5CAAE" w:rsidR="004062E4" w:rsidRPr="00D53F47" w:rsidRDefault="004062E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AWM WG et les institutions universitaires et de recherche régionales, ainsi que les institutions techniques chargées de la gestion de la biodiversité de la faune aquatique et de la pêche</w:t>
            </w:r>
          </w:p>
        </w:tc>
        <w:tc>
          <w:tcPr>
            <w:tcW w:w="1304" w:type="dxa"/>
          </w:tcPr>
          <w:p w14:paraId="71134E69" w14:textId="4575E856" w:rsidR="004062E4" w:rsidRPr="00D53F47" w:rsidRDefault="004062E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2025</w:t>
            </w:r>
          </w:p>
        </w:tc>
        <w:tc>
          <w:tcPr>
            <w:tcW w:w="2471" w:type="dxa"/>
          </w:tcPr>
          <w:p w14:paraId="0CB3F581" w14:textId="73AEC429" w:rsidR="004062E4" w:rsidRPr="00D53F47" w:rsidRDefault="004062E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Temps de recherche documentaire et de rédaction</w:t>
            </w:r>
          </w:p>
        </w:tc>
      </w:tr>
      <w:tr w:rsidR="004062E4" w:rsidRPr="00D53F47" w14:paraId="6144194A" w14:textId="77777777" w:rsidTr="001F4645">
        <w:tc>
          <w:tcPr>
            <w:tcW w:w="2971" w:type="dxa"/>
            <w:vMerge/>
          </w:tcPr>
          <w:p w14:paraId="564A2996" w14:textId="77777777" w:rsidR="004062E4" w:rsidRPr="00D53F47" w:rsidRDefault="004062E4" w:rsidP="00D53F47">
            <w:pPr>
              <w:numPr>
                <w:ilvl w:val="0"/>
                <w:numId w:val="13"/>
              </w:numPr>
              <w:spacing w:before="40" w:after="40"/>
              <w:rPr>
                <w:rFonts w:ascii="Arial" w:eastAsia="Calibri" w:hAnsi="Arial" w:cs="Arial"/>
                <w:sz w:val="20"/>
                <w:szCs w:val="20"/>
                <w:lang w:val="fr-FR" w:eastAsia="en-GB"/>
              </w:rPr>
            </w:pPr>
          </w:p>
        </w:tc>
        <w:tc>
          <w:tcPr>
            <w:tcW w:w="4535" w:type="dxa"/>
          </w:tcPr>
          <w:p w14:paraId="762A5534" w14:textId="5CD9C393" w:rsidR="004062E4" w:rsidRPr="00D53F47" w:rsidRDefault="004062E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3.1.2. Elaborer une note synthèse sur les différentes agences internationales, régionales et nationales et les ONG travaillant spécialement dans l’environnement (CEDEAO, UA, BAD, FAO, etc.) et identifier les incohérences</w:t>
            </w:r>
          </w:p>
        </w:tc>
        <w:tc>
          <w:tcPr>
            <w:tcW w:w="2665" w:type="dxa"/>
          </w:tcPr>
          <w:p w14:paraId="51139371" w14:textId="4C63DC58" w:rsidR="004062E4" w:rsidRPr="00D53F47" w:rsidRDefault="004062E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AWM WG en collaboration avec les points focaux de CMS, CITES, Convention d’Abidjan, Ramsar, UICN et FAO</w:t>
            </w:r>
          </w:p>
        </w:tc>
        <w:tc>
          <w:tcPr>
            <w:tcW w:w="1304" w:type="dxa"/>
          </w:tcPr>
          <w:p w14:paraId="770C3116" w14:textId="2763880A" w:rsidR="004062E4" w:rsidRPr="00D53F47" w:rsidRDefault="004062E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2024</w:t>
            </w:r>
          </w:p>
        </w:tc>
        <w:tc>
          <w:tcPr>
            <w:tcW w:w="2471" w:type="dxa"/>
          </w:tcPr>
          <w:p w14:paraId="29C40D6F" w14:textId="6DBD974B" w:rsidR="004062E4" w:rsidRPr="00D53F47" w:rsidRDefault="004062E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Temps de recherche et de rédaction</w:t>
            </w:r>
          </w:p>
        </w:tc>
      </w:tr>
      <w:tr w:rsidR="004062E4" w:rsidRPr="00D53F47" w14:paraId="37FA1095" w14:textId="77777777" w:rsidTr="001F4645">
        <w:tc>
          <w:tcPr>
            <w:tcW w:w="2971" w:type="dxa"/>
            <w:vMerge/>
          </w:tcPr>
          <w:p w14:paraId="1D294F76" w14:textId="77777777" w:rsidR="004062E4" w:rsidRPr="00D53F47" w:rsidRDefault="004062E4" w:rsidP="00D53F47">
            <w:pPr>
              <w:spacing w:before="40" w:after="40"/>
              <w:rPr>
                <w:rFonts w:ascii="Arial" w:eastAsia="Calibri" w:hAnsi="Arial" w:cs="Arial"/>
                <w:sz w:val="20"/>
                <w:szCs w:val="20"/>
                <w:lang w:val="fr-FR" w:eastAsia="en-GB"/>
              </w:rPr>
            </w:pPr>
          </w:p>
        </w:tc>
        <w:tc>
          <w:tcPr>
            <w:tcW w:w="4535" w:type="dxa"/>
          </w:tcPr>
          <w:p w14:paraId="54DA2F58" w14:textId="57EEDE7C" w:rsidR="004062E4" w:rsidRPr="00D53F47" w:rsidRDefault="004062E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3.1.3. Elaborer une note synthèse sur les possibilités, pour les agences internationales, régionales et nationales, de mieux lutter contre les prélèvements illégaux d’animaux sauvages aquatiques pour leur viande</w:t>
            </w:r>
          </w:p>
        </w:tc>
        <w:tc>
          <w:tcPr>
            <w:tcW w:w="2665" w:type="dxa"/>
          </w:tcPr>
          <w:p w14:paraId="515715C4" w14:textId="28EC9CC8" w:rsidR="004062E4" w:rsidRPr="00D53F47" w:rsidRDefault="004062E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AWM WG en collaboration avec les points focaux de CMS, CITES, Convention d’Abidjan Ramsar, UICN et FAO</w:t>
            </w:r>
          </w:p>
        </w:tc>
        <w:tc>
          <w:tcPr>
            <w:tcW w:w="1304" w:type="dxa"/>
          </w:tcPr>
          <w:p w14:paraId="14EACF08" w14:textId="07853112" w:rsidR="004062E4" w:rsidRPr="00D53F47" w:rsidRDefault="004062E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2024</w:t>
            </w:r>
          </w:p>
        </w:tc>
        <w:tc>
          <w:tcPr>
            <w:tcW w:w="2471" w:type="dxa"/>
          </w:tcPr>
          <w:p w14:paraId="0F151CAF" w14:textId="02004F5B" w:rsidR="004062E4" w:rsidRPr="00D53F47" w:rsidRDefault="004062E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Temps de recherche et de rédaction</w:t>
            </w:r>
          </w:p>
        </w:tc>
      </w:tr>
      <w:tr w:rsidR="004062E4" w:rsidRPr="00D53F47" w14:paraId="11994B31" w14:textId="77777777" w:rsidTr="001F4645">
        <w:tc>
          <w:tcPr>
            <w:tcW w:w="2971" w:type="dxa"/>
          </w:tcPr>
          <w:p w14:paraId="4BF5DDC1" w14:textId="77777777" w:rsidR="004062E4" w:rsidRPr="00D53F47" w:rsidRDefault="004062E4" w:rsidP="00D53F47">
            <w:pPr>
              <w:spacing w:before="40" w:after="40"/>
              <w:rPr>
                <w:rFonts w:ascii="Arial" w:eastAsia="Calibri" w:hAnsi="Arial" w:cs="Arial"/>
                <w:sz w:val="20"/>
                <w:szCs w:val="20"/>
                <w:highlight w:val="yellow"/>
                <w:lang w:val="fr-FR" w:eastAsia="en-GB"/>
              </w:rPr>
            </w:pPr>
            <w:r w:rsidRPr="00D53F47">
              <w:rPr>
                <w:rFonts w:ascii="Arial" w:eastAsia="Calibri" w:hAnsi="Arial" w:cs="Arial"/>
                <w:sz w:val="20"/>
                <w:szCs w:val="20"/>
                <w:lang w:val="fr-FR" w:eastAsia="en-GB"/>
              </w:rPr>
              <w:lastRenderedPageBreak/>
              <w:t>3.2 Comprendre la capacité des accords multilatéraux sur l'environnement (AME) à lutter contre l'exploitation illégale de la viande sauvage aquatique</w:t>
            </w:r>
          </w:p>
        </w:tc>
        <w:tc>
          <w:tcPr>
            <w:tcW w:w="4535" w:type="dxa"/>
          </w:tcPr>
          <w:p w14:paraId="32491FAA" w14:textId="42B0347D" w:rsidR="004062E4" w:rsidRPr="00D53F47" w:rsidRDefault="004062E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3.2.1. Elaborer une note synthèse sur les mandats de la CITES, de la CMS et de l’ABC (Convention d’Abidjan) et sur les rôles des Parties et des observateurs afin d’envoyer un signal fort avec des détails efficaces pour susciter l'action de l'agence</w:t>
            </w:r>
          </w:p>
        </w:tc>
        <w:tc>
          <w:tcPr>
            <w:tcW w:w="2665" w:type="dxa"/>
          </w:tcPr>
          <w:p w14:paraId="3A507B79" w14:textId="66478874" w:rsidR="004062E4" w:rsidRPr="00D53F47" w:rsidRDefault="004062E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AWM WG en collaboration avec les points focaux de CMS, CITES, Convention d’Abidjan, Ramsar, UICN, CBI et FAO</w:t>
            </w:r>
          </w:p>
        </w:tc>
        <w:tc>
          <w:tcPr>
            <w:tcW w:w="1304" w:type="dxa"/>
          </w:tcPr>
          <w:p w14:paraId="3C9DAC12" w14:textId="08679B83" w:rsidR="004062E4" w:rsidRPr="00D53F47" w:rsidRDefault="004062E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2024</w:t>
            </w:r>
          </w:p>
        </w:tc>
        <w:tc>
          <w:tcPr>
            <w:tcW w:w="2471" w:type="dxa"/>
          </w:tcPr>
          <w:p w14:paraId="07DF0396" w14:textId="007897BA" w:rsidR="004062E4" w:rsidRPr="00D53F47" w:rsidRDefault="004062E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Temps de recherche documentaire et de rédaction</w:t>
            </w:r>
          </w:p>
        </w:tc>
      </w:tr>
      <w:tr w:rsidR="004062E4" w:rsidRPr="00D53F47" w14:paraId="26C26F8F" w14:textId="77777777" w:rsidTr="001F4645">
        <w:tc>
          <w:tcPr>
            <w:tcW w:w="2971" w:type="dxa"/>
          </w:tcPr>
          <w:p w14:paraId="5D153BF7" w14:textId="010C289F" w:rsidR="004062E4" w:rsidRPr="00D53F47" w:rsidRDefault="008F0711" w:rsidP="00D53F47">
            <w:pPr>
              <w:spacing w:before="40" w:after="40"/>
              <w:rPr>
                <w:rFonts w:ascii="Arial" w:eastAsia="Calibri" w:hAnsi="Arial" w:cs="Arial"/>
                <w:sz w:val="20"/>
                <w:szCs w:val="20"/>
                <w:lang w:val="fr-FR" w:eastAsia="en-GB"/>
              </w:rPr>
            </w:pPr>
            <w:r>
              <w:rPr>
                <w:rFonts w:ascii="Arial" w:eastAsia="Calibri" w:hAnsi="Arial" w:cs="Arial"/>
                <w:sz w:val="20"/>
                <w:szCs w:val="20"/>
                <w:lang w:val="fr-FR"/>
              </w:rPr>
              <w:t>3.3</w:t>
            </w:r>
            <w:r w:rsidR="004062E4" w:rsidRPr="00D53F47">
              <w:rPr>
                <w:rFonts w:ascii="Arial" w:eastAsia="Calibri" w:hAnsi="Arial" w:cs="Arial"/>
                <w:sz w:val="20"/>
                <w:szCs w:val="20"/>
                <w:lang w:val="fr-FR"/>
              </w:rPr>
              <w:t>. Élargir le plan d’action pour tenir compte des interconnexions et les opportunités</w:t>
            </w:r>
          </w:p>
        </w:tc>
        <w:tc>
          <w:tcPr>
            <w:tcW w:w="4535" w:type="dxa"/>
          </w:tcPr>
          <w:p w14:paraId="12AA5DE2" w14:textId="631C70B6" w:rsidR="004062E4" w:rsidRPr="00D53F47" w:rsidRDefault="004062E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3.3.1. Organiser une réunion virtuelle des acteurs de l’ensemble de la région pour explorer les possibilités de synergies entre les agences et élargir le plan d’action en conséquence</w:t>
            </w:r>
          </w:p>
        </w:tc>
        <w:tc>
          <w:tcPr>
            <w:tcW w:w="2665" w:type="dxa"/>
          </w:tcPr>
          <w:p w14:paraId="2CE050D7" w14:textId="4DE9D599" w:rsidR="004062E4" w:rsidRPr="00D53F47" w:rsidRDefault="004062E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Les points focaux de l’Afrique de l’Ouest de CMS, CITES, Convention d’Abidjan, Ramsar, UICN, CBI et FAO</w:t>
            </w:r>
          </w:p>
        </w:tc>
        <w:tc>
          <w:tcPr>
            <w:tcW w:w="1304" w:type="dxa"/>
          </w:tcPr>
          <w:p w14:paraId="348A0240" w14:textId="073C0B8E" w:rsidR="004062E4" w:rsidRPr="00D53F47" w:rsidRDefault="004062E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2026</w:t>
            </w:r>
          </w:p>
        </w:tc>
        <w:tc>
          <w:tcPr>
            <w:tcW w:w="2471" w:type="dxa"/>
          </w:tcPr>
          <w:p w14:paraId="2A0CAF6D" w14:textId="77777777" w:rsidR="004062E4" w:rsidRPr="00D53F47" w:rsidRDefault="004062E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 xml:space="preserve">Temps de travail de l’agence </w:t>
            </w:r>
          </w:p>
          <w:p w14:paraId="688DE621" w14:textId="43B2BCD1" w:rsidR="004062E4" w:rsidRPr="00D53F47" w:rsidRDefault="004062E4" w:rsidP="00D53F47">
            <w:pPr>
              <w:numPr>
                <w:ilvl w:val="0"/>
                <w:numId w:val="13"/>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Frais d’Interprétation et cout de l’internet</w:t>
            </w:r>
          </w:p>
        </w:tc>
      </w:tr>
    </w:tbl>
    <w:p w14:paraId="07CF649B" w14:textId="77777777" w:rsidR="00E207C7" w:rsidRPr="002B719B" w:rsidRDefault="00E207C7" w:rsidP="00614984">
      <w:pPr>
        <w:rPr>
          <w:lang w:val="fr-FR"/>
        </w:rPr>
      </w:pPr>
    </w:p>
    <w:p w14:paraId="51D551E1" w14:textId="77777777" w:rsidR="000A081C" w:rsidRPr="002B719B" w:rsidRDefault="000A081C" w:rsidP="00614984">
      <w:pPr>
        <w:rPr>
          <w:lang w:val="fr-FR"/>
        </w:rPr>
      </w:pPr>
    </w:p>
    <w:p w14:paraId="136351AE" w14:textId="77777777" w:rsidR="00D00125" w:rsidRPr="002B719B" w:rsidRDefault="00D00125">
      <w:pPr>
        <w:rPr>
          <w:rFonts w:eastAsia="Noto Sans CJK SC" w:cs="Arial"/>
          <w:b/>
          <w:bCs/>
          <w:kern w:val="2"/>
          <w:lang w:val="fr-FR" w:eastAsia="zh-CN" w:bidi="hi-IN"/>
        </w:rPr>
      </w:pPr>
      <w:r w:rsidRPr="002B719B">
        <w:rPr>
          <w:rFonts w:cs="Arial"/>
          <w:lang w:val="fr-FR"/>
        </w:rPr>
        <w:br w:type="page"/>
      </w:r>
    </w:p>
    <w:p w14:paraId="7FA91EA7" w14:textId="45A62EEF" w:rsidR="00D20A8C" w:rsidRPr="002B719B" w:rsidRDefault="00E16720">
      <w:pPr>
        <w:pStyle w:val="Heading3"/>
        <w:spacing w:before="0" w:after="0"/>
        <w:jc w:val="center"/>
        <w:rPr>
          <w:rFonts w:ascii="Arial" w:hAnsi="Arial" w:cs="Arial"/>
          <w:sz w:val="22"/>
          <w:szCs w:val="22"/>
          <w:lang w:val="fr-FR"/>
        </w:rPr>
      </w:pPr>
      <w:r w:rsidRPr="002B719B">
        <w:rPr>
          <w:rFonts w:ascii="Arial" w:hAnsi="Arial" w:cs="Arial"/>
          <w:sz w:val="22"/>
          <w:szCs w:val="22"/>
          <w:lang w:val="fr-FR"/>
        </w:rPr>
        <w:lastRenderedPageBreak/>
        <w:t>Thème</w:t>
      </w:r>
      <w:r w:rsidR="00034B91" w:rsidRPr="002B719B">
        <w:rPr>
          <w:rFonts w:ascii="Arial" w:hAnsi="Arial" w:cs="Arial"/>
          <w:sz w:val="22"/>
          <w:szCs w:val="22"/>
          <w:lang w:val="fr-FR"/>
        </w:rPr>
        <w:t> </w:t>
      </w:r>
      <w:r w:rsidR="003D0AE7" w:rsidRPr="002B719B">
        <w:rPr>
          <w:rFonts w:ascii="Arial" w:hAnsi="Arial" w:cs="Arial"/>
          <w:sz w:val="22"/>
          <w:szCs w:val="22"/>
          <w:lang w:val="fr-FR"/>
        </w:rPr>
        <w:t>4</w:t>
      </w:r>
      <w:r w:rsidR="00034B91" w:rsidRPr="002B719B">
        <w:rPr>
          <w:rFonts w:ascii="Arial" w:hAnsi="Arial" w:cs="Arial"/>
          <w:sz w:val="22"/>
          <w:szCs w:val="22"/>
          <w:lang w:val="fr-FR"/>
        </w:rPr>
        <w:t> </w:t>
      </w:r>
      <w:r w:rsidRPr="002B719B">
        <w:rPr>
          <w:rFonts w:ascii="Arial" w:hAnsi="Arial" w:cs="Arial"/>
          <w:sz w:val="22"/>
          <w:szCs w:val="22"/>
          <w:lang w:val="fr-FR"/>
        </w:rPr>
        <w:t xml:space="preserve">: </w:t>
      </w:r>
    </w:p>
    <w:p w14:paraId="6BCC6B64" w14:textId="248048A5" w:rsidR="00E16720" w:rsidRPr="002B719B" w:rsidRDefault="003D0AE7">
      <w:pPr>
        <w:pStyle w:val="Heading3"/>
        <w:spacing w:before="0" w:after="0"/>
        <w:jc w:val="center"/>
        <w:rPr>
          <w:rFonts w:ascii="Arial" w:hAnsi="Arial" w:cs="Arial"/>
          <w:sz w:val="22"/>
          <w:szCs w:val="22"/>
          <w:lang w:val="fr-FR"/>
        </w:rPr>
      </w:pPr>
      <w:r w:rsidRPr="002B719B">
        <w:rPr>
          <w:rFonts w:ascii="Arial" w:hAnsi="Arial" w:cs="Arial"/>
          <w:sz w:val="22"/>
          <w:szCs w:val="22"/>
          <w:lang w:val="fr-FR"/>
        </w:rPr>
        <w:t>Promouvoir des solutions impulsées par la communauté, rédiger et mettre en application les lois</w:t>
      </w:r>
    </w:p>
    <w:p w14:paraId="4C191E5E" w14:textId="77777777" w:rsidR="00E207C7" w:rsidRPr="002B719B" w:rsidRDefault="00E207C7">
      <w:pPr>
        <w:numPr>
          <w:ilvl w:val="0"/>
          <w:numId w:val="8"/>
        </w:numPr>
        <w:jc w:val="both"/>
        <w:rPr>
          <w:rFonts w:cs="Arial"/>
          <w:lang w:val="fr-FR"/>
        </w:rPr>
      </w:pPr>
    </w:p>
    <w:p w14:paraId="7BFCA723" w14:textId="47ECFE27" w:rsidR="00E16720" w:rsidRPr="002B719B" w:rsidRDefault="00B5531E">
      <w:pPr>
        <w:numPr>
          <w:ilvl w:val="0"/>
          <w:numId w:val="8"/>
        </w:numPr>
        <w:jc w:val="both"/>
        <w:rPr>
          <w:rFonts w:cs="Arial"/>
          <w:szCs w:val="20"/>
          <w:lang w:val="fr-FR"/>
        </w:rPr>
      </w:pPr>
      <w:r w:rsidRPr="002B719B">
        <w:rPr>
          <w:lang w:val="fr-FR"/>
        </w:rPr>
        <w:t>Les lois traditionnelles de protection de la faune aquatique sont souvent appliquées plus efficacement que la législation nationale. Les solutions communautaires peuvent donc être des outils puissants pour la conservation des espèces aquatiques sauvages, mais doivent être alignées sur les politiques mondiales, régionales et nationales. Le manque de sensibilisation aux politiques existantes est une menace majeure pour la conservation des espèces aquatiques de viande sauvage et cela est vrai pour les communautés locales ainsi que pour le personnel chargé de l'application des lois. Ceci est d'avantage aggravé par le manque de ressources humaines, technologiques et financières pour l'application de la loi, ainsi que par la pauvreté et le manque d'options de subsistance alternatives pour les communautés.</w:t>
      </w:r>
    </w:p>
    <w:p w14:paraId="7F236BA1" w14:textId="77777777" w:rsidR="00B5531E" w:rsidRPr="002B719B" w:rsidRDefault="00B5531E">
      <w:pPr>
        <w:numPr>
          <w:ilvl w:val="0"/>
          <w:numId w:val="8"/>
        </w:numPr>
        <w:jc w:val="both"/>
        <w:rPr>
          <w:rFonts w:cs="Arial"/>
          <w:szCs w:val="20"/>
          <w:lang w:val="fr-FR"/>
        </w:rPr>
      </w:pPr>
    </w:p>
    <w:p w14:paraId="7B11C533" w14:textId="77777777" w:rsidR="0076154C" w:rsidRPr="002B719B" w:rsidRDefault="0076154C" w:rsidP="0076154C">
      <w:pPr>
        <w:numPr>
          <w:ilvl w:val="0"/>
          <w:numId w:val="12"/>
        </w:numPr>
        <w:jc w:val="both"/>
        <w:rPr>
          <w:rFonts w:cs="Arial"/>
          <w:lang w:val="fr-FR"/>
        </w:rPr>
      </w:pPr>
      <w:r w:rsidRPr="002B719B">
        <w:rPr>
          <w:rFonts w:cs="Arial"/>
          <w:lang w:val="fr-FR"/>
        </w:rPr>
        <w:t xml:space="preserve">Objectif thématique quinquennal : </w:t>
      </w:r>
      <w:r w:rsidRPr="002B719B">
        <w:rPr>
          <w:rFonts w:cs="Arial"/>
          <w:b/>
          <w:bCs/>
          <w:lang w:val="fr-FR"/>
        </w:rPr>
        <w:t>Favoriser les solutions portées par les communautés, tout en renforçant la législation et les capacités d’exécution au besoin</w:t>
      </w:r>
    </w:p>
    <w:p w14:paraId="1F109528" w14:textId="77777777" w:rsidR="00E16720" w:rsidRPr="002B719B" w:rsidRDefault="00E16720">
      <w:pPr>
        <w:numPr>
          <w:ilvl w:val="0"/>
          <w:numId w:val="8"/>
        </w:numPr>
        <w:jc w:val="both"/>
        <w:rPr>
          <w:rFonts w:cs="Arial"/>
          <w:lang w:val="fr-FR"/>
        </w:rPr>
      </w:pPr>
    </w:p>
    <w:tbl>
      <w:tblPr>
        <w:tblStyle w:val="TableGrid3"/>
        <w:tblW w:w="13948" w:type="dxa"/>
        <w:tblLook w:val="0000" w:firstRow="0" w:lastRow="0" w:firstColumn="0" w:lastColumn="0" w:noHBand="0" w:noVBand="0"/>
      </w:tblPr>
      <w:tblGrid>
        <w:gridCol w:w="2971"/>
        <w:gridCol w:w="4535"/>
        <w:gridCol w:w="2665"/>
        <w:gridCol w:w="1305"/>
        <w:gridCol w:w="2472"/>
      </w:tblGrid>
      <w:tr w:rsidR="00D750D2" w:rsidRPr="00D53F47" w14:paraId="3E0C664B" w14:textId="77777777" w:rsidTr="0099585D">
        <w:trPr>
          <w:tblHeader/>
        </w:trPr>
        <w:tc>
          <w:tcPr>
            <w:tcW w:w="2971" w:type="dxa"/>
            <w:shd w:val="clear" w:color="auto" w:fill="DEEAF6" w:themeFill="accent5" w:themeFillTint="33"/>
          </w:tcPr>
          <w:p w14:paraId="79355D1E" w14:textId="77777777" w:rsidR="002D0415" w:rsidRPr="00D53F47" w:rsidRDefault="002D0415" w:rsidP="00D53F47">
            <w:pPr>
              <w:numPr>
                <w:ilvl w:val="0"/>
                <w:numId w:val="14"/>
              </w:numPr>
              <w:spacing w:before="40" w:after="40"/>
              <w:rPr>
                <w:rFonts w:ascii="Arial" w:eastAsia="Calibri" w:hAnsi="Arial" w:cs="Arial"/>
                <w:b/>
                <w:bCs/>
                <w:sz w:val="20"/>
                <w:szCs w:val="20"/>
                <w:lang w:val="fr-FR" w:eastAsia="en-GB"/>
              </w:rPr>
            </w:pPr>
            <w:r w:rsidRPr="00D53F47">
              <w:rPr>
                <w:rFonts w:ascii="Arial" w:eastAsia="Calibri" w:hAnsi="Arial" w:cs="Arial"/>
                <w:b/>
                <w:bCs/>
                <w:sz w:val="20"/>
                <w:szCs w:val="20"/>
                <w:lang w:val="fr-FR"/>
              </w:rPr>
              <w:t>Action</w:t>
            </w:r>
          </w:p>
        </w:tc>
        <w:tc>
          <w:tcPr>
            <w:tcW w:w="4535" w:type="dxa"/>
            <w:shd w:val="clear" w:color="auto" w:fill="DEEAF6" w:themeFill="accent5" w:themeFillTint="33"/>
          </w:tcPr>
          <w:p w14:paraId="0F422DF4" w14:textId="77777777" w:rsidR="002D0415" w:rsidRPr="00D53F47" w:rsidRDefault="002D0415" w:rsidP="00D53F47">
            <w:pPr>
              <w:numPr>
                <w:ilvl w:val="0"/>
                <w:numId w:val="14"/>
              </w:numPr>
              <w:spacing w:before="40" w:after="40"/>
              <w:rPr>
                <w:rFonts w:ascii="Arial" w:eastAsia="Calibri" w:hAnsi="Arial" w:cs="Arial"/>
                <w:b/>
                <w:bCs/>
                <w:sz w:val="20"/>
                <w:szCs w:val="20"/>
                <w:lang w:val="fr-FR" w:eastAsia="en-GB"/>
              </w:rPr>
            </w:pPr>
            <w:r w:rsidRPr="00D53F47">
              <w:rPr>
                <w:rFonts w:ascii="Arial" w:eastAsia="Calibri" w:hAnsi="Arial" w:cs="Arial"/>
                <w:b/>
                <w:bCs/>
                <w:sz w:val="20"/>
                <w:szCs w:val="20"/>
                <w:lang w:val="fr-FR"/>
              </w:rPr>
              <w:t>Activités</w:t>
            </w:r>
          </w:p>
        </w:tc>
        <w:tc>
          <w:tcPr>
            <w:tcW w:w="2665" w:type="dxa"/>
            <w:shd w:val="clear" w:color="auto" w:fill="DEEAF6" w:themeFill="accent5" w:themeFillTint="33"/>
          </w:tcPr>
          <w:p w14:paraId="78E9AC66" w14:textId="77777777" w:rsidR="002D0415" w:rsidRPr="00D53F47" w:rsidRDefault="002D0415" w:rsidP="00D53F47">
            <w:pPr>
              <w:numPr>
                <w:ilvl w:val="0"/>
                <w:numId w:val="14"/>
              </w:numPr>
              <w:spacing w:before="40" w:after="40"/>
              <w:rPr>
                <w:rFonts w:ascii="Arial" w:eastAsia="Calibri" w:hAnsi="Arial" w:cs="Arial"/>
                <w:b/>
                <w:bCs/>
                <w:sz w:val="20"/>
                <w:szCs w:val="20"/>
                <w:lang w:val="fr-FR" w:eastAsia="en-GB"/>
              </w:rPr>
            </w:pPr>
            <w:r w:rsidRPr="00D53F47">
              <w:rPr>
                <w:rFonts w:ascii="Arial" w:eastAsia="Calibri" w:hAnsi="Arial" w:cs="Arial"/>
                <w:b/>
                <w:bCs/>
                <w:sz w:val="20"/>
                <w:szCs w:val="20"/>
                <w:lang w:val="fr-FR"/>
              </w:rPr>
              <w:t>Responsable(s)</w:t>
            </w:r>
          </w:p>
        </w:tc>
        <w:tc>
          <w:tcPr>
            <w:tcW w:w="0" w:type="auto"/>
            <w:shd w:val="clear" w:color="auto" w:fill="DEEAF6" w:themeFill="accent5" w:themeFillTint="33"/>
          </w:tcPr>
          <w:p w14:paraId="3787BF30" w14:textId="77777777" w:rsidR="002D0415" w:rsidRPr="00D53F47" w:rsidRDefault="002D0415" w:rsidP="00D53F47">
            <w:pPr>
              <w:numPr>
                <w:ilvl w:val="0"/>
                <w:numId w:val="14"/>
              </w:numPr>
              <w:spacing w:before="40" w:after="40"/>
              <w:rPr>
                <w:rFonts w:ascii="Arial" w:eastAsia="Calibri" w:hAnsi="Arial" w:cs="Arial"/>
                <w:b/>
                <w:bCs/>
                <w:sz w:val="20"/>
                <w:szCs w:val="20"/>
                <w:lang w:val="fr-FR" w:eastAsia="en-GB"/>
              </w:rPr>
            </w:pPr>
            <w:r w:rsidRPr="00D53F47">
              <w:rPr>
                <w:rFonts w:ascii="Arial" w:eastAsia="Calibri" w:hAnsi="Arial" w:cs="Arial"/>
                <w:b/>
                <w:bCs/>
                <w:sz w:val="20"/>
                <w:szCs w:val="20"/>
                <w:lang w:val="fr-FR"/>
              </w:rPr>
              <w:t>Calendrier</w:t>
            </w:r>
          </w:p>
        </w:tc>
        <w:tc>
          <w:tcPr>
            <w:tcW w:w="2472" w:type="dxa"/>
            <w:shd w:val="clear" w:color="auto" w:fill="DEEAF6" w:themeFill="accent5" w:themeFillTint="33"/>
          </w:tcPr>
          <w:p w14:paraId="6DBE7145" w14:textId="77777777" w:rsidR="002D0415" w:rsidRPr="00D53F47" w:rsidRDefault="002D0415" w:rsidP="00D53F47">
            <w:pPr>
              <w:numPr>
                <w:ilvl w:val="0"/>
                <w:numId w:val="14"/>
              </w:numPr>
              <w:spacing w:before="40" w:after="40"/>
              <w:rPr>
                <w:rFonts w:ascii="Arial" w:eastAsia="Calibri" w:hAnsi="Arial" w:cs="Arial"/>
                <w:b/>
                <w:bCs/>
                <w:sz w:val="20"/>
                <w:szCs w:val="20"/>
                <w:lang w:val="fr-FR" w:eastAsia="en-GB"/>
              </w:rPr>
            </w:pPr>
            <w:r w:rsidRPr="00D53F47">
              <w:rPr>
                <w:rFonts w:ascii="Arial" w:eastAsia="Calibri" w:hAnsi="Arial" w:cs="Arial"/>
                <w:b/>
                <w:bCs/>
                <w:sz w:val="20"/>
                <w:szCs w:val="20"/>
                <w:lang w:val="fr-FR"/>
              </w:rPr>
              <w:t>Ressources nécessaires</w:t>
            </w:r>
          </w:p>
        </w:tc>
      </w:tr>
      <w:tr w:rsidR="00D750D2" w:rsidRPr="00D53F47" w14:paraId="5EC5FF63" w14:textId="77777777" w:rsidTr="0099585D">
        <w:tc>
          <w:tcPr>
            <w:tcW w:w="2971" w:type="dxa"/>
            <w:vMerge w:val="restart"/>
          </w:tcPr>
          <w:p w14:paraId="5139625A" w14:textId="77777777" w:rsidR="002D0415" w:rsidRPr="00D53F47" w:rsidRDefault="002D0415" w:rsidP="00D53F47">
            <w:p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4.1. Favoriser les solutions portées par les communautés</w:t>
            </w:r>
          </w:p>
        </w:tc>
        <w:tc>
          <w:tcPr>
            <w:tcW w:w="4535" w:type="dxa"/>
          </w:tcPr>
          <w:p w14:paraId="217F0537" w14:textId="3CAE81B4"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 xml:space="preserve">4.1.1. Identifier, documenter et publier des exemples de bonnes pratiques en matière de conservation </w:t>
            </w:r>
            <w:r w:rsidRPr="00D53F47">
              <w:rPr>
                <w:rFonts w:ascii="Arial" w:eastAsia="Calibri" w:hAnsi="Arial" w:cs="Arial"/>
                <w:strike/>
                <w:sz w:val="20"/>
                <w:szCs w:val="20"/>
                <w:lang w:val="fr-FR"/>
              </w:rPr>
              <w:t>d’</w:t>
            </w:r>
            <w:r w:rsidRPr="00D53F47">
              <w:rPr>
                <w:rFonts w:ascii="Arial" w:eastAsia="Calibri" w:hAnsi="Arial" w:cs="Arial"/>
                <w:sz w:val="20"/>
                <w:szCs w:val="20"/>
                <w:lang w:val="fr-FR"/>
              </w:rPr>
              <w:t>des espèces et de gestion appropriée de la viande sauvage aquatique menées par les communautés dans toute la région, afin de les utiliser comme outil de sensibilisation (décideurs politiques et communautés).</w:t>
            </w:r>
          </w:p>
        </w:tc>
        <w:tc>
          <w:tcPr>
            <w:tcW w:w="2665" w:type="dxa"/>
          </w:tcPr>
          <w:p w14:paraId="20F7E5C0" w14:textId="18315ADD"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AWM WG en collaboration avec les points focaux de l’Afrique de l’Ouest de CMS, CITES, Convention d’Abidjan, Ramsar, UICN, CBI et FAO</w:t>
            </w:r>
          </w:p>
        </w:tc>
        <w:tc>
          <w:tcPr>
            <w:tcW w:w="0" w:type="auto"/>
          </w:tcPr>
          <w:p w14:paraId="6135B743" w14:textId="5C2BFFD4"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2025</w:t>
            </w:r>
          </w:p>
        </w:tc>
        <w:tc>
          <w:tcPr>
            <w:tcW w:w="2472" w:type="dxa"/>
          </w:tcPr>
          <w:p w14:paraId="64C46E3D" w14:textId="380C390C"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Temps de travail du personnel + accès internet</w:t>
            </w:r>
          </w:p>
        </w:tc>
      </w:tr>
      <w:tr w:rsidR="00D750D2" w:rsidRPr="00D53F47" w14:paraId="1F0643EE" w14:textId="77777777" w:rsidTr="0099585D">
        <w:tc>
          <w:tcPr>
            <w:tcW w:w="2971" w:type="dxa"/>
            <w:vMerge/>
          </w:tcPr>
          <w:p w14:paraId="6CE36203" w14:textId="77777777" w:rsidR="002D0415" w:rsidRPr="00D53F47" w:rsidRDefault="002D0415" w:rsidP="00D53F47">
            <w:pPr>
              <w:numPr>
                <w:ilvl w:val="0"/>
                <w:numId w:val="14"/>
              </w:numPr>
              <w:spacing w:before="40" w:after="40"/>
              <w:rPr>
                <w:rFonts w:ascii="Arial" w:eastAsia="Calibri" w:hAnsi="Arial" w:cs="Arial"/>
                <w:sz w:val="20"/>
                <w:szCs w:val="20"/>
                <w:lang w:val="fr-FR" w:eastAsia="en-GB"/>
              </w:rPr>
            </w:pPr>
          </w:p>
        </w:tc>
        <w:tc>
          <w:tcPr>
            <w:tcW w:w="4535" w:type="dxa"/>
          </w:tcPr>
          <w:p w14:paraId="6A340041" w14:textId="24B879CE"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4.1.2. Aller au contact de ces communautés pour tirer des enseignements et trouver des solutions qui peuvent être appliquées ailleurs</w:t>
            </w:r>
          </w:p>
        </w:tc>
        <w:tc>
          <w:tcPr>
            <w:tcW w:w="2665" w:type="dxa"/>
          </w:tcPr>
          <w:p w14:paraId="67FA9E7E" w14:textId="3ECAB07B"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AWM WG en collaboration avec les points focaux de l’Afrique de l’Ouest de CMS, CITES, Convention d’Abidjan, Ramsar, UICN et FAO</w:t>
            </w:r>
          </w:p>
        </w:tc>
        <w:tc>
          <w:tcPr>
            <w:tcW w:w="0" w:type="auto"/>
          </w:tcPr>
          <w:p w14:paraId="149F42A9" w14:textId="5898FD00"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2026</w:t>
            </w:r>
          </w:p>
        </w:tc>
        <w:tc>
          <w:tcPr>
            <w:tcW w:w="2472" w:type="dxa"/>
          </w:tcPr>
          <w:p w14:paraId="1F87D1A1" w14:textId="77777777" w:rsidR="002D0415" w:rsidRPr="00D53F47" w:rsidRDefault="002D0415" w:rsidP="00D53F47">
            <w:pPr>
              <w:widowControl w:val="0"/>
              <w:numPr>
                <w:ilvl w:val="0"/>
                <w:numId w:val="12"/>
              </w:numPr>
              <w:spacing w:before="40" w:after="40"/>
              <w:rPr>
                <w:rFonts w:ascii="Arial" w:eastAsia="Calibri" w:hAnsi="Arial" w:cs="Arial"/>
                <w:sz w:val="20"/>
                <w:szCs w:val="20"/>
                <w:lang w:val="fr-FR"/>
              </w:rPr>
            </w:pPr>
            <w:r w:rsidRPr="00D53F47">
              <w:rPr>
                <w:rFonts w:ascii="Arial" w:eastAsia="Calibri" w:hAnsi="Arial" w:cs="Arial"/>
                <w:sz w:val="20"/>
                <w:szCs w:val="20"/>
                <w:lang w:val="fr-FR"/>
              </w:rPr>
              <w:t>Frais de terrain (déplacements et ateliers)</w:t>
            </w:r>
          </w:p>
          <w:p w14:paraId="3CCCFCAD" w14:textId="3881C7DC"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Temps de travail du personnel + accès internet</w:t>
            </w:r>
          </w:p>
        </w:tc>
      </w:tr>
      <w:tr w:rsidR="00D750D2" w:rsidRPr="00D53F47" w14:paraId="1CC26491" w14:textId="77777777" w:rsidTr="0099585D">
        <w:tc>
          <w:tcPr>
            <w:tcW w:w="2971" w:type="dxa"/>
            <w:vMerge/>
          </w:tcPr>
          <w:p w14:paraId="1DE933FF" w14:textId="77777777" w:rsidR="002D0415" w:rsidRPr="00D53F47" w:rsidRDefault="002D0415" w:rsidP="00D53F47">
            <w:pPr>
              <w:spacing w:before="40" w:after="40"/>
              <w:rPr>
                <w:rFonts w:ascii="Arial" w:eastAsia="Calibri" w:hAnsi="Arial" w:cs="Arial"/>
                <w:sz w:val="20"/>
                <w:szCs w:val="20"/>
                <w:lang w:val="fr-FR" w:eastAsia="en-GB"/>
              </w:rPr>
            </w:pPr>
          </w:p>
        </w:tc>
        <w:tc>
          <w:tcPr>
            <w:tcW w:w="4535" w:type="dxa"/>
          </w:tcPr>
          <w:p w14:paraId="167C6EF1" w14:textId="35E1A2F5"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4.1.3. Reformuler les informations produites par les actions 1</w:t>
            </w:r>
            <w:r w:rsidR="00257A42" w:rsidRPr="00D53F47">
              <w:rPr>
                <w:rFonts w:ascii="Arial" w:eastAsia="Calibri" w:hAnsi="Arial" w:cs="Arial"/>
                <w:sz w:val="20"/>
                <w:szCs w:val="20"/>
                <w:lang w:val="fr-FR"/>
              </w:rPr>
              <w:t>.1</w:t>
            </w:r>
            <w:r w:rsidRPr="00D53F47">
              <w:rPr>
                <w:rFonts w:ascii="Arial" w:eastAsia="Calibri" w:hAnsi="Arial" w:cs="Arial"/>
                <w:sz w:val="20"/>
                <w:szCs w:val="20"/>
                <w:lang w:val="fr-FR"/>
              </w:rPr>
              <w:t xml:space="preserve">, </w:t>
            </w:r>
            <w:r w:rsidR="00257A42" w:rsidRPr="00D53F47">
              <w:rPr>
                <w:rFonts w:ascii="Arial" w:eastAsia="Calibri" w:hAnsi="Arial" w:cs="Arial"/>
                <w:sz w:val="20"/>
                <w:szCs w:val="20"/>
                <w:lang w:val="fr-FR"/>
              </w:rPr>
              <w:t>2.3</w:t>
            </w:r>
            <w:r w:rsidRPr="00D53F47">
              <w:rPr>
                <w:rFonts w:ascii="Arial" w:eastAsia="Calibri" w:hAnsi="Arial" w:cs="Arial"/>
                <w:sz w:val="20"/>
                <w:szCs w:val="20"/>
                <w:lang w:val="fr-FR"/>
              </w:rPr>
              <w:t xml:space="preserve"> et </w:t>
            </w:r>
            <w:r w:rsidR="00D56C8D" w:rsidRPr="00D53F47">
              <w:rPr>
                <w:rFonts w:ascii="Arial" w:eastAsia="Calibri" w:hAnsi="Arial" w:cs="Arial"/>
                <w:sz w:val="20"/>
                <w:szCs w:val="20"/>
                <w:lang w:val="fr-FR"/>
              </w:rPr>
              <w:t>3.1</w:t>
            </w:r>
            <w:r w:rsidRPr="00D53F47">
              <w:rPr>
                <w:rFonts w:ascii="Arial" w:eastAsia="Calibri" w:hAnsi="Arial" w:cs="Arial"/>
                <w:sz w:val="20"/>
                <w:szCs w:val="20"/>
                <w:lang w:val="fr-FR"/>
              </w:rPr>
              <w:t xml:space="preserve"> et les traduire dans les langues locales appropriées</w:t>
            </w:r>
          </w:p>
        </w:tc>
        <w:tc>
          <w:tcPr>
            <w:tcW w:w="2665" w:type="dxa"/>
          </w:tcPr>
          <w:p w14:paraId="3EB8DAF5" w14:textId="1C970531"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AWM WG en collaboration avec les points focaux de l’Afrique de l’Ouest de CMS, CITES, Convention d’Abidjan, Ramsar, UICN et FAO</w:t>
            </w:r>
          </w:p>
        </w:tc>
        <w:tc>
          <w:tcPr>
            <w:tcW w:w="0" w:type="auto"/>
          </w:tcPr>
          <w:p w14:paraId="54B4C6D0" w14:textId="19872779"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eastAsia="en-GB"/>
              </w:rPr>
              <w:t>2026</w:t>
            </w:r>
          </w:p>
        </w:tc>
        <w:tc>
          <w:tcPr>
            <w:tcW w:w="2472" w:type="dxa"/>
          </w:tcPr>
          <w:p w14:paraId="771EF9BD" w14:textId="77777777" w:rsidR="002D0415" w:rsidRPr="00D53F47" w:rsidRDefault="002D0415" w:rsidP="00D53F47">
            <w:pPr>
              <w:widowControl w:val="0"/>
              <w:numPr>
                <w:ilvl w:val="0"/>
                <w:numId w:val="12"/>
              </w:numPr>
              <w:spacing w:before="40" w:after="40"/>
              <w:rPr>
                <w:rFonts w:ascii="Arial" w:eastAsia="Calibri" w:hAnsi="Arial" w:cs="Arial"/>
                <w:sz w:val="20"/>
                <w:szCs w:val="20"/>
                <w:lang w:val="fr-FR"/>
              </w:rPr>
            </w:pPr>
            <w:r w:rsidRPr="00D53F47">
              <w:rPr>
                <w:rFonts w:ascii="Arial" w:eastAsia="Calibri" w:hAnsi="Arial" w:cs="Arial"/>
                <w:sz w:val="20"/>
                <w:szCs w:val="20"/>
                <w:lang w:val="fr-FR"/>
              </w:rPr>
              <w:t>Temps de travail du personnel + accès internet</w:t>
            </w:r>
          </w:p>
          <w:p w14:paraId="3756ECAC" w14:textId="7A5FCEE7"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 xml:space="preserve">Coût lié aux traductions </w:t>
            </w:r>
          </w:p>
        </w:tc>
      </w:tr>
      <w:tr w:rsidR="00D750D2" w:rsidRPr="00D53F47" w14:paraId="30AD3513" w14:textId="77777777" w:rsidTr="0099585D">
        <w:tc>
          <w:tcPr>
            <w:tcW w:w="2971" w:type="dxa"/>
            <w:vMerge/>
          </w:tcPr>
          <w:p w14:paraId="1FF29A63" w14:textId="77777777" w:rsidR="002D0415" w:rsidRPr="00D53F47" w:rsidRDefault="002D0415" w:rsidP="00D53F47">
            <w:pPr>
              <w:spacing w:before="40" w:after="40"/>
              <w:rPr>
                <w:rFonts w:ascii="Arial" w:eastAsia="Calibri" w:hAnsi="Arial" w:cs="Arial"/>
                <w:sz w:val="20"/>
                <w:szCs w:val="20"/>
                <w:lang w:val="fr-FR" w:eastAsia="en-GB"/>
              </w:rPr>
            </w:pPr>
          </w:p>
        </w:tc>
        <w:tc>
          <w:tcPr>
            <w:tcW w:w="4535" w:type="dxa"/>
          </w:tcPr>
          <w:p w14:paraId="39198D80" w14:textId="3FEE6C55" w:rsidR="002D0415" w:rsidRPr="00D53F47" w:rsidRDefault="002D0415" w:rsidP="00D53F47">
            <w:p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4.1.4. Élaborer et mettre en œuvre un programme spécifique pour diffuser ces leçons acquises auprès d’autres communautés, afin d’encourager l’adoption à plus grande échelle des solutions</w:t>
            </w:r>
            <w:r w:rsidRPr="00D53F47">
              <w:rPr>
                <w:rFonts w:ascii="Arial" w:eastAsia="Calibri" w:hAnsi="Arial" w:cs="Arial"/>
                <w:strike/>
                <w:sz w:val="20"/>
                <w:szCs w:val="20"/>
                <w:lang w:val="fr-FR"/>
              </w:rPr>
              <w:t xml:space="preserve"> </w:t>
            </w:r>
            <w:r w:rsidRPr="00D53F47">
              <w:rPr>
                <w:rFonts w:ascii="Arial" w:eastAsia="Calibri" w:hAnsi="Arial" w:cs="Arial"/>
                <w:sz w:val="20"/>
                <w:szCs w:val="20"/>
                <w:lang w:val="fr-FR"/>
              </w:rPr>
              <w:t>menées par les communautés (notamment par le biais de radios communautaires, de brochures, etc.)</w:t>
            </w:r>
          </w:p>
        </w:tc>
        <w:tc>
          <w:tcPr>
            <w:tcW w:w="2665" w:type="dxa"/>
          </w:tcPr>
          <w:p w14:paraId="2456308F" w14:textId="0B0895A2"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AWM WG en collaboration avec les points focaux de l’Afrique de l’Ouest de CMS, CITES, Convention d’Abidjan, Ramsar, UICN, CBI et FAO, ONG locales, société civile</w:t>
            </w:r>
          </w:p>
        </w:tc>
        <w:tc>
          <w:tcPr>
            <w:tcW w:w="0" w:type="auto"/>
          </w:tcPr>
          <w:p w14:paraId="19919540" w14:textId="1EC9DE0B" w:rsidR="002D0415" w:rsidRPr="00D53F47" w:rsidRDefault="002D0415" w:rsidP="00D53F47">
            <w:p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2027</w:t>
            </w:r>
          </w:p>
        </w:tc>
        <w:tc>
          <w:tcPr>
            <w:tcW w:w="2472" w:type="dxa"/>
          </w:tcPr>
          <w:p w14:paraId="6BDBC97E" w14:textId="77777777" w:rsidR="002D0415" w:rsidRPr="00D53F47" w:rsidRDefault="002D0415" w:rsidP="00D53F47">
            <w:pPr>
              <w:widowControl w:val="0"/>
              <w:numPr>
                <w:ilvl w:val="0"/>
                <w:numId w:val="12"/>
              </w:numPr>
              <w:spacing w:before="40" w:after="40"/>
              <w:rPr>
                <w:rFonts w:ascii="Arial" w:eastAsia="Calibri" w:hAnsi="Arial" w:cs="Arial"/>
                <w:sz w:val="20"/>
                <w:szCs w:val="20"/>
                <w:lang w:val="fr-FR"/>
              </w:rPr>
            </w:pPr>
            <w:r w:rsidRPr="00D53F47">
              <w:rPr>
                <w:rFonts w:ascii="Arial" w:eastAsia="Calibri" w:hAnsi="Arial" w:cs="Arial"/>
                <w:sz w:val="20"/>
                <w:szCs w:val="20"/>
                <w:lang w:val="fr-FR"/>
              </w:rPr>
              <w:t>Frais de terrain liés à la diffusion de l'information auprès des communautés</w:t>
            </w:r>
          </w:p>
          <w:p w14:paraId="7AD74CE0" w14:textId="69CDD3B8"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Temps de travail du personnel + accès internet</w:t>
            </w:r>
          </w:p>
        </w:tc>
      </w:tr>
      <w:tr w:rsidR="00D750D2" w:rsidRPr="00D53F47" w14:paraId="19388FCA" w14:textId="77777777" w:rsidTr="0099585D">
        <w:trPr>
          <w:trHeight w:val="2688"/>
        </w:trPr>
        <w:tc>
          <w:tcPr>
            <w:tcW w:w="2971" w:type="dxa"/>
            <w:vMerge w:val="restart"/>
          </w:tcPr>
          <w:p w14:paraId="1EE85ABF" w14:textId="37CEDF4A" w:rsidR="002D0415" w:rsidRPr="00D53F47" w:rsidRDefault="002D0415" w:rsidP="00D53F47">
            <w:p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4.2. Accroître le niveau d’engagement politique pour prévenir, combattre et éradiquer les prélèvements illégaux de la viande d'animaux sauvages aquatiques</w:t>
            </w:r>
          </w:p>
        </w:tc>
        <w:tc>
          <w:tcPr>
            <w:tcW w:w="4535" w:type="dxa"/>
          </w:tcPr>
          <w:p w14:paraId="52EE0F20" w14:textId="4F6C0007" w:rsidR="002D0415" w:rsidRPr="00D53F47" w:rsidRDefault="002D0415" w:rsidP="00D53F47">
            <w:p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4.2.1. En s'appuyant sur les stratégies internationales et régionales existantes, établir et mettre en œuvre une stratégie globale de lutte contre le braconnage des animaux sauvages dans chaque pays, axée sur l'engagement avec les communautés</w:t>
            </w:r>
          </w:p>
        </w:tc>
        <w:tc>
          <w:tcPr>
            <w:tcW w:w="2665" w:type="dxa"/>
          </w:tcPr>
          <w:p w14:paraId="11C7323E" w14:textId="17BEC7C6"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Points focaux de l’Afrique de l’Ouest de CMS, CITES, Convention d’Abidjan, Ramsar, IUCN, CBI et FAO avec le soutien du AWM WG</w:t>
            </w:r>
          </w:p>
        </w:tc>
        <w:tc>
          <w:tcPr>
            <w:tcW w:w="0" w:type="auto"/>
          </w:tcPr>
          <w:p w14:paraId="21DF326B" w14:textId="3EAB7746"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2027</w:t>
            </w:r>
          </w:p>
        </w:tc>
        <w:tc>
          <w:tcPr>
            <w:tcW w:w="2472" w:type="dxa"/>
          </w:tcPr>
          <w:p w14:paraId="7FBD5E4D" w14:textId="77777777" w:rsidR="002D0415" w:rsidRPr="00D53F47" w:rsidRDefault="002D0415" w:rsidP="00D53F47">
            <w:pPr>
              <w:widowControl w:val="0"/>
              <w:numPr>
                <w:ilvl w:val="0"/>
                <w:numId w:val="12"/>
              </w:numPr>
              <w:spacing w:before="40" w:after="40"/>
              <w:rPr>
                <w:rFonts w:ascii="Arial" w:eastAsia="Calibri" w:hAnsi="Arial" w:cs="Arial"/>
                <w:sz w:val="20"/>
                <w:szCs w:val="20"/>
                <w:lang w:val="fr-FR"/>
              </w:rPr>
            </w:pPr>
            <w:r w:rsidRPr="00D53F47">
              <w:rPr>
                <w:rFonts w:ascii="Arial" w:eastAsia="Calibri" w:hAnsi="Arial" w:cs="Arial"/>
                <w:sz w:val="20"/>
                <w:szCs w:val="20"/>
                <w:lang w:val="fr-FR"/>
              </w:rPr>
              <w:t>Frais de terrain des consultants, des ateliers etc.</w:t>
            </w:r>
          </w:p>
          <w:p w14:paraId="66CE73AD" w14:textId="1ED7B0C7"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Temps de travail du personnel + accès internet</w:t>
            </w:r>
          </w:p>
        </w:tc>
      </w:tr>
      <w:tr w:rsidR="00D750D2" w:rsidRPr="00D53F47" w14:paraId="57E86B63" w14:textId="77777777" w:rsidTr="0099585D">
        <w:tc>
          <w:tcPr>
            <w:tcW w:w="2971" w:type="dxa"/>
            <w:vMerge/>
          </w:tcPr>
          <w:p w14:paraId="1D713433" w14:textId="77777777" w:rsidR="002D0415" w:rsidRPr="00D53F47" w:rsidRDefault="002D0415" w:rsidP="00D53F47">
            <w:pPr>
              <w:spacing w:before="40" w:after="40"/>
              <w:rPr>
                <w:rFonts w:ascii="Arial" w:eastAsia="Calibri" w:hAnsi="Arial" w:cs="Arial"/>
                <w:sz w:val="20"/>
                <w:szCs w:val="20"/>
                <w:lang w:val="fr-FR" w:eastAsia="en-GB"/>
              </w:rPr>
            </w:pPr>
          </w:p>
        </w:tc>
        <w:tc>
          <w:tcPr>
            <w:tcW w:w="4535" w:type="dxa"/>
          </w:tcPr>
          <w:p w14:paraId="1AEC42AD" w14:textId="7A6E0499" w:rsidR="002D0415" w:rsidRPr="00D53F47" w:rsidRDefault="002D0415" w:rsidP="00D53F47">
            <w:p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4.2.2. Élaborer un plan régional et des outils d’appui et de renforcement des capacités des institutions nationales pour garantir une application et une surveillance concrètes et efficaces des mesures de lutte contre les prélèvements illégaux de la viande d'animaux sauvages aquatiques</w:t>
            </w:r>
          </w:p>
        </w:tc>
        <w:tc>
          <w:tcPr>
            <w:tcW w:w="2665" w:type="dxa"/>
          </w:tcPr>
          <w:p w14:paraId="74C69886" w14:textId="21D7EC7A"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Points focaux de l’Afrique de l’Ouest de CMS, CITES, Convention d’Abidjan, Ramsar, UICN, CBI et FAO avec le soutien du AWM WG</w:t>
            </w:r>
          </w:p>
        </w:tc>
        <w:tc>
          <w:tcPr>
            <w:tcW w:w="0" w:type="auto"/>
          </w:tcPr>
          <w:p w14:paraId="01D636EF" w14:textId="1EFFB872"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2027</w:t>
            </w:r>
          </w:p>
        </w:tc>
        <w:tc>
          <w:tcPr>
            <w:tcW w:w="2472" w:type="dxa"/>
          </w:tcPr>
          <w:p w14:paraId="4E7D6C64" w14:textId="77777777" w:rsidR="002D0415" w:rsidRPr="00D53F47" w:rsidRDefault="002D0415" w:rsidP="00D53F47">
            <w:pPr>
              <w:widowControl w:val="0"/>
              <w:numPr>
                <w:ilvl w:val="0"/>
                <w:numId w:val="12"/>
              </w:numPr>
              <w:spacing w:before="40" w:after="40"/>
              <w:rPr>
                <w:rFonts w:ascii="Arial" w:eastAsia="Calibri" w:hAnsi="Arial" w:cs="Arial"/>
                <w:sz w:val="20"/>
                <w:szCs w:val="20"/>
                <w:lang w:val="fr-FR"/>
              </w:rPr>
            </w:pPr>
            <w:r w:rsidRPr="00D53F47">
              <w:rPr>
                <w:rFonts w:ascii="Arial" w:eastAsia="Calibri" w:hAnsi="Arial" w:cs="Arial"/>
                <w:sz w:val="20"/>
                <w:szCs w:val="20"/>
                <w:lang w:val="fr-FR"/>
              </w:rPr>
              <w:t>Frais de terrain, des ateliers etc.</w:t>
            </w:r>
          </w:p>
          <w:p w14:paraId="0DE6521A" w14:textId="3CB41337"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Temps de travail du personnel + accès internet</w:t>
            </w:r>
          </w:p>
        </w:tc>
      </w:tr>
      <w:tr w:rsidR="00D750D2" w:rsidRPr="00D53F47" w14:paraId="77C32D50" w14:textId="77777777" w:rsidTr="0099585D">
        <w:tc>
          <w:tcPr>
            <w:tcW w:w="2971" w:type="dxa"/>
            <w:vMerge/>
          </w:tcPr>
          <w:p w14:paraId="03B58A01" w14:textId="77777777" w:rsidR="002D0415" w:rsidRPr="00D53F47" w:rsidRDefault="002D0415" w:rsidP="00D53F47">
            <w:pPr>
              <w:spacing w:before="40" w:after="40"/>
              <w:rPr>
                <w:rFonts w:ascii="Arial" w:eastAsia="Calibri" w:hAnsi="Arial" w:cs="Arial"/>
                <w:sz w:val="20"/>
                <w:szCs w:val="20"/>
                <w:lang w:val="fr-FR" w:eastAsia="en-GB"/>
              </w:rPr>
            </w:pPr>
          </w:p>
        </w:tc>
        <w:tc>
          <w:tcPr>
            <w:tcW w:w="4535" w:type="dxa"/>
          </w:tcPr>
          <w:p w14:paraId="667C03A1" w14:textId="280250E6"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4.2.3. Créer une synergie d'action dans la région pour soutenir les Etats dans l’atteinte des objectifs 30x30 de la CDB relatifs aux aires protégées et à la conservation communautaire adéquate dans la région avec l'implication des communautés locales, en tenant compte des aspects socio-économiques et écologiques ainsi que la gouvernance participative.</w:t>
            </w:r>
          </w:p>
        </w:tc>
        <w:tc>
          <w:tcPr>
            <w:tcW w:w="2665" w:type="dxa"/>
          </w:tcPr>
          <w:p w14:paraId="3EA42B54" w14:textId="4F7859C5"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Points focaux de l’Afrique de l’Ouest de CMS, CITES, Convention d’Abidjan, Ramsar, UICN, CBI et FAO et les comités nationaux associés</w:t>
            </w:r>
          </w:p>
        </w:tc>
        <w:tc>
          <w:tcPr>
            <w:tcW w:w="0" w:type="auto"/>
          </w:tcPr>
          <w:p w14:paraId="3B1F0850" w14:textId="69A58D43"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2027</w:t>
            </w:r>
          </w:p>
        </w:tc>
        <w:tc>
          <w:tcPr>
            <w:tcW w:w="2472" w:type="dxa"/>
          </w:tcPr>
          <w:p w14:paraId="3A259ECB" w14:textId="77777777" w:rsidR="002D0415" w:rsidRPr="00D53F47" w:rsidRDefault="002D0415" w:rsidP="00D53F47">
            <w:pPr>
              <w:widowControl w:val="0"/>
              <w:numPr>
                <w:ilvl w:val="0"/>
                <w:numId w:val="12"/>
              </w:numPr>
              <w:spacing w:before="40" w:after="40"/>
              <w:rPr>
                <w:rFonts w:ascii="Arial" w:eastAsia="Calibri" w:hAnsi="Arial" w:cs="Arial"/>
                <w:sz w:val="20"/>
                <w:szCs w:val="20"/>
                <w:lang w:val="fr-FR"/>
              </w:rPr>
            </w:pPr>
            <w:r w:rsidRPr="00D53F47">
              <w:rPr>
                <w:rFonts w:ascii="Arial" w:eastAsia="Calibri" w:hAnsi="Arial" w:cs="Arial"/>
                <w:sz w:val="20"/>
                <w:szCs w:val="20"/>
                <w:lang w:val="fr-FR"/>
              </w:rPr>
              <w:t>Frais de terrain, des ateliers etc.</w:t>
            </w:r>
          </w:p>
          <w:p w14:paraId="6D97E899" w14:textId="5049A870" w:rsidR="002D0415" w:rsidRPr="00D53F47" w:rsidRDefault="002D0415"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Temps de travail du personnel + accès internet</w:t>
            </w:r>
          </w:p>
        </w:tc>
      </w:tr>
    </w:tbl>
    <w:p w14:paraId="0747CF3E" w14:textId="77777777" w:rsidR="00E16720" w:rsidRPr="00D53F47" w:rsidRDefault="00E16720" w:rsidP="00D53F47">
      <w:pPr>
        <w:pStyle w:val="Secondnumbering"/>
        <w:numPr>
          <w:ilvl w:val="0"/>
          <w:numId w:val="0"/>
        </w:numPr>
        <w:spacing w:before="40" w:after="40"/>
        <w:jc w:val="both"/>
        <w:rPr>
          <w:rFonts w:cs="Arial"/>
          <w:sz w:val="20"/>
          <w:szCs w:val="20"/>
          <w:lang w:val="fr-FR"/>
        </w:rPr>
      </w:pPr>
    </w:p>
    <w:p w14:paraId="75FD8EEA" w14:textId="77777777" w:rsidR="00D750D2" w:rsidRPr="002B719B" w:rsidRDefault="00D750D2" w:rsidP="00E16720">
      <w:pPr>
        <w:pStyle w:val="Secondnumbering"/>
        <w:numPr>
          <w:ilvl w:val="0"/>
          <w:numId w:val="0"/>
        </w:numPr>
        <w:jc w:val="both"/>
        <w:rPr>
          <w:rFonts w:cs="Arial"/>
          <w:lang w:val="fr-FR"/>
        </w:rPr>
      </w:pPr>
    </w:p>
    <w:p w14:paraId="6A47ACF3" w14:textId="345ED448" w:rsidR="00D750D2" w:rsidRPr="002B719B" w:rsidRDefault="00D750D2" w:rsidP="00D750D2">
      <w:pPr>
        <w:pStyle w:val="Heading3"/>
        <w:spacing w:before="0" w:after="0"/>
        <w:jc w:val="center"/>
        <w:rPr>
          <w:rFonts w:ascii="Arial" w:hAnsi="Arial" w:cs="Arial"/>
          <w:sz w:val="22"/>
          <w:szCs w:val="22"/>
          <w:lang w:val="fr-FR"/>
        </w:rPr>
      </w:pPr>
      <w:r w:rsidRPr="002B719B">
        <w:rPr>
          <w:rFonts w:ascii="Arial" w:hAnsi="Arial" w:cs="Arial"/>
          <w:sz w:val="22"/>
          <w:szCs w:val="22"/>
          <w:lang w:val="fr-FR"/>
        </w:rPr>
        <w:t xml:space="preserve">Thème 5 : </w:t>
      </w:r>
    </w:p>
    <w:p w14:paraId="5AC2D7DE" w14:textId="7CDC81C0" w:rsidR="00D750D2" w:rsidRPr="002B719B" w:rsidRDefault="00BC4486" w:rsidP="00D750D2">
      <w:pPr>
        <w:pStyle w:val="Heading3"/>
        <w:spacing w:before="0" w:after="0"/>
        <w:jc w:val="center"/>
        <w:rPr>
          <w:rFonts w:ascii="Arial" w:hAnsi="Arial" w:cs="Arial"/>
          <w:sz w:val="22"/>
          <w:szCs w:val="22"/>
          <w:lang w:val="fr-FR"/>
        </w:rPr>
      </w:pPr>
      <w:r w:rsidRPr="002B719B">
        <w:rPr>
          <w:rFonts w:ascii="Arial" w:hAnsi="Arial" w:cs="Arial"/>
          <w:sz w:val="22"/>
          <w:szCs w:val="22"/>
          <w:lang w:val="fr-FR"/>
        </w:rPr>
        <w:t>Sensibiliser et promouvoir un changement des comportements et des attitudes pour la protection des espèces de viandes d’animaux sauvages aquatiques</w:t>
      </w:r>
    </w:p>
    <w:p w14:paraId="7FE04792" w14:textId="77777777" w:rsidR="00D750D2" w:rsidRPr="002B719B" w:rsidRDefault="00D750D2" w:rsidP="00D750D2">
      <w:pPr>
        <w:numPr>
          <w:ilvl w:val="0"/>
          <w:numId w:val="8"/>
        </w:numPr>
        <w:jc w:val="both"/>
        <w:rPr>
          <w:rFonts w:cs="Arial"/>
          <w:lang w:val="fr-FR"/>
        </w:rPr>
      </w:pPr>
    </w:p>
    <w:p w14:paraId="1598B0F4" w14:textId="4F4116BF" w:rsidR="00DB6B35" w:rsidRPr="002B719B" w:rsidRDefault="00DB6B35" w:rsidP="00DB6B35">
      <w:pPr>
        <w:jc w:val="both"/>
        <w:rPr>
          <w:rFonts w:cs="Arial"/>
          <w:lang w:val="fr-FR"/>
        </w:rPr>
      </w:pPr>
      <w:r w:rsidRPr="002B719B">
        <w:rPr>
          <w:rFonts w:cs="Arial"/>
          <w:lang w:val="fr-FR"/>
        </w:rPr>
        <w:t>Les communautés locales ne font pas souvent de la conservation de la biodiversité une priorité ou des conséquences à long terme de la surexploitation. Le changement des comportements et des attitudes est un élément essentiel au succès des solutions communautaires pour la protection des espèces utilisées comme viandes d’animaux sauvages aquatiques. Les programmes d'éducation et de sensibilisation peuvent les aider à comprendre l'importance de l'utilisation durable des ressources</w:t>
      </w:r>
      <w:r w:rsidR="00C357B0" w:rsidRPr="002B719B">
        <w:rPr>
          <w:rFonts w:cs="Arial"/>
          <w:lang w:val="fr-FR"/>
        </w:rPr>
        <w:t>.</w:t>
      </w:r>
    </w:p>
    <w:p w14:paraId="184BBC9E" w14:textId="77777777" w:rsidR="00D750D2" w:rsidRPr="002B719B" w:rsidRDefault="00D750D2" w:rsidP="00D750D2">
      <w:pPr>
        <w:numPr>
          <w:ilvl w:val="0"/>
          <w:numId w:val="8"/>
        </w:numPr>
        <w:jc w:val="both"/>
        <w:rPr>
          <w:rFonts w:cs="Arial"/>
          <w:szCs w:val="20"/>
          <w:lang w:val="fr-FR"/>
        </w:rPr>
      </w:pPr>
    </w:p>
    <w:p w14:paraId="32FF5779" w14:textId="77777777" w:rsidR="00E300DC" w:rsidRPr="002B719B" w:rsidRDefault="00E300DC" w:rsidP="00E300DC">
      <w:pPr>
        <w:numPr>
          <w:ilvl w:val="0"/>
          <w:numId w:val="12"/>
        </w:numPr>
        <w:jc w:val="both"/>
        <w:rPr>
          <w:rFonts w:cs="Arial"/>
          <w:b/>
          <w:bCs/>
          <w:lang w:val="fr-FR"/>
        </w:rPr>
      </w:pPr>
      <w:r w:rsidRPr="002B719B">
        <w:rPr>
          <w:rFonts w:cs="Arial"/>
          <w:lang w:val="fr-FR"/>
        </w:rPr>
        <w:t xml:space="preserve">Objectif thématique quinquennal : </w:t>
      </w:r>
      <w:r w:rsidRPr="002B719B">
        <w:rPr>
          <w:rFonts w:cs="Arial"/>
          <w:b/>
          <w:bCs/>
          <w:lang w:val="fr-FR"/>
        </w:rPr>
        <w:t>Transformer les attitudes des communautés à l'égard de la protection des espèces de viandes d’animaux sauvages aquatiques et de l'appropriation locale des mesures de conservation</w:t>
      </w:r>
    </w:p>
    <w:p w14:paraId="1E4F85E7" w14:textId="77777777" w:rsidR="00D750D2" w:rsidRPr="002B719B" w:rsidRDefault="00D750D2" w:rsidP="00D750D2">
      <w:pPr>
        <w:numPr>
          <w:ilvl w:val="0"/>
          <w:numId w:val="8"/>
        </w:numPr>
        <w:jc w:val="both"/>
        <w:rPr>
          <w:rFonts w:cs="Arial"/>
          <w:lang w:val="fr-FR"/>
        </w:rPr>
      </w:pPr>
    </w:p>
    <w:tbl>
      <w:tblPr>
        <w:tblStyle w:val="TableGrid4"/>
        <w:tblW w:w="13948" w:type="dxa"/>
        <w:tblLook w:val="0000" w:firstRow="0" w:lastRow="0" w:firstColumn="0" w:lastColumn="0" w:noHBand="0" w:noVBand="0"/>
      </w:tblPr>
      <w:tblGrid>
        <w:gridCol w:w="2971"/>
        <w:gridCol w:w="4535"/>
        <w:gridCol w:w="2665"/>
        <w:gridCol w:w="1305"/>
        <w:gridCol w:w="2472"/>
      </w:tblGrid>
      <w:tr w:rsidR="008439F2" w:rsidRPr="00D53F47" w14:paraId="75696A4F" w14:textId="77777777" w:rsidTr="0099585D">
        <w:trPr>
          <w:tblHeader/>
        </w:trPr>
        <w:tc>
          <w:tcPr>
            <w:tcW w:w="2971" w:type="dxa"/>
            <w:shd w:val="clear" w:color="auto" w:fill="DEEAF6" w:themeFill="accent5" w:themeFillTint="33"/>
          </w:tcPr>
          <w:p w14:paraId="5E05A49B" w14:textId="77777777" w:rsidR="008439F2" w:rsidRPr="00D53F47" w:rsidRDefault="008439F2" w:rsidP="00D53F47">
            <w:pPr>
              <w:numPr>
                <w:ilvl w:val="0"/>
                <w:numId w:val="14"/>
              </w:numPr>
              <w:spacing w:before="40" w:after="40"/>
              <w:rPr>
                <w:rFonts w:ascii="Arial" w:eastAsia="Calibri" w:hAnsi="Arial" w:cs="Arial"/>
                <w:b/>
                <w:bCs/>
                <w:sz w:val="20"/>
                <w:szCs w:val="20"/>
                <w:lang w:val="fr-FR" w:eastAsia="en-GB"/>
              </w:rPr>
            </w:pPr>
            <w:r w:rsidRPr="00D53F47">
              <w:rPr>
                <w:rFonts w:ascii="Arial" w:eastAsia="Calibri" w:hAnsi="Arial" w:cs="Arial"/>
                <w:b/>
                <w:bCs/>
                <w:sz w:val="20"/>
                <w:szCs w:val="20"/>
                <w:lang w:val="fr-FR"/>
              </w:rPr>
              <w:t>Action</w:t>
            </w:r>
          </w:p>
        </w:tc>
        <w:tc>
          <w:tcPr>
            <w:tcW w:w="4535" w:type="dxa"/>
            <w:shd w:val="clear" w:color="auto" w:fill="DEEAF6" w:themeFill="accent5" w:themeFillTint="33"/>
          </w:tcPr>
          <w:p w14:paraId="1988B064" w14:textId="77777777" w:rsidR="008439F2" w:rsidRPr="00D53F47" w:rsidRDefault="008439F2" w:rsidP="00D53F47">
            <w:pPr>
              <w:numPr>
                <w:ilvl w:val="0"/>
                <w:numId w:val="14"/>
              </w:numPr>
              <w:spacing w:before="40" w:after="40"/>
              <w:rPr>
                <w:rFonts w:ascii="Arial" w:eastAsia="Calibri" w:hAnsi="Arial" w:cs="Arial"/>
                <w:b/>
                <w:bCs/>
                <w:sz w:val="20"/>
                <w:szCs w:val="20"/>
                <w:lang w:val="fr-FR" w:eastAsia="en-GB"/>
              </w:rPr>
            </w:pPr>
            <w:r w:rsidRPr="00D53F47">
              <w:rPr>
                <w:rFonts w:ascii="Arial" w:eastAsia="Calibri" w:hAnsi="Arial" w:cs="Arial"/>
                <w:b/>
                <w:bCs/>
                <w:sz w:val="20"/>
                <w:szCs w:val="20"/>
                <w:lang w:val="fr-FR"/>
              </w:rPr>
              <w:t>Activités</w:t>
            </w:r>
          </w:p>
        </w:tc>
        <w:tc>
          <w:tcPr>
            <w:tcW w:w="2665" w:type="dxa"/>
            <w:shd w:val="clear" w:color="auto" w:fill="DEEAF6" w:themeFill="accent5" w:themeFillTint="33"/>
          </w:tcPr>
          <w:p w14:paraId="2BE3BD41" w14:textId="77777777" w:rsidR="008439F2" w:rsidRPr="00D53F47" w:rsidRDefault="008439F2" w:rsidP="00D53F47">
            <w:pPr>
              <w:numPr>
                <w:ilvl w:val="0"/>
                <w:numId w:val="14"/>
              </w:numPr>
              <w:spacing w:before="40" w:after="40"/>
              <w:rPr>
                <w:rFonts w:ascii="Arial" w:eastAsia="Calibri" w:hAnsi="Arial" w:cs="Arial"/>
                <w:b/>
                <w:bCs/>
                <w:sz w:val="20"/>
                <w:szCs w:val="20"/>
                <w:lang w:val="fr-FR" w:eastAsia="en-GB"/>
              </w:rPr>
            </w:pPr>
            <w:r w:rsidRPr="00D53F47">
              <w:rPr>
                <w:rFonts w:ascii="Arial" w:eastAsia="Calibri" w:hAnsi="Arial" w:cs="Arial"/>
                <w:b/>
                <w:bCs/>
                <w:sz w:val="20"/>
                <w:szCs w:val="20"/>
                <w:lang w:val="fr-FR"/>
              </w:rPr>
              <w:t>Responsable(s)</w:t>
            </w:r>
          </w:p>
        </w:tc>
        <w:tc>
          <w:tcPr>
            <w:tcW w:w="0" w:type="auto"/>
            <w:shd w:val="clear" w:color="auto" w:fill="DEEAF6" w:themeFill="accent5" w:themeFillTint="33"/>
          </w:tcPr>
          <w:p w14:paraId="5AE020AE" w14:textId="77777777" w:rsidR="008439F2" w:rsidRPr="00D53F47" w:rsidRDefault="008439F2" w:rsidP="00D53F47">
            <w:pPr>
              <w:numPr>
                <w:ilvl w:val="0"/>
                <w:numId w:val="14"/>
              </w:numPr>
              <w:spacing w:before="40" w:after="40"/>
              <w:rPr>
                <w:rFonts w:ascii="Arial" w:eastAsia="Calibri" w:hAnsi="Arial" w:cs="Arial"/>
                <w:b/>
                <w:bCs/>
                <w:sz w:val="20"/>
                <w:szCs w:val="20"/>
                <w:lang w:val="fr-FR" w:eastAsia="en-GB"/>
              </w:rPr>
            </w:pPr>
            <w:r w:rsidRPr="00D53F47">
              <w:rPr>
                <w:rFonts w:ascii="Arial" w:eastAsia="Calibri" w:hAnsi="Arial" w:cs="Arial"/>
                <w:b/>
                <w:bCs/>
                <w:sz w:val="20"/>
                <w:szCs w:val="20"/>
                <w:lang w:val="fr-FR"/>
              </w:rPr>
              <w:t>Calendrier</w:t>
            </w:r>
          </w:p>
        </w:tc>
        <w:tc>
          <w:tcPr>
            <w:tcW w:w="2472" w:type="dxa"/>
            <w:shd w:val="clear" w:color="auto" w:fill="DEEAF6" w:themeFill="accent5" w:themeFillTint="33"/>
          </w:tcPr>
          <w:p w14:paraId="6352AAA5" w14:textId="77777777" w:rsidR="008439F2" w:rsidRPr="00D53F47" w:rsidRDefault="008439F2" w:rsidP="00D53F47">
            <w:pPr>
              <w:numPr>
                <w:ilvl w:val="0"/>
                <w:numId w:val="14"/>
              </w:numPr>
              <w:spacing w:before="40" w:after="40"/>
              <w:rPr>
                <w:rFonts w:ascii="Arial" w:eastAsia="Calibri" w:hAnsi="Arial" w:cs="Arial"/>
                <w:b/>
                <w:bCs/>
                <w:sz w:val="20"/>
                <w:szCs w:val="20"/>
                <w:lang w:val="fr-FR" w:eastAsia="en-GB"/>
              </w:rPr>
            </w:pPr>
            <w:r w:rsidRPr="00D53F47">
              <w:rPr>
                <w:rFonts w:ascii="Arial" w:eastAsia="Calibri" w:hAnsi="Arial" w:cs="Arial"/>
                <w:b/>
                <w:bCs/>
                <w:sz w:val="20"/>
                <w:szCs w:val="20"/>
                <w:lang w:val="fr-FR"/>
              </w:rPr>
              <w:t>Ressources nécessaires</w:t>
            </w:r>
          </w:p>
        </w:tc>
      </w:tr>
      <w:tr w:rsidR="008439F2" w:rsidRPr="00D53F47" w14:paraId="43A34BAE" w14:textId="77777777" w:rsidTr="0099585D">
        <w:tc>
          <w:tcPr>
            <w:tcW w:w="2971" w:type="dxa"/>
            <w:vMerge w:val="restart"/>
          </w:tcPr>
          <w:p w14:paraId="07C60011" w14:textId="77777777" w:rsidR="008439F2" w:rsidRPr="00D53F47" w:rsidRDefault="008439F2" w:rsidP="00D53F47">
            <w:p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5.1. Promouvoir l’appropriation des objectifs de conservation des espèces de viandes d’animaux sauvages aquatiques</w:t>
            </w:r>
            <w:r w:rsidRPr="00D53F47" w:rsidDel="00AD09BC">
              <w:rPr>
                <w:rFonts w:ascii="Arial" w:eastAsia="Calibri" w:hAnsi="Arial" w:cs="Arial"/>
                <w:sz w:val="20"/>
                <w:szCs w:val="20"/>
                <w:lang w:val="fr-FR"/>
              </w:rPr>
              <w:t xml:space="preserve"> </w:t>
            </w:r>
            <w:r w:rsidRPr="00D53F47">
              <w:rPr>
                <w:rFonts w:ascii="Arial" w:eastAsia="Calibri" w:hAnsi="Arial" w:cs="Arial"/>
                <w:sz w:val="20"/>
                <w:szCs w:val="20"/>
                <w:lang w:val="fr-FR"/>
              </w:rPr>
              <w:t>par les communautés locales</w:t>
            </w:r>
          </w:p>
        </w:tc>
        <w:tc>
          <w:tcPr>
            <w:tcW w:w="4535" w:type="dxa"/>
          </w:tcPr>
          <w:p w14:paraId="51FD5215" w14:textId="28BBA439" w:rsidR="008439F2" w:rsidRPr="00D53F47" w:rsidRDefault="008439F2"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5.1.1. Entreprendre une analyse des connaissances et des attitudes avec les communautés locales.</w:t>
            </w:r>
          </w:p>
        </w:tc>
        <w:tc>
          <w:tcPr>
            <w:tcW w:w="2665" w:type="dxa"/>
          </w:tcPr>
          <w:p w14:paraId="7E42DB86" w14:textId="79DCD5EE" w:rsidR="008439F2" w:rsidRPr="00D53F47" w:rsidRDefault="008439F2"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Points focaux de l’Afrique de l’Ouest de CMS, CITES, Convention d’Abidjan, Ramsar, UICN et FAO en collaboration avec le AWM WG</w:t>
            </w:r>
          </w:p>
        </w:tc>
        <w:tc>
          <w:tcPr>
            <w:tcW w:w="0" w:type="auto"/>
          </w:tcPr>
          <w:p w14:paraId="65EC9319" w14:textId="57D6C8F4" w:rsidR="008439F2" w:rsidRPr="00D53F47" w:rsidRDefault="008439F2"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2024</w:t>
            </w:r>
          </w:p>
        </w:tc>
        <w:tc>
          <w:tcPr>
            <w:tcW w:w="2472" w:type="dxa"/>
          </w:tcPr>
          <w:p w14:paraId="3FD403D1" w14:textId="126A723F" w:rsidR="008439F2" w:rsidRPr="00D53F47" w:rsidRDefault="008439F2"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Temps de travail du personnel + accès internet + voyages de terrain + frais de production documentaire et d’impression</w:t>
            </w:r>
          </w:p>
        </w:tc>
      </w:tr>
      <w:tr w:rsidR="008439F2" w:rsidRPr="00D53F47" w14:paraId="58E6612C" w14:textId="77777777" w:rsidTr="0099585D">
        <w:tc>
          <w:tcPr>
            <w:tcW w:w="2971" w:type="dxa"/>
            <w:vMerge/>
          </w:tcPr>
          <w:p w14:paraId="4EC5591D" w14:textId="77777777" w:rsidR="008439F2" w:rsidRPr="00D53F47" w:rsidRDefault="008439F2" w:rsidP="00D53F47">
            <w:pPr>
              <w:spacing w:before="40" w:after="40"/>
              <w:rPr>
                <w:rFonts w:ascii="Arial" w:eastAsia="Calibri" w:hAnsi="Arial" w:cs="Arial"/>
                <w:sz w:val="20"/>
                <w:szCs w:val="20"/>
                <w:lang w:val="fr-FR" w:eastAsia="en-GB"/>
              </w:rPr>
            </w:pPr>
          </w:p>
        </w:tc>
        <w:tc>
          <w:tcPr>
            <w:tcW w:w="4535" w:type="dxa"/>
          </w:tcPr>
          <w:p w14:paraId="03F8940B" w14:textId="30439FFB" w:rsidR="008439F2" w:rsidRPr="00D53F47" w:rsidRDefault="008439F2"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5.1.2. Élaborer un programme de communication et d’éducation environnementale afin de promouvoir des changements positifs dans les attitudes et les comportements en vue de réduire le prélèvement de la viande d'animaux sauvages aquatiques.</w:t>
            </w:r>
          </w:p>
        </w:tc>
        <w:tc>
          <w:tcPr>
            <w:tcW w:w="2665" w:type="dxa"/>
          </w:tcPr>
          <w:p w14:paraId="725409B0" w14:textId="6809FD94" w:rsidR="008439F2" w:rsidRPr="00D53F47" w:rsidRDefault="008439F2"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 xml:space="preserve">Points focaux de l’Afrique de l’Ouest de CMS, CITES, Convention d’Abidjan, Ramsar, UICN et FAO, </w:t>
            </w:r>
            <w:proofErr w:type="spellStart"/>
            <w:r w:rsidRPr="00D53F47">
              <w:rPr>
                <w:rFonts w:ascii="Arial" w:eastAsia="Calibri" w:hAnsi="Arial" w:cs="Arial"/>
                <w:sz w:val="20"/>
                <w:szCs w:val="20"/>
                <w:lang w:val="fr-FR"/>
              </w:rPr>
              <w:t>ONGs</w:t>
            </w:r>
            <w:proofErr w:type="spellEnd"/>
            <w:r w:rsidRPr="00D53F47">
              <w:rPr>
                <w:rFonts w:ascii="Arial" w:eastAsia="Calibri" w:hAnsi="Arial" w:cs="Arial"/>
                <w:sz w:val="20"/>
                <w:szCs w:val="20"/>
                <w:lang w:val="fr-FR"/>
              </w:rPr>
              <w:t xml:space="preserve"> et médias</w:t>
            </w:r>
          </w:p>
        </w:tc>
        <w:tc>
          <w:tcPr>
            <w:tcW w:w="0" w:type="auto"/>
          </w:tcPr>
          <w:p w14:paraId="1D049EC6" w14:textId="0208BC9D" w:rsidR="008439F2" w:rsidRPr="00D53F47" w:rsidRDefault="008439F2"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2025</w:t>
            </w:r>
          </w:p>
        </w:tc>
        <w:tc>
          <w:tcPr>
            <w:tcW w:w="2472" w:type="dxa"/>
          </w:tcPr>
          <w:p w14:paraId="554BD2E4" w14:textId="299289FD" w:rsidR="008439F2" w:rsidRPr="00D53F47" w:rsidRDefault="008439F2"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Temps de travail du personnel + accès internet</w:t>
            </w:r>
          </w:p>
        </w:tc>
      </w:tr>
      <w:tr w:rsidR="008439F2" w:rsidRPr="00D53F47" w14:paraId="6790E8F7" w14:textId="77777777" w:rsidTr="0099585D">
        <w:tc>
          <w:tcPr>
            <w:tcW w:w="2971" w:type="dxa"/>
          </w:tcPr>
          <w:p w14:paraId="5BBE1E4F" w14:textId="77777777" w:rsidR="008439F2" w:rsidRPr="00D53F47" w:rsidRDefault="008439F2" w:rsidP="00D53F47">
            <w:pPr>
              <w:spacing w:before="40" w:after="40"/>
              <w:rPr>
                <w:rFonts w:ascii="Arial" w:eastAsia="Calibri" w:hAnsi="Arial" w:cs="Arial"/>
                <w:sz w:val="20"/>
                <w:szCs w:val="20"/>
                <w:lang w:val="fr-FR" w:eastAsia="en-GB"/>
              </w:rPr>
            </w:pPr>
          </w:p>
        </w:tc>
        <w:tc>
          <w:tcPr>
            <w:tcW w:w="4535" w:type="dxa"/>
          </w:tcPr>
          <w:p w14:paraId="279DA7EC" w14:textId="3C60B4A3" w:rsidR="008439F2" w:rsidRPr="00D53F47" w:rsidRDefault="008439F2"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5.1.3. Renforcer les capacités, l’information et la sensibilisation des différents groupes communautaires au niveau local</w:t>
            </w:r>
          </w:p>
        </w:tc>
        <w:tc>
          <w:tcPr>
            <w:tcW w:w="2665" w:type="dxa"/>
          </w:tcPr>
          <w:p w14:paraId="663FDFCD" w14:textId="1770FB38" w:rsidR="008439F2" w:rsidRPr="00D53F47" w:rsidRDefault="008439F2"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 xml:space="preserve">Points focaux de l’Afrique de l’Ouest de CMS, CITES, Convention d’Abidjan, Ramsar, UICN et FAO </w:t>
            </w:r>
          </w:p>
        </w:tc>
        <w:tc>
          <w:tcPr>
            <w:tcW w:w="0" w:type="auto"/>
          </w:tcPr>
          <w:p w14:paraId="3B7997DC" w14:textId="2C153780" w:rsidR="008439F2" w:rsidRPr="00D53F47" w:rsidRDefault="008439F2"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2027</w:t>
            </w:r>
          </w:p>
        </w:tc>
        <w:tc>
          <w:tcPr>
            <w:tcW w:w="2472" w:type="dxa"/>
          </w:tcPr>
          <w:p w14:paraId="42C3AB56" w14:textId="0655509A" w:rsidR="008439F2" w:rsidRPr="00D53F47" w:rsidRDefault="008439F2" w:rsidP="00D53F47">
            <w:pPr>
              <w:numPr>
                <w:ilvl w:val="0"/>
                <w:numId w:val="14"/>
              </w:numPr>
              <w:spacing w:before="40" w:after="40"/>
              <w:rPr>
                <w:rFonts w:ascii="Arial" w:eastAsia="Calibri" w:hAnsi="Arial" w:cs="Arial"/>
                <w:sz w:val="20"/>
                <w:szCs w:val="20"/>
                <w:lang w:val="fr-FR" w:eastAsia="en-GB"/>
              </w:rPr>
            </w:pPr>
            <w:r w:rsidRPr="00D53F47">
              <w:rPr>
                <w:rFonts w:ascii="Arial" w:eastAsia="Calibri" w:hAnsi="Arial" w:cs="Arial"/>
                <w:sz w:val="20"/>
                <w:szCs w:val="20"/>
                <w:lang w:val="fr-FR"/>
              </w:rPr>
              <w:t>Temps de travail du personnel + accès internet + voyages de terrain + frais de production documentaire et d’impression</w:t>
            </w:r>
          </w:p>
        </w:tc>
      </w:tr>
    </w:tbl>
    <w:p w14:paraId="21A6740C" w14:textId="77777777" w:rsidR="00D750D2" w:rsidRPr="00D53F47" w:rsidRDefault="00D750D2" w:rsidP="00D53F47">
      <w:pPr>
        <w:pStyle w:val="Secondnumbering"/>
        <w:numPr>
          <w:ilvl w:val="0"/>
          <w:numId w:val="0"/>
        </w:numPr>
        <w:spacing w:before="40" w:after="40"/>
        <w:jc w:val="both"/>
        <w:rPr>
          <w:rFonts w:cs="Arial"/>
          <w:sz w:val="20"/>
          <w:szCs w:val="20"/>
          <w:lang w:val="fr-FR"/>
        </w:rPr>
      </w:pPr>
    </w:p>
    <w:p w14:paraId="4785F1FC" w14:textId="77777777" w:rsidR="00E300DC" w:rsidRPr="002B719B" w:rsidRDefault="00E300DC" w:rsidP="00E16720">
      <w:pPr>
        <w:pStyle w:val="Secondnumbering"/>
        <w:numPr>
          <w:ilvl w:val="0"/>
          <w:numId w:val="0"/>
        </w:numPr>
        <w:jc w:val="both"/>
        <w:rPr>
          <w:rFonts w:cs="Arial"/>
          <w:lang w:val="fr-FR"/>
        </w:rPr>
      </w:pPr>
    </w:p>
    <w:p w14:paraId="5DAE0143" w14:textId="74818710" w:rsidR="008439F2" w:rsidRPr="002B719B" w:rsidRDefault="008439F2" w:rsidP="008439F2">
      <w:pPr>
        <w:pStyle w:val="Heading3"/>
        <w:spacing w:before="0" w:after="0"/>
        <w:jc w:val="center"/>
        <w:rPr>
          <w:rFonts w:ascii="Arial" w:hAnsi="Arial" w:cs="Arial"/>
          <w:sz w:val="22"/>
          <w:szCs w:val="22"/>
          <w:lang w:val="fr-FR"/>
        </w:rPr>
      </w:pPr>
      <w:r w:rsidRPr="002B719B">
        <w:rPr>
          <w:rFonts w:ascii="Arial" w:hAnsi="Arial" w:cs="Arial"/>
          <w:sz w:val="22"/>
          <w:szCs w:val="22"/>
          <w:lang w:val="fr-FR"/>
        </w:rPr>
        <w:lastRenderedPageBreak/>
        <w:t xml:space="preserve">Thème 6 : </w:t>
      </w:r>
    </w:p>
    <w:p w14:paraId="77734034" w14:textId="489B88D4" w:rsidR="008439F2" w:rsidRPr="002B719B" w:rsidRDefault="00934971" w:rsidP="008439F2">
      <w:pPr>
        <w:pStyle w:val="Heading3"/>
        <w:spacing w:before="0" w:after="0"/>
        <w:jc w:val="center"/>
        <w:rPr>
          <w:rFonts w:ascii="Arial" w:hAnsi="Arial" w:cs="Arial"/>
          <w:sz w:val="22"/>
          <w:szCs w:val="22"/>
          <w:lang w:val="fr-FR"/>
        </w:rPr>
      </w:pPr>
      <w:r w:rsidRPr="002B719B">
        <w:rPr>
          <w:rFonts w:ascii="Arial" w:hAnsi="Arial" w:cs="Arial"/>
          <w:sz w:val="22"/>
          <w:szCs w:val="22"/>
          <w:lang w:val="fr-FR"/>
        </w:rPr>
        <w:t>Développer et mettre en œuvre une stratégie de financement durable pour la conservation des espèces de viandes d’animaux sauvages aquatiques</w:t>
      </w:r>
    </w:p>
    <w:p w14:paraId="1B72F511" w14:textId="77777777" w:rsidR="008439F2" w:rsidRPr="002B719B" w:rsidRDefault="008439F2" w:rsidP="008439F2">
      <w:pPr>
        <w:numPr>
          <w:ilvl w:val="0"/>
          <w:numId w:val="8"/>
        </w:numPr>
        <w:jc w:val="both"/>
        <w:rPr>
          <w:rFonts w:cs="Arial"/>
          <w:lang w:val="fr-FR"/>
        </w:rPr>
      </w:pPr>
    </w:p>
    <w:p w14:paraId="24304F7D" w14:textId="19E2B112" w:rsidR="008439F2" w:rsidRPr="002B719B" w:rsidRDefault="00C357B0" w:rsidP="008439F2">
      <w:pPr>
        <w:jc w:val="both"/>
        <w:rPr>
          <w:rFonts w:cs="Arial"/>
          <w:lang w:val="fr-FR"/>
        </w:rPr>
      </w:pPr>
      <w:r w:rsidRPr="002B719B">
        <w:rPr>
          <w:rFonts w:cs="Arial"/>
          <w:lang w:val="fr-FR"/>
        </w:rPr>
        <w:t>L'un des principaux obstacles à la mise en œuvre des plans d'action en matière de conservation est la disponibilité de ressources à la fois adéquates et durables sur le temps. Pour relever ce défi, il est important d'impliquer les donateurs suffisamment tôt et d'établir des partenariats fondés sur les intérêts des donateurs. Pour assurer un financement durable de la conservation des espèces aquatiques sauvages, il est essentiel de cartographier l'orientation thématique et géographique des donateurs, de s'assurer qu'ils adhèrent à la vision stratégique du plan d'action et d'établir des systèmes de gouvernance pour le financement anticipé afin d'assurer un financement durable de la conservation des espèces aquatiques de viande sauvage.</w:t>
      </w:r>
    </w:p>
    <w:p w14:paraId="6C663EBB" w14:textId="77777777" w:rsidR="008439F2" w:rsidRPr="002B719B" w:rsidRDefault="008439F2" w:rsidP="008439F2">
      <w:pPr>
        <w:numPr>
          <w:ilvl w:val="0"/>
          <w:numId w:val="8"/>
        </w:numPr>
        <w:jc w:val="both"/>
        <w:rPr>
          <w:rFonts w:cs="Arial"/>
          <w:szCs w:val="20"/>
          <w:lang w:val="fr-FR"/>
        </w:rPr>
      </w:pPr>
    </w:p>
    <w:p w14:paraId="22A43334" w14:textId="1018638A" w:rsidR="00C71EF5" w:rsidRPr="002B719B" w:rsidRDefault="00C71EF5" w:rsidP="00C71EF5">
      <w:pPr>
        <w:numPr>
          <w:ilvl w:val="0"/>
          <w:numId w:val="12"/>
        </w:numPr>
        <w:jc w:val="both"/>
        <w:rPr>
          <w:rFonts w:cs="Arial"/>
          <w:lang w:val="fr-FR"/>
        </w:rPr>
      </w:pPr>
      <w:r w:rsidRPr="002B719B">
        <w:rPr>
          <w:rFonts w:cs="Arial"/>
          <w:lang w:val="fr-FR"/>
        </w:rPr>
        <w:t xml:space="preserve">Objectif thématique quinquennal : </w:t>
      </w:r>
      <w:r w:rsidRPr="002B719B">
        <w:rPr>
          <w:rFonts w:cs="Arial"/>
          <w:b/>
          <w:bCs/>
          <w:lang w:val="fr-FR"/>
        </w:rPr>
        <w:t>Etablir des mécanismes de financement durables pour la protection des espèces aquatiques de viande sauvage</w:t>
      </w:r>
    </w:p>
    <w:p w14:paraId="684BFF15" w14:textId="77777777" w:rsidR="008439F2" w:rsidRPr="002B719B" w:rsidRDefault="008439F2" w:rsidP="008439F2">
      <w:pPr>
        <w:numPr>
          <w:ilvl w:val="0"/>
          <w:numId w:val="8"/>
        </w:numPr>
        <w:jc w:val="both"/>
        <w:rPr>
          <w:rFonts w:cs="Arial"/>
          <w:lang w:val="fr-FR"/>
        </w:rPr>
      </w:pPr>
    </w:p>
    <w:tbl>
      <w:tblPr>
        <w:tblStyle w:val="TableGrid"/>
        <w:tblW w:w="13948" w:type="dxa"/>
        <w:tblLook w:val="0000" w:firstRow="0" w:lastRow="0" w:firstColumn="0" w:lastColumn="0" w:noHBand="0" w:noVBand="0"/>
      </w:tblPr>
      <w:tblGrid>
        <w:gridCol w:w="2971"/>
        <w:gridCol w:w="4535"/>
        <w:gridCol w:w="2665"/>
        <w:gridCol w:w="1305"/>
        <w:gridCol w:w="2472"/>
      </w:tblGrid>
      <w:tr w:rsidR="00AC33E0" w:rsidRPr="00D53F47" w14:paraId="40F09943" w14:textId="77777777" w:rsidTr="00EB6E47">
        <w:trPr>
          <w:tblHeader/>
        </w:trPr>
        <w:tc>
          <w:tcPr>
            <w:tcW w:w="2971" w:type="dxa"/>
            <w:shd w:val="clear" w:color="auto" w:fill="DEEAF6" w:themeFill="accent5" w:themeFillTint="33"/>
          </w:tcPr>
          <w:p w14:paraId="049101E4" w14:textId="77777777" w:rsidR="00CC651C" w:rsidRPr="00D53F47" w:rsidRDefault="00CC651C" w:rsidP="00D53F47">
            <w:pPr>
              <w:numPr>
                <w:ilvl w:val="0"/>
                <w:numId w:val="14"/>
              </w:numPr>
              <w:spacing w:before="40" w:after="40"/>
              <w:rPr>
                <w:rFonts w:ascii="Arial" w:hAnsi="Arial" w:cs="Arial"/>
                <w:b/>
                <w:bCs/>
                <w:sz w:val="20"/>
                <w:szCs w:val="20"/>
                <w:lang w:val="fr-FR" w:eastAsia="en-GB"/>
              </w:rPr>
            </w:pPr>
            <w:r w:rsidRPr="00D53F47">
              <w:rPr>
                <w:rFonts w:ascii="Arial" w:hAnsi="Arial" w:cs="Arial"/>
                <w:b/>
                <w:bCs/>
                <w:sz w:val="20"/>
                <w:szCs w:val="20"/>
                <w:lang w:val="fr-FR"/>
              </w:rPr>
              <w:t>Action</w:t>
            </w:r>
          </w:p>
        </w:tc>
        <w:tc>
          <w:tcPr>
            <w:tcW w:w="4535" w:type="dxa"/>
            <w:shd w:val="clear" w:color="auto" w:fill="DEEAF6" w:themeFill="accent5" w:themeFillTint="33"/>
          </w:tcPr>
          <w:p w14:paraId="4A0239A8" w14:textId="77777777" w:rsidR="00CC651C" w:rsidRPr="00D53F47" w:rsidRDefault="00CC651C" w:rsidP="00D53F47">
            <w:pPr>
              <w:numPr>
                <w:ilvl w:val="0"/>
                <w:numId w:val="14"/>
              </w:numPr>
              <w:spacing w:before="40" w:after="40"/>
              <w:rPr>
                <w:rFonts w:ascii="Arial" w:hAnsi="Arial" w:cs="Arial"/>
                <w:b/>
                <w:bCs/>
                <w:sz w:val="20"/>
                <w:szCs w:val="20"/>
                <w:lang w:val="fr-FR" w:eastAsia="en-GB"/>
              </w:rPr>
            </w:pPr>
            <w:r w:rsidRPr="00D53F47">
              <w:rPr>
                <w:rFonts w:ascii="Arial" w:hAnsi="Arial" w:cs="Arial"/>
                <w:b/>
                <w:bCs/>
                <w:sz w:val="20"/>
                <w:szCs w:val="20"/>
                <w:lang w:val="fr-FR"/>
              </w:rPr>
              <w:t>Activités</w:t>
            </w:r>
          </w:p>
        </w:tc>
        <w:tc>
          <w:tcPr>
            <w:tcW w:w="2665" w:type="dxa"/>
            <w:shd w:val="clear" w:color="auto" w:fill="DEEAF6" w:themeFill="accent5" w:themeFillTint="33"/>
          </w:tcPr>
          <w:p w14:paraId="526AB3DA" w14:textId="77777777" w:rsidR="00CC651C" w:rsidRPr="00D53F47" w:rsidRDefault="00CC651C" w:rsidP="00D53F47">
            <w:pPr>
              <w:numPr>
                <w:ilvl w:val="0"/>
                <w:numId w:val="14"/>
              </w:numPr>
              <w:spacing w:before="40" w:after="40"/>
              <w:rPr>
                <w:rFonts w:ascii="Arial" w:hAnsi="Arial" w:cs="Arial"/>
                <w:b/>
                <w:bCs/>
                <w:sz w:val="20"/>
                <w:szCs w:val="20"/>
                <w:lang w:val="fr-FR" w:eastAsia="en-GB"/>
              </w:rPr>
            </w:pPr>
            <w:r w:rsidRPr="00D53F47">
              <w:rPr>
                <w:rFonts w:ascii="Arial" w:hAnsi="Arial" w:cs="Arial"/>
                <w:b/>
                <w:bCs/>
                <w:sz w:val="20"/>
                <w:szCs w:val="20"/>
                <w:lang w:val="fr-FR"/>
              </w:rPr>
              <w:t>Responsable(s)</w:t>
            </w:r>
          </w:p>
        </w:tc>
        <w:tc>
          <w:tcPr>
            <w:tcW w:w="0" w:type="auto"/>
            <w:shd w:val="clear" w:color="auto" w:fill="DEEAF6" w:themeFill="accent5" w:themeFillTint="33"/>
          </w:tcPr>
          <w:p w14:paraId="62829985" w14:textId="77777777" w:rsidR="00CC651C" w:rsidRPr="00D53F47" w:rsidRDefault="00CC651C" w:rsidP="00D53F47">
            <w:pPr>
              <w:numPr>
                <w:ilvl w:val="0"/>
                <w:numId w:val="14"/>
              </w:numPr>
              <w:spacing w:before="40" w:after="40"/>
              <w:rPr>
                <w:rFonts w:ascii="Arial" w:hAnsi="Arial" w:cs="Arial"/>
                <w:b/>
                <w:bCs/>
                <w:sz w:val="20"/>
                <w:szCs w:val="20"/>
                <w:lang w:val="fr-FR" w:eastAsia="en-GB"/>
              </w:rPr>
            </w:pPr>
            <w:r w:rsidRPr="00D53F47">
              <w:rPr>
                <w:rFonts w:ascii="Arial" w:hAnsi="Arial" w:cs="Arial"/>
                <w:b/>
                <w:bCs/>
                <w:sz w:val="20"/>
                <w:szCs w:val="20"/>
                <w:lang w:val="fr-FR"/>
              </w:rPr>
              <w:t>Calendrier</w:t>
            </w:r>
          </w:p>
        </w:tc>
        <w:tc>
          <w:tcPr>
            <w:tcW w:w="2472" w:type="dxa"/>
            <w:shd w:val="clear" w:color="auto" w:fill="DEEAF6" w:themeFill="accent5" w:themeFillTint="33"/>
          </w:tcPr>
          <w:p w14:paraId="47486FAA" w14:textId="77777777" w:rsidR="00CC651C" w:rsidRPr="00D53F47" w:rsidRDefault="00CC651C" w:rsidP="00D53F47">
            <w:pPr>
              <w:numPr>
                <w:ilvl w:val="0"/>
                <w:numId w:val="14"/>
              </w:numPr>
              <w:spacing w:before="40" w:after="40"/>
              <w:rPr>
                <w:rFonts w:ascii="Arial" w:hAnsi="Arial" w:cs="Arial"/>
                <w:b/>
                <w:bCs/>
                <w:sz w:val="20"/>
                <w:szCs w:val="20"/>
                <w:lang w:val="fr-FR" w:eastAsia="en-GB"/>
              </w:rPr>
            </w:pPr>
            <w:r w:rsidRPr="00D53F47">
              <w:rPr>
                <w:rFonts w:ascii="Arial" w:hAnsi="Arial" w:cs="Arial"/>
                <w:b/>
                <w:bCs/>
                <w:sz w:val="20"/>
                <w:szCs w:val="20"/>
                <w:lang w:val="fr-FR"/>
              </w:rPr>
              <w:t>Ressources nécessaires</w:t>
            </w:r>
          </w:p>
        </w:tc>
      </w:tr>
      <w:tr w:rsidR="00EB6E47" w:rsidRPr="00D53F47" w14:paraId="5390BA94" w14:textId="77777777" w:rsidTr="00EB6E47">
        <w:tc>
          <w:tcPr>
            <w:tcW w:w="2971" w:type="dxa"/>
            <w:vMerge w:val="restart"/>
          </w:tcPr>
          <w:p w14:paraId="4E13407F" w14:textId="77777777" w:rsidR="00CC651C" w:rsidRPr="00D53F47" w:rsidRDefault="00CC651C" w:rsidP="00D53F47">
            <w:pPr>
              <w:spacing w:before="40" w:after="40"/>
              <w:rPr>
                <w:rFonts w:ascii="Arial" w:hAnsi="Arial" w:cs="Arial"/>
                <w:sz w:val="20"/>
                <w:szCs w:val="20"/>
                <w:lang w:val="fr-FR" w:eastAsia="en-GB"/>
              </w:rPr>
            </w:pPr>
            <w:r w:rsidRPr="00D53F47">
              <w:rPr>
                <w:rFonts w:ascii="Arial" w:hAnsi="Arial" w:cs="Arial"/>
                <w:sz w:val="20"/>
                <w:szCs w:val="20"/>
                <w:lang w:val="fr-FR"/>
              </w:rPr>
              <w:t>6.1. Financer des solutions communautaires et une meilleure application de la loi</w:t>
            </w:r>
          </w:p>
        </w:tc>
        <w:tc>
          <w:tcPr>
            <w:tcW w:w="4535" w:type="dxa"/>
          </w:tcPr>
          <w:p w14:paraId="539E20ED" w14:textId="0FA30BD4" w:rsidR="00CC651C" w:rsidRPr="00D53F47" w:rsidRDefault="00CC651C" w:rsidP="00D53F47">
            <w:pPr>
              <w:numPr>
                <w:ilvl w:val="0"/>
                <w:numId w:val="14"/>
              </w:numPr>
              <w:spacing w:before="40" w:after="40"/>
              <w:rPr>
                <w:rFonts w:ascii="Arial" w:hAnsi="Arial" w:cs="Arial"/>
                <w:sz w:val="20"/>
                <w:szCs w:val="20"/>
                <w:lang w:val="fr-FR" w:eastAsia="en-GB"/>
              </w:rPr>
            </w:pPr>
            <w:r w:rsidRPr="00D53F47">
              <w:rPr>
                <w:rFonts w:ascii="Arial" w:hAnsi="Arial" w:cs="Arial"/>
                <w:sz w:val="20"/>
                <w:szCs w:val="20"/>
                <w:lang w:val="fr-FR"/>
              </w:rPr>
              <w:t>6.1.1 Recenser les partenaires financiers ayant des intérêts géographiques et thématiques convergents pour la conservation de la viande d'animaux sauvages aquatiques</w:t>
            </w:r>
          </w:p>
        </w:tc>
        <w:tc>
          <w:tcPr>
            <w:tcW w:w="2665" w:type="dxa"/>
          </w:tcPr>
          <w:p w14:paraId="7462074D" w14:textId="7272E953" w:rsidR="00CC651C" w:rsidRPr="00D53F47" w:rsidRDefault="00CC651C" w:rsidP="00D53F47">
            <w:pPr>
              <w:numPr>
                <w:ilvl w:val="0"/>
                <w:numId w:val="14"/>
              </w:numPr>
              <w:spacing w:before="40" w:after="40"/>
              <w:rPr>
                <w:rFonts w:ascii="Arial" w:hAnsi="Arial" w:cs="Arial"/>
                <w:sz w:val="20"/>
                <w:szCs w:val="20"/>
                <w:lang w:val="fr-FR" w:eastAsia="en-GB"/>
              </w:rPr>
            </w:pPr>
            <w:r w:rsidRPr="00D53F47">
              <w:rPr>
                <w:rFonts w:ascii="Arial" w:hAnsi="Arial" w:cs="Arial"/>
                <w:sz w:val="20"/>
                <w:szCs w:val="20"/>
                <w:lang w:val="fr-FR"/>
              </w:rPr>
              <w:t>AWM WG en collaboration avec les points focaux de l’Afrique de l’Ouest de CMS, CITES, Convention d’Abidjan, Ramsar, UICN et FAO</w:t>
            </w:r>
          </w:p>
        </w:tc>
        <w:tc>
          <w:tcPr>
            <w:tcW w:w="0" w:type="auto"/>
          </w:tcPr>
          <w:p w14:paraId="6FBF01B1" w14:textId="4421CB33" w:rsidR="00CC651C" w:rsidRPr="00D53F47" w:rsidRDefault="00CC651C" w:rsidP="00D53F47">
            <w:pPr>
              <w:numPr>
                <w:ilvl w:val="0"/>
                <w:numId w:val="14"/>
              </w:numPr>
              <w:spacing w:before="40" w:after="40"/>
              <w:rPr>
                <w:rFonts w:ascii="Arial" w:hAnsi="Arial" w:cs="Arial"/>
                <w:sz w:val="20"/>
                <w:szCs w:val="20"/>
                <w:lang w:val="fr-FR" w:eastAsia="en-GB"/>
              </w:rPr>
            </w:pPr>
            <w:r w:rsidRPr="00D53F47">
              <w:rPr>
                <w:rFonts w:ascii="Arial" w:hAnsi="Arial" w:cs="Arial"/>
                <w:sz w:val="20"/>
                <w:szCs w:val="20"/>
                <w:lang w:val="fr-FR"/>
              </w:rPr>
              <w:t>2024</w:t>
            </w:r>
          </w:p>
        </w:tc>
        <w:tc>
          <w:tcPr>
            <w:tcW w:w="2472" w:type="dxa"/>
          </w:tcPr>
          <w:p w14:paraId="0DB0D2B9" w14:textId="64BBD8E5" w:rsidR="00CC651C" w:rsidRPr="00D53F47" w:rsidRDefault="00CC651C" w:rsidP="00D53F47">
            <w:pPr>
              <w:numPr>
                <w:ilvl w:val="0"/>
                <w:numId w:val="14"/>
              </w:numPr>
              <w:spacing w:before="40" w:after="40"/>
              <w:rPr>
                <w:rFonts w:ascii="Arial" w:hAnsi="Arial" w:cs="Arial"/>
                <w:sz w:val="20"/>
                <w:szCs w:val="20"/>
                <w:lang w:val="fr-FR" w:eastAsia="en-GB"/>
              </w:rPr>
            </w:pPr>
            <w:r w:rsidRPr="00D53F47">
              <w:rPr>
                <w:rFonts w:ascii="Arial" w:hAnsi="Arial" w:cs="Arial"/>
                <w:sz w:val="20"/>
                <w:szCs w:val="20"/>
                <w:lang w:val="fr-FR"/>
              </w:rPr>
              <w:t>Temps de travail du personnel + accès internet + Zoom</w:t>
            </w:r>
          </w:p>
        </w:tc>
      </w:tr>
      <w:tr w:rsidR="00EB6E47" w:rsidRPr="00D53F47" w14:paraId="40301BD2" w14:textId="77777777" w:rsidTr="00EB6E47">
        <w:tc>
          <w:tcPr>
            <w:tcW w:w="2971" w:type="dxa"/>
            <w:vMerge/>
          </w:tcPr>
          <w:p w14:paraId="017F2D9A" w14:textId="77777777" w:rsidR="00CC651C" w:rsidRPr="00D53F47" w:rsidRDefault="00CC651C" w:rsidP="00D53F47">
            <w:pPr>
              <w:numPr>
                <w:ilvl w:val="0"/>
                <w:numId w:val="14"/>
              </w:numPr>
              <w:spacing w:before="40" w:after="40"/>
              <w:rPr>
                <w:rFonts w:ascii="Arial" w:hAnsi="Arial" w:cs="Arial"/>
                <w:sz w:val="20"/>
                <w:szCs w:val="20"/>
                <w:lang w:val="fr-FR" w:eastAsia="en-GB"/>
              </w:rPr>
            </w:pPr>
          </w:p>
        </w:tc>
        <w:tc>
          <w:tcPr>
            <w:tcW w:w="4535" w:type="dxa"/>
          </w:tcPr>
          <w:p w14:paraId="07050D18" w14:textId="4EC5B2F1" w:rsidR="00CC651C" w:rsidRPr="00D53F47" w:rsidRDefault="00CC651C" w:rsidP="00D53F47">
            <w:pPr>
              <w:numPr>
                <w:ilvl w:val="0"/>
                <w:numId w:val="14"/>
              </w:numPr>
              <w:spacing w:before="40" w:after="40"/>
              <w:rPr>
                <w:rFonts w:ascii="Arial" w:hAnsi="Arial" w:cs="Arial"/>
                <w:sz w:val="20"/>
                <w:szCs w:val="20"/>
                <w:lang w:val="fr-FR" w:eastAsia="en-GB"/>
              </w:rPr>
            </w:pPr>
            <w:r w:rsidRPr="00D53F47">
              <w:rPr>
                <w:rFonts w:ascii="Arial" w:hAnsi="Arial" w:cs="Arial"/>
                <w:sz w:val="20"/>
                <w:szCs w:val="20"/>
                <w:lang w:val="fr-FR"/>
              </w:rPr>
              <w:t>6.1.2 Créer une base de données pour la mobilisation des ressources financières</w:t>
            </w:r>
          </w:p>
        </w:tc>
        <w:tc>
          <w:tcPr>
            <w:tcW w:w="2665" w:type="dxa"/>
          </w:tcPr>
          <w:p w14:paraId="5EE42BF6" w14:textId="77777777" w:rsidR="00CC651C" w:rsidRPr="00D53F47" w:rsidRDefault="00CC651C" w:rsidP="00D53F47">
            <w:pPr>
              <w:numPr>
                <w:ilvl w:val="0"/>
                <w:numId w:val="14"/>
              </w:numPr>
              <w:spacing w:before="40" w:after="40"/>
              <w:rPr>
                <w:rFonts w:ascii="Arial" w:hAnsi="Arial" w:cs="Arial"/>
                <w:sz w:val="20"/>
                <w:szCs w:val="20"/>
                <w:lang w:val="fr-FR"/>
              </w:rPr>
            </w:pPr>
            <w:r w:rsidRPr="00D53F47">
              <w:rPr>
                <w:rFonts w:ascii="Arial" w:hAnsi="Arial" w:cs="Arial"/>
                <w:sz w:val="20"/>
                <w:szCs w:val="20"/>
                <w:lang w:val="fr-FR"/>
              </w:rPr>
              <w:t>AWM WG en collaboration avec les points focaux de l’Afrique de l’Ouest de CMS,</w:t>
            </w:r>
          </w:p>
          <w:p w14:paraId="67D40245" w14:textId="72775E25" w:rsidR="00CC651C" w:rsidRPr="00D53F47" w:rsidRDefault="00CC651C" w:rsidP="00D53F47">
            <w:pPr>
              <w:numPr>
                <w:ilvl w:val="0"/>
                <w:numId w:val="14"/>
              </w:numPr>
              <w:spacing w:before="40" w:after="40"/>
              <w:rPr>
                <w:rFonts w:ascii="Arial" w:hAnsi="Arial" w:cs="Arial"/>
                <w:sz w:val="20"/>
                <w:szCs w:val="20"/>
                <w:lang w:val="fr-FR" w:eastAsia="en-GB"/>
              </w:rPr>
            </w:pPr>
            <w:r w:rsidRPr="00D53F47">
              <w:rPr>
                <w:rFonts w:ascii="Arial" w:hAnsi="Arial" w:cs="Arial"/>
                <w:sz w:val="20"/>
                <w:szCs w:val="20"/>
                <w:lang w:val="fr-FR"/>
              </w:rPr>
              <w:t>CITES, Convention d’Abidjan, Ramsar, UICN et FAO</w:t>
            </w:r>
          </w:p>
        </w:tc>
        <w:tc>
          <w:tcPr>
            <w:tcW w:w="0" w:type="auto"/>
          </w:tcPr>
          <w:p w14:paraId="4B681161" w14:textId="53DF35E6" w:rsidR="00CC651C" w:rsidRPr="00D53F47" w:rsidRDefault="00CC651C" w:rsidP="00D53F47">
            <w:pPr>
              <w:numPr>
                <w:ilvl w:val="0"/>
                <w:numId w:val="14"/>
              </w:numPr>
              <w:spacing w:before="40" w:after="40"/>
              <w:rPr>
                <w:rFonts w:ascii="Arial" w:hAnsi="Arial" w:cs="Arial"/>
                <w:sz w:val="20"/>
                <w:szCs w:val="20"/>
                <w:lang w:val="fr-FR" w:eastAsia="en-GB"/>
              </w:rPr>
            </w:pPr>
            <w:r w:rsidRPr="00D53F47">
              <w:rPr>
                <w:rFonts w:ascii="Arial" w:hAnsi="Arial" w:cs="Arial"/>
                <w:sz w:val="20"/>
                <w:szCs w:val="20"/>
                <w:lang w:val="fr-FR"/>
              </w:rPr>
              <w:t>2025</w:t>
            </w:r>
          </w:p>
        </w:tc>
        <w:tc>
          <w:tcPr>
            <w:tcW w:w="2472" w:type="dxa"/>
          </w:tcPr>
          <w:p w14:paraId="726FA594" w14:textId="2F2A3015" w:rsidR="00CC651C" w:rsidRPr="00D53F47" w:rsidRDefault="00CC651C" w:rsidP="00D53F47">
            <w:pPr>
              <w:numPr>
                <w:ilvl w:val="0"/>
                <w:numId w:val="14"/>
              </w:numPr>
              <w:spacing w:before="40" w:after="40"/>
              <w:rPr>
                <w:rFonts w:ascii="Arial" w:hAnsi="Arial" w:cs="Arial"/>
                <w:sz w:val="20"/>
                <w:szCs w:val="20"/>
                <w:lang w:val="fr-FR" w:eastAsia="en-GB"/>
              </w:rPr>
            </w:pPr>
            <w:r w:rsidRPr="00D53F47">
              <w:rPr>
                <w:rFonts w:ascii="Arial" w:hAnsi="Arial" w:cs="Arial"/>
                <w:sz w:val="20"/>
                <w:szCs w:val="20"/>
                <w:lang w:val="fr-FR"/>
              </w:rPr>
              <w:t>Temps de travail du personnel + accès internet</w:t>
            </w:r>
          </w:p>
        </w:tc>
      </w:tr>
      <w:tr w:rsidR="00EB6E47" w:rsidRPr="00D53F47" w14:paraId="7D563CEF" w14:textId="77777777" w:rsidTr="00EB6E47">
        <w:tc>
          <w:tcPr>
            <w:tcW w:w="2971" w:type="dxa"/>
            <w:vMerge/>
          </w:tcPr>
          <w:p w14:paraId="6CBFE1B2" w14:textId="77777777" w:rsidR="00CC651C" w:rsidRPr="00D53F47" w:rsidRDefault="00CC651C" w:rsidP="00D53F47">
            <w:pPr>
              <w:numPr>
                <w:ilvl w:val="0"/>
                <w:numId w:val="14"/>
              </w:numPr>
              <w:spacing w:before="40" w:after="40"/>
              <w:rPr>
                <w:rFonts w:ascii="Arial" w:hAnsi="Arial" w:cs="Arial"/>
                <w:sz w:val="20"/>
                <w:szCs w:val="20"/>
                <w:lang w:val="fr-FR" w:eastAsia="en-GB"/>
              </w:rPr>
            </w:pPr>
          </w:p>
        </w:tc>
        <w:tc>
          <w:tcPr>
            <w:tcW w:w="4535" w:type="dxa"/>
          </w:tcPr>
          <w:p w14:paraId="18425DCE" w14:textId="7D69FDDA" w:rsidR="00CC651C" w:rsidRPr="00D53F47" w:rsidRDefault="00CC651C" w:rsidP="00D53F47">
            <w:pPr>
              <w:numPr>
                <w:ilvl w:val="0"/>
                <w:numId w:val="14"/>
              </w:numPr>
              <w:spacing w:before="40" w:after="40"/>
              <w:rPr>
                <w:rFonts w:ascii="Arial" w:hAnsi="Arial" w:cs="Arial"/>
                <w:sz w:val="20"/>
                <w:szCs w:val="20"/>
                <w:lang w:val="fr-FR" w:eastAsia="en-GB"/>
              </w:rPr>
            </w:pPr>
            <w:r w:rsidRPr="00D53F47">
              <w:rPr>
                <w:rFonts w:ascii="Arial" w:hAnsi="Arial" w:cs="Arial"/>
                <w:sz w:val="20"/>
                <w:szCs w:val="20"/>
                <w:lang w:val="fr-FR"/>
              </w:rPr>
              <w:t>6.1.3 Mettre en place le cadre institutionnel pour une gestion transparente et durable des ressources financières acquises</w:t>
            </w:r>
          </w:p>
        </w:tc>
        <w:tc>
          <w:tcPr>
            <w:tcW w:w="2665" w:type="dxa"/>
          </w:tcPr>
          <w:p w14:paraId="4515704B" w14:textId="3DA59856" w:rsidR="00CC651C" w:rsidRPr="00D53F47" w:rsidRDefault="00CC651C" w:rsidP="00D53F47">
            <w:pPr>
              <w:numPr>
                <w:ilvl w:val="0"/>
                <w:numId w:val="14"/>
              </w:numPr>
              <w:spacing w:before="40" w:after="40"/>
              <w:rPr>
                <w:rFonts w:ascii="Arial" w:hAnsi="Arial" w:cs="Arial"/>
                <w:sz w:val="20"/>
                <w:szCs w:val="20"/>
                <w:lang w:val="fr-FR" w:eastAsia="en-GB"/>
              </w:rPr>
            </w:pPr>
            <w:r w:rsidRPr="00D53F47">
              <w:rPr>
                <w:rFonts w:ascii="Arial" w:hAnsi="Arial" w:cs="Arial"/>
                <w:sz w:val="20"/>
                <w:szCs w:val="20"/>
                <w:lang w:val="fr-FR"/>
              </w:rPr>
              <w:t>AWM WG après consultation des points focaux de l’Afrique de l’Ouest de CMS, CITES, Convention d’Abidjan, Ramsar, UICN, FAO et la CEDEAO</w:t>
            </w:r>
          </w:p>
        </w:tc>
        <w:tc>
          <w:tcPr>
            <w:tcW w:w="0" w:type="auto"/>
          </w:tcPr>
          <w:p w14:paraId="6281B985" w14:textId="548BE59F" w:rsidR="00CC651C" w:rsidRPr="00D53F47" w:rsidRDefault="00CC651C" w:rsidP="00D53F47">
            <w:pPr>
              <w:numPr>
                <w:ilvl w:val="0"/>
                <w:numId w:val="14"/>
              </w:numPr>
              <w:spacing w:before="40" w:after="40"/>
              <w:rPr>
                <w:rFonts w:ascii="Arial" w:hAnsi="Arial" w:cs="Arial"/>
                <w:sz w:val="20"/>
                <w:szCs w:val="20"/>
                <w:lang w:val="fr-FR" w:eastAsia="en-GB"/>
              </w:rPr>
            </w:pPr>
            <w:r w:rsidRPr="00D53F47">
              <w:rPr>
                <w:rFonts w:ascii="Arial" w:hAnsi="Arial" w:cs="Arial"/>
                <w:sz w:val="20"/>
                <w:szCs w:val="20"/>
                <w:lang w:val="fr-FR"/>
              </w:rPr>
              <w:t>2025</w:t>
            </w:r>
          </w:p>
        </w:tc>
        <w:tc>
          <w:tcPr>
            <w:tcW w:w="2472" w:type="dxa"/>
          </w:tcPr>
          <w:p w14:paraId="25B72013" w14:textId="6E5A281F" w:rsidR="00CC651C" w:rsidRPr="00D53F47" w:rsidRDefault="00CC651C" w:rsidP="00D53F47">
            <w:pPr>
              <w:numPr>
                <w:ilvl w:val="0"/>
                <w:numId w:val="14"/>
              </w:numPr>
              <w:spacing w:before="40" w:after="40"/>
              <w:rPr>
                <w:rFonts w:ascii="Arial" w:hAnsi="Arial" w:cs="Arial"/>
                <w:sz w:val="20"/>
                <w:szCs w:val="20"/>
                <w:lang w:val="fr-FR" w:eastAsia="en-GB"/>
              </w:rPr>
            </w:pPr>
            <w:r w:rsidRPr="00D53F47">
              <w:rPr>
                <w:rFonts w:ascii="Arial" w:hAnsi="Arial" w:cs="Arial"/>
                <w:sz w:val="20"/>
                <w:szCs w:val="20"/>
                <w:lang w:val="fr-FR"/>
              </w:rPr>
              <w:t>Temps de travail du personnel + accès internet + Zoom</w:t>
            </w:r>
          </w:p>
        </w:tc>
      </w:tr>
      <w:tr w:rsidR="00EB6E47" w:rsidRPr="00D53F47" w14:paraId="280FBA51" w14:textId="77777777" w:rsidTr="00EB6E47">
        <w:tc>
          <w:tcPr>
            <w:tcW w:w="2971" w:type="dxa"/>
            <w:vMerge/>
          </w:tcPr>
          <w:p w14:paraId="0EC322A6" w14:textId="77777777" w:rsidR="00CC651C" w:rsidRPr="00D53F47" w:rsidRDefault="00CC651C" w:rsidP="00D53F47">
            <w:pPr>
              <w:numPr>
                <w:ilvl w:val="0"/>
                <w:numId w:val="14"/>
              </w:numPr>
              <w:spacing w:before="40" w:after="40"/>
              <w:rPr>
                <w:rFonts w:ascii="Arial" w:hAnsi="Arial" w:cs="Arial"/>
                <w:sz w:val="20"/>
                <w:szCs w:val="20"/>
                <w:lang w:val="fr-FR" w:eastAsia="en-GB"/>
              </w:rPr>
            </w:pPr>
          </w:p>
        </w:tc>
        <w:tc>
          <w:tcPr>
            <w:tcW w:w="4535" w:type="dxa"/>
          </w:tcPr>
          <w:p w14:paraId="6F14E9CF" w14:textId="78F0010B" w:rsidR="00CC651C" w:rsidRPr="00D53F47" w:rsidRDefault="00CC651C" w:rsidP="00D53F47">
            <w:pPr>
              <w:numPr>
                <w:ilvl w:val="0"/>
                <w:numId w:val="14"/>
              </w:numPr>
              <w:spacing w:before="40" w:after="40"/>
              <w:rPr>
                <w:rFonts w:ascii="Arial" w:hAnsi="Arial" w:cs="Arial"/>
                <w:sz w:val="20"/>
                <w:szCs w:val="20"/>
                <w:lang w:val="fr-FR" w:eastAsia="en-GB"/>
              </w:rPr>
            </w:pPr>
            <w:r w:rsidRPr="00D53F47">
              <w:rPr>
                <w:rFonts w:ascii="Arial" w:hAnsi="Arial" w:cs="Arial"/>
                <w:sz w:val="20"/>
                <w:szCs w:val="20"/>
                <w:lang w:val="fr-FR"/>
              </w:rPr>
              <w:t>6.1.4 Promouvoir auprès des partenaires financiers la stratégie pour la recherche de financements (documents de plaidoyer)</w:t>
            </w:r>
          </w:p>
        </w:tc>
        <w:tc>
          <w:tcPr>
            <w:tcW w:w="2665" w:type="dxa"/>
          </w:tcPr>
          <w:p w14:paraId="7E10A61A" w14:textId="77777777" w:rsidR="00CC651C" w:rsidRPr="00D53F47" w:rsidRDefault="00CC651C" w:rsidP="00D53F47">
            <w:pPr>
              <w:spacing w:before="40" w:after="40"/>
              <w:ind w:right="145"/>
              <w:rPr>
                <w:rFonts w:ascii="Arial" w:eastAsia="Arial" w:hAnsi="Arial" w:cs="Arial"/>
                <w:sz w:val="20"/>
                <w:szCs w:val="20"/>
                <w:lang w:val="fr-FR"/>
              </w:rPr>
            </w:pPr>
            <w:r w:rsidRPr="00D53F47">
              <w:rPr>
                <w:rFonts w:ascii="Arial" w:eastAsia="Arial" w:hAnsi="Arial" w:cs="Arial"/>
                <w:sz w:val="20"/>
                <w:szCs w:val="20"/>
                <w:lang w:val="fr-FR"/>
              </w:rPr>
              <w:t>AWM WG après consultation des points focaux de l’Afrique de l’Ouest de CMS,</w:t>
            </w:r>
          </w:p>
          <w:p w14:paraId="5FC12BC7" w14:textId="77777777" w:rsidR="00CC651C" w:rsidRPr="00D53F47" w:rsidRDefault="00CC651C" w:rsidP="00D53F47">
            <w:pPr>
              <w:spacing w:before="40" w:after="40"/>
              <w:rPr>
                <w:rFonts w:ascii="Arial" w:eastAsia="Arial" w:hAnsi="Arial" w:cs="Arial"/>
                <w:sz w:val="20"/>
                <w:szCs w:val="20"/>
                <w:lang w:val="fr-FR"/>
              </w:rPr>
            </w:pPr>
            <w:r w:rsidRPr="00D53F47">
              <w:rPr>
                <w:rFonts w:ascii="Arial" w:eastAsia="Arial" w:hAnsi="Arial" w:cs="Arial"/>
                <w:sz w:val="20"/>
                <w:szCs w:val="20"/>
                <w:lang w:val="fr-FR"/>
              </w:rPr>
              <w:t>CITES, Convention</w:t>
            </w:r>
          </w:p>
          <w:p w14:paraId="105A8A30" w14:textId="65541C7D" w:rsidR="00CC651C" w:rsidRPr="00D53F47" w:rsidRDefault="00CC651C" w:rsidP="00D53F47">
            <w:pPr>
              <w:spacing w:before="40" w:after="40"/>
              <w:rPr>
                <w:rFonts w:ascii="Arial" w:hAnsi="Arial" w:cs="Arial"/>
                <w:sz w:val="20"/>
                <w:szCs w:val="20"/>
                <w:lang w:val="fr-FR" w:eastAsia="en-GB"/>
              </w:rPr>
            </w:pPr>
            <w:r w:rsidRPr="00D53F47">
              <w:rPr>
                <w:rFonts w:ascii="Arial" w:eastAsia="Arial" w:hAnsi="Arial" w:cs="Arial"/>
                <w:sz w:val="20"/>
                <w:szCs w:val="20"/>
                <w:lang w:val="fr-FR"/>
              </w:rPr>
              <w:t>d’Abidjan, Ramsar, UICN et FAO</w:t>
            </w:r>
          </w:p>
        </w:tc>
        <w:tc>
          <w:tcPr>
            <w:tcW w:w="0" w:type="auto"/>
          </w:tcPr>
          <w:p w14:paraId="7C73FAC6" w14:textId="2F378DE2" w:rsidR="00CC651C" w:rsidRPr="00D53F47" w:rsidRDefault="00CC651C" w:rsidP="00D53F47">
            <w:pPr>
              <w:numPr>
                <w:ilvl w:val="0"/>
                <w:numId w:val="14"/>
              </w:numPr>
              <w:spacing w:before="40" w:after="40"/>
              <w:rPr>
                <w:rFonts w:ascii="Arial" w:hAnsi="Arial" w:cs="Arial"/>
                <w:sz w:val="20"/>
                <w:szCs w:val="20"/>
                <w:lang w:val="fr-FR" w:eastAsia="en-GB"/>
              </w:rPr>
            </w:pPr>
            <w:r w:rsidRPr="00D53F47">
              <w:rPr>
                <w:rFonts w:ascii="Arial" w:hAnsi="Arial" w:cs="Arial"/>
                <w:sz w:val="20"/>
                <w:szCs w:val="20"/>
                <w:lang w:val="fr-FR"/>
              </w:rPr>
              <w:t>2026</w:t>
            </w:r>
          </w:p>
        </w:tc>
        <w:tc>
          <w:tcPr>
            <w:tcW w:w="2472" w:type="dxa"/>
          </w:tcPr>
          <w:p w14:paraId="086865A2" w14:textId="322FB48E" w:rsidR="00CC651C" w:rsidRPr="00D53F47" w:rsidRDefault="00CC651C" w:rsidP="00D53F47">
            <w:pPr>
              <w:numPr>
                <w:ilvl w:val="0"/>
                <w:numId w:val="14"/>
              </w:numPr>
              <w:spacing w:before="40" w:after="40"/>
              <w:rPr>
                <w:rFonts w:ascii="Arial" w:hAnsi="Arial" w:cs="Arial"/>
                <w:sz w:val="20"/>
                <w:szCs w:val="20"/>
                <w:lang w:val="fr-FR" w:eastAsia="en-GB"/>
              </w:rPr>
            </w:pPr>
            <w:r w:rsidRPr="00D53F47">
              <w:rPr>
                <w:rFonts w:ascii="Arial" w:hAnsi="Arial" w:cs="Arial"/>
                <w:sz w:val="20"/>
                <w:szCs w:val="20"/>
                <w:lang w:val="fr-FR"/>
              </w:rPr>
              <w:t>Temps de travail du personnel + accès internet + atelier et voyages + cout de production de matériels</w:t>
            </w:r>
          </w:p>
        </w:tc>
      </w:tr>
      <w:tr w:rsidR="00EB6E47" w:rsidRPr="00D53F47" w14:paraId="2ABC1AF5" w14:textId="77777777" w:rsidTr="00EB6E47">
        <w:tc>
          <w:tcPr>
            <w:tcW w:w="2971" w:type="dxa"/>
          </w:tcPr>
          <w:p w14:paraId="56D34298" w14:textId="52602C2E" w:rsidR="00CC651C" w:rsidRPr="00D53F47" w:rsidRDefault="00CC651C" w:rsidP="00D53F47">
            <w:pPr>
              <w:numPr>
                <w:ilvl w:val="0"/>
                <w:numId w:val="14"/>
              </w:numPr>
              <w:spacing w:before="40" w:after="40"/>
              <w:rPr>
                <w:rFonts w:ascii="Arial" w:hAnsi="Arial" w:cs="Arial"/>
                <w:sz w:val="20"/>
                <w:szCs w:val="20"/>
                <w:lang w:val="fr-FR" w:eastAsia="en-GB"/>
              </w:rPr>
            </w:pPr>
            <w:r w:rsidRPr="00D53F47">
              <w:rPr>
                <w:rFonts w:ascii="Arial" w:hAnsi="Arial" w:cs="Arial"/>
                <w:sz w:val="20"/>
                <w:szCs w:val="20"/>
                <w:lang w:val="fr-FR" w:eastAsia="en-GB"/>
              </w:rPr>
              <w:t>6.2 Soutenir la coordination et la mise en œuvre du plan d'action</w:t>
            </w:r>
          </w:p>
        </w:tc>
        <w:tc>
          <w:tcPr>
            <w:tcW w:w="4535" w:type="dxa"/>
          </w:tcPr>
          <w:p w14:paraId="01AEACAC" w14:textId="725BBAC2" w:rsidR="00CC651C" w:rsidRPr="00D53F47" w:rsidRDefault="00CC651C" w:rsidP="00D53F47">
            <w:pPr>
              <w:numPr>
                <w:ilvl w:val="0"/>
                <w:numId w:val="14"/>
              </w:numPr>
              <w:spacing w:before="40" w:after="40"/>
              <w:rPr>
                <w:rFonts w:ascii="Arial" w:hAnsi="Arial" w:cs="Arial"/>
                <w:sz w:val="20"/>
                <w:szCs w:val="20"/>
                <w:lang w:val="fr-FR"/>
              </w:rPr>
            </w:pPr>
            <w:r w:rsidRPr="00D53F47">
              <w:rPr>
                <w:rFonts w:ascii="Arial" w:hAnsi="Arial" w:cs="Arial"/>
                <w:sz w:val="20"/>
                <w:szCs w:val="20"/>
                <w:lang w:val="fr-FR"/>
              </w:rPr>
              <w:t>6.2.1. Financer et recruter un coordinateur régional pour soutenir les points focaux de la CMS dans la mise en œuvre du plan d'action.</w:t>
            </w:r>
          </w:p>
        </w:tc>
        <w:tc>
          <w:tcPr>
            <w:tcW w:w="2665" w:type="dxa"/>
          </w:tcPr>
          <w:p w14:paraId="2522E1BB" w14:textId="7E11145F" w:rsidR="00CC651C" w:rsidRPr="00D53F47" w:rsidRDefault="00CC651C" w:rsidP="00D53F47">
            <w:pPr>
              <w:spacing w:before="40" w:after="40"/>
              <w:ind w:right="145"/>
              <w:rPr>
                <w:rFonts w:ascii="Arial" w:eastAsia="Arial" w:hAnsi="Arial" w:cs="Arial"/>
                <w:sz w:val="20"/>
                <w:szCs w:val="20"/>
                <w:lang w:val="fr-FR"/>
              </w:rPr>
            </w:pPr>
            <w:r w:rsidRPr="00D53F47">
              <w:rPr>
                <w:rFonts w:ascii="Arial" w:hAnsi="Arial" w:cs="Arial"/>
                <w:sz w:val="20"/>
                <w:szCs w:val="20"/>
                <w:lang w:val="fr-FR"/>
              </w:rPr>
              <w:t xml:space="preserve">Bailleurs de fonds et points focaux de la CMS en Afrique de l’Ouest </w:t>
            </w:r>
          </w:p>
        </w:tc>
        <w:tc>
          <w:tcPr>
            <w:tcW w:w="0" w:type="auto"/>
          </w:tcPr>
          <w:p w14:paraId="463A92F6" w14:textId="01CE620F" w:rsidR="00CC651C" w:rsidRPr="00D53F47" w:rsidRDefault="00CC651C" w:rsidP="00D53F47">
            <w:pPr>
              <w:numPr>
                <w:ilvl w:val="0"/>
                <w:numId w:val="14"/>
              </w:numPr>
              <w:spacing w:before="40" w:after="40"/>
              <w:rPr>
                <w:rFonts w:ascii="Arial" w:hAnsi="Arial" w:cs="Arial"/>
                <w:sz w:val="20"/>
                <w:szCs w:val="20"/>
                <w:highlight w:val="yellow"/>
                <w:lang w:val="fr-FR"/>
              </w:rPr>
            </w:pPr>
            <w:r w:rsidRPr="00D53F47">
              <w:rPr>
                <w:rFonts w:ascii="Arial" w:hAnsi="Arial" w:cs="Arial"/>
                <w:sz w:val="20"/>
                <w:szCs w:val="20"/>
                <w:lang w:val="fr-FR"/>
              </w:rPr>
              <w:t>2024</w:t>
            </w:r>
          </w:p>
        </w:tc>
        <w:tc>
          <w:tcPr>
            <w:tcW w:w="2472" w:type="dxa"/>
          </w:tcPr>
          <w:p w14:paraId="5024B18C" w14:textId="0BE154F4" w:rsidR="00CC651C" w:rsidRPr="00D53F47" w:rsidRDefault="00CC651C" w:rsidP="00D53F47">
            <w:pPr>
              <w:numPr>
                <w:ilvl w:val="0"/>
                <w:numId w:val="14"/>
              </w:numPr>
              <w:spacing w:before="40" w:after="40"/>
              <w:rPr>
                <w:rFonts w:ascii="Arial" w:hAnsi="Arial" w:cs="Arial"/>
                <w:sz w:val="20"/>
                <w:szCs w:val="20"/>
                <w:lang w:val="fr-FR"/>
              </w:rPr>
            </w:pPr>
            <w:r w:rsidRPr="00D53F47">
              <w:rPr>
                <w:rFonts w:ascii="Arial" w:hAnsi="Arial" w:cs="Arial"/>
                <w:sz w:val="20"/>
                <w:szCs w:val="20"/>
                <w:lang w:val="fr-FR"/>
              </w:rPr>
              <w:t>Salaire et frais connexes (bureau, voyages, etc.)</w:t>
            </w:r>
          </w:p>
        </w:tc>
      </w:tr>
    </w:tbl>
    <w:p w14:paraId="58A7B7DD" w14:textId="77777777" w:rsidR="00E300DC" w:rsidRPr="002B719B" w:rsidRDefault="00E300DC" w:rsidP="00E16720">
      <w:pPr>
        <w:pStyle w:val="Secondnumbering"/>
        <w:numPr>
          <w:ilvl w:val="0"/>
          <w:numId w:val="0"/>
        </w:numPr>
        <w:jc w:val="both"/>
        <w:rPr>
          <w:rFonts w:cs="Arial"/>
          <w:lang w:val="fr-FR"/>
        </w:rPr>
      </w:pPr>
    </w:p>
    <w:sectPr w:rsidR="00E300DC" w:rsidRPr="002B719B" w:rsidSect="00D00125">
      <w:footerReference w:type="first" r:id="rId16"/>
      <w:pgSz w:w="16838" w:h="11906" w:orient="landscape"/>
      <w:pgMar w:top="1440" w:right="1440" w:bottom="1440" w:left="1440" w:header="720" w:footer="72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C53B" w14:textId="77777777" w:rsidR="00CB7F64" w:rsidRDefault="00CB7F64">
      <w:r>
        <w:rPr>
          <w:lang w:val="fr-FR"/>
        </w:rPr>
        <w:separator/>
      </w:r>
    </w:p>
  </w:endnote>
  <w:endnote w:type="continuationSeparator" w:id="0">
    <w:p w14:paraId="258C0C01" w14:textId="77777777" w:rsidR="00CB7F64" w:rsidRDefault="00CB7F64">
      <w:r>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Noto Sans CJK SC">
    <w:panose1 w:val="00000000000000000000"/>
    <w:charset w:val="80"/>
    <w:family w:val="swiss"/>
    <w:notTrueType/>
    <w:pitch w:val="variable"/>
    <w:sig w:usb0="30000083" w:usb1="2BDF3C10" w:usb2="00000016" w:usb3="00000000" w:csb0="002E0107" w:csb1="00000000"/>
  </w:font>
  <w:font w:name="Lohit Devanagari">
    <w:altName w:val="Cambria"/>
    <w:panose1 w:val="00000000000000000000"/>
    <w:charset w:val="00"/>
    <w:family w:val="roman"/>
    <w:notTrueType/>
    <w:pitch w:val="default"/>
  </w:font>
  <w:font w:name="Liberation Sans">
    <w:altName w:val="Arial"/>
    <w:charset w:val="00"/>
    <w:family w:val="roman"/>
    <w:pitch w:val="variable"/>
  </w:font>
  <w:font w:name="Segoe UI">
    <w:panose1 w:val="020B0502040204020203"/>
    <w:charset w:val="00"/>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5817" w14:textId="77777777" w:rsidR="003C3EEA" w:rsidRDefault="00056A3F">
    <w:pPr>
      <w:pStyle w:val="Footer"/>
      <w:jc w:val="center"/>
      <w:rPr>
        <w:sz w:val="18"/>
        <w:szCs w:val="18"/>
        <w:lang w:val="fr-FR"/>
      </w:rPr>
    </w:pPr>
    <w:r>
      <w:rPr>
        <w:sz w:val="18"/>
        <w:szCs w:val="18"/>
        <w:lang w:val="fr-FR"/>
      </w:rPr>
      <w:fldChar w:fldCharType="begin"/>
    </w:r>
    <w:r>
      <w:rPr>
        <w:sz w:val="18"/>
        <w:szCs w:val="18"/>
        <w:lang w:val="fr-FR"/>
      </w:rPr>
      <w:instrText xml:space="preserve"> PAGE </w:instrText>
    </w:r>
    <w:r>
      <w:rPr>
        <w:sz w:val="18"/>
        <w:szCs w:val="18"/>
        <w:lang w:val="fr-FR"/>
      </w:rPr>
      <w:fldChar w:fldCharType="separate"/>
    </w:r>
    <w:r>
      <w:rPr>
        <w:sz w:val="18"/>
        <w:szCs w:val="18"/>
        <w:lang w:val="fr-FR"/>
      </w:rPr>
      <w:t>8</w:t>
    </w:r>
    <w:r>
      <w:rPr>
        <w:sz w:val="18"/>
        <w:szCs w:val="18"/>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54940615"/>
      <w:docPartObj>
        <w:docPartGallery w:val="Page Numbers (Bottom of Page)"/>
        <w:docPartUnique/>
      </w:docPartObj>
    </w:sdtPr>
    <w:sdtEndPr>
      <w:rPr>
        <w:noProof/>
      </w:rPr>
    </w:sdtEndPr>
    <w:sdtContent>
      <w:p w14:paraId="2B1919BA" w14:textId="693956C0" w:rsidR="00E24F8B" w:rsidRPr="00E24F8B" w:rsidRDefault="00E24F8B" w:rsidP="00E24F8B">
        <w:pPr>
          <w:pStyle w:val="Footer"/>
          <w:jc w:val="center"/>
          <w:rPr>
            <w:sz w:val="18"/>
            <w:szCs w:val="18"/>
          </w:rPr>
        </w:pPr>
        <w:r w:rsidRPr="00E24F8B">
          <w:rPr>
            <w:sz w:val="18"/>
            <w:szCs w:val="18"/>
          </w:rPr>
          <w:fldChar w:fldCharType="begin"/>
        </w:r>
        <w:r w:rsidRPr="00E24F8B">
          <w:rPr>
            <w:sz w:val="18"/>
            <w:szCs w:val="18"/>
          </w:rPr>
          <w:instrText xml:space="preserve"> PAGE   \* MERGEFORMAT </w:instrText>
        </w:r>
        <w:r w:rsidRPr="00E24F8B">
          <w:rPr>
            <w:sz w:val="18"/>
            <w:szCs w:val="18"/>
          </w:rPr>
          <w:fldChar w:fldCharType="separate"/>
        </w:r>
        <w:r w:rsidRPr="00E24F8B">
          <w:rPr>
            <w:noProof/>
            <w:sz w:val="18"/>
            <w:szCs w:val="18"/>
          </w:rPr>
          <w:t>2</w:t>
        </w:r>
        <w:r w:rsidRPr="00E24F8B">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99677210"/>
      <w:docPartObj>
        <w:docPartGallery w:val="Page Numbers (Bottom of Page)"/>
        <w:docPartUnique/>
      </w:docPartObj>
    </w:sdtPr>
    <w:sdtEndPr>
      <w:rPr>
        <w:noProof/>
      </w:rPr>
    </w:sdtEndPr>
    <w:sdtContent>
      <w:p w14:paraId="194C6C50" w14:textId="08400A89" w:rsidR="00D53F47" w:rsidRPr="00D53F47" w:rsidRDefault="00D53F47" w:rsidP="00D53F47">
        <w:pPr>
          <w:pStyle w:val="Footer"/>
          <w:jc w:val="center"/>
          <w:rPr>
            <w:sz w:val="18"/>
            <w:szCs w:val="18"/>
          </w:rPr>
        </w:pPr>
        <w:r w:rsidRPr="00D53F47">
          <w:rPr>
            <w:sz w:val="18"/>
            <w:szCs w:val="18"/>
          </w:rPr>
          <w:fldChar w:fldCharType="begin"/>
        </w:r>
        <w:r w:rsidRPr="00D53F47">
          <w:rPr>
            <w:sz w:val="18"/>
            <w:szCs w:val="18"/>
          </w:rPr>
          <w:instrText xml:space="preserve"> PAGE   \* MERGEFORMAT </w:instrText>
        </w:r>
        <w:r w:rsidRPr="00D53F47">
          <w:rPr>
            <w:sz w:val="18"/>
            <w:szCs w:val="18"/>
          </w:rPr>
          <w:fldChar w:fldCharType="separate"/>
        </w:r>
        <w:r w:rsidRPr="00D53F47">
          <w:rPr>
            <w:noProof/>
            <w:sz w:val="18"/>
            <w:szCs w:val="18"/>
          </w:rPr>
          <w:t>2</w:t>
        </w:r>
        <w:r w:rsidRPr="00D53F4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6F1C" w14:textId="77777777" w:rsidR="00CB7F64" w:rsidRDefault="00CB7F64">
      <w:r>
        <w:rPr>
          <w:lang w:val="fr-FR"/>
        </w:rPr>
        <w:separator/>
      </w:r>
    </w:p>
  </w:footnote>
  <w:footnote w:type="continuationSeparator" w:id="0">
    <w:p w14:paraId="26A98285" w14:textId="77777777" w:rsidR="00CB7F64" w:rsidRDefault="00CB7F64">
      <w:r>
        <w:rPr>
          <w:lang w:val="fr-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3CF6" w14:textId="6B2D0D16" w:rsidR="00E24F8B" w:rsidRDefault="00E24F8B" w:rsidP="00E24F8B">
    <w:pPr>
      <w:pStyle w:val="Header"/>
      <w:pBdr>
        <w:bottom w:val="single" w:sz="4" w:space="1" w:color="000000"/>
      </w:pBdr>
      <w:rPr>
        <w:rFonts w:cs="Arial"/>
        <w:i/>
        <w:sz w:val="18"/>
        <w:szCs w:val="18"/>
        <w:lang w:val="de-DE"/>
      </w:rPr>
    </w:pPr>
    <w:r>
      <w:rPr>
        <w:rFonts w:cs="Arial"/>
        <w:i/>
        <w:sz w:val="18"/>
        <w:szCs w:val="18"/>
        <w:lang w:val="de-DE"/>
      </w:rPr>
      <w:t>UNEP/CMS/COP14/Doc.30.1.2/</w:t>
    </w:r>
    <w:r w:rsidR="007F77AD">
      <w:rPr>
        <w:rFonts w:cs="Arial"/>
        <w:i/>
        <w:sz w:val="18"/>
        <w:szCs w:val="18"/>
        <w:lang w:val="de-DE"/>
      </w:rPr>
      <w:t>Rev.3</w:t>
    </w:r>
    <w:r>
      <w:rPr>
        <w:rFonts w:cs="Arial"/>
        <w:i/>
        <w:sz w:val="18"/>
        <w:szCs w:val="18"/>
        <w:lang w:val="de-DE"/>
      </w:rPr>
      <w:t>/Annexe 3</w:t>
    </w:r>
  </w:p>
  <w:p w14:paraId="7FD0E576" w14:textId="77777777" w:rsidR="003C3EEA" w:rsidRDefault="003C3EEA">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49E7" w14:textId="725AD94B" w:rsidR="003C3EEA" w:rsidRDefault="00056A3F">
    <w:pPr>
      <w:pStyle w:val="Header"/>
      <w:pBdr>
        <w:bottom w:val="single" w:sz="4" w:space="1" w:color="000000"/>
      </w:pBdr>
      <w:jc w:val="right"/>
      <w:rPr>
        <w:rFonts w:cs="Arial"/>
        <w:i/>
        <w:sz w:val="18"/>
        <w:szCs w:val="18"/>
        <w:lang w:val="de-DE"/>
      </w:rPr>
    </w:pPr>
    <w:r>
      <w:rPr>
        <w:rFonts w:cs="Arial"/>
        <w:i/>
        <w:sz w:val="18"/>
        <w:szCs w:val="18"/>
        <w:lang w:val="de-DE"/>
      </w:rPr>
      <w:t>UNEP/CMS/COP14/Doc.</w:t>
    </w:r>
    <w:r w:rsidR="00E24F8B">
      <w:rPr>
        <w:rFonts w:cs="Arial"/>
        <w:i/>
        <w:sz w:val="18"/>
        <w:szCs w:val="18"/>
        <w:lang w:val="de-DE"/>
      </w:rPr>
      <w:t>30.1.2/</w:t>
    </w:r>
    <w:r w:rsidR="007F77AD">
      <w:rPr>
        <w:rFonts w:cs="Arial"/>
        <w:i/>
        <w:sz w:val="18"/>
        <w:szCs w:val="18"/>
        <w:lang w:val="de-DE"/>
      </w:rPr>
      <w:t>Rev.3</w:t>
    </w:r>
    <w:r w:rsidR="00E24F8B">
      <w:rPr>
        <w:rFonts w:cs="Arial"/>
        <w:i/>
        <w:sz w:val="18"/>
        <w:szCs w:val="18"/>
        <w:lang w:val="de-DE"/>
      </w:rPr>
      <w:t>/</w:t>
    </w:r>
    <w:r>
      <w:rPr>
        <w:rFonts w:cs="Arial"/>
        <w:i/>
        <w:sz w:val="18"/>
        <w:szCs w:val="18"/>
        <w:lang w:val="de-DE"/>
      </w:rPr>
      <w:t>Annex</w:t>
    </w:r>
    <w:r w:rsidR="00E24F8B">
      <w:rPr>
        <w:rFonts w:cs="Arial"/>
        <w:i/>
        <w:sz w:val="18"/>
        <w:szCs w:val="18"/>
        <w:lang w:val="de-DE"/>
      </w:rPr>
      <w:t>e</w:t>
    </w:r>
    <w:r>
      <w:rPr>
        <w:rFonts w:cs="Arial"/>
        <w:i/>
        <w:sz w:val="18"/>
        <w:szCs w:val="18"/>
        <w:lang w:val="de-DE"/>
      </w:rPr>
      <w:t xml:space="preserve"> </w:t>
    </w:r>
    <w:r w:rsidR="00E24F8B">
      <w:rPr>
        <w:rFonts w:cs="Arial"/>
        <w:i/>
        <w:sz w:val="18"/>
        <w:szCs w:val="18"/>
        <w:lang w:val="de-DE"/>
      </w:rPr>
      <w:t>3</w:t>
    </w:r>
  </w:p>
  <w:p w14:paraId="11B60693" w14:textId="77777777" w:rsidR="003C3EEA" w:rsidRDefault="003C3EEA">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99BB" w14:textId="4E8C3736" w:rsidR="003C3EEA" w:rsidRPr="00E24F8B" w:rsidRDefault="00E24F8B" w:rsidP="00E24F8B">
    <w:pPr>
      <w:pStyle w:val="Header"/>
      <w:pBdr>
        <w:bottom w:val="single" w:sz="4" w:space="1" w:color="000000"/>
      </w:pBdr>
      <w:jc w:val="right"/>
      <w:rPr>
        <w:rFonts w:cs="Arial"/>
        <w:i/>
        <w:sz w:val="18"/>
        <w:szCs w:val="18"/>
        <w:lang w:val="de-DE"/>
      </w:rPr>
    </w:pPr>
    <w:r>
      <w:rPr>
        <w:rFonts w:cs="Arial"/>
        <w:i/>
        <w:sz w:val="18"/>
        <w:szCs w:val="18"/>
        <w:lang w:val="de-DE"/>
      </w:rPr>
      <w:t>UNEP/CMS/COP14/Doc.30.1.2/</w:t>
    </w:r>
    <w:r w:rsidR="007F77AD">
      <w:rPr>
        <w:rFonts w:cs="Arial"/>
        <w:i/>
        <w:sz w:val="18"/>
        <w:szCs w:val="18"/>
        <w:lang w:val="de-DE"/>
      </w:rPr>
      <w:t>Rev.3</w:t>
    </w:r>
    <w:r>
      <w:rPr>
        <w:rFonts w:cs="Arial"/>
        <w:i/>
        <w:sz w:val="18"/>
        <w:szCs w:val="18"/>
        <w:lang w:val="de-DE"/>
      </w:rPr>
      <w:t>/Annexe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68EB"/>
    <w:multiLevelType w:val="multilevel"/>
    <w:tmpl w:val="7B527A7E"/>
    <w:lvl w:ilvl="0">
      <w:start w:val="1"/>
      <w:numFmt w:val="lowerRoman"/>
      <w:pStyle w:val="Thirdnumberingi"/>
      <w:lvlText w:val="%1)."/>
      <w:lvlJc w:val="right"/>
      <w:pPr>
        <w:tabs>
          <w:tab w:val="num" w:pos="0"/>
        </w:tabs>
        <w:ind w:left="2001" w:hanging="360"/>
      </w:pPr>
    </w:lvl>
    <w:lvl w:ilvl="1">
      <w:start w:val="1"/>
      <w:numFmt w:val="lowerLetter"/>
      <w:lvlText w:val="%2."/>
      <w:lvlJc w:val="left"/>
      <w:pPr>
        <w:tabs>
          <w:tab w:val="num" w:pos="0"/>
        </w:tabs>
        <w:ind w:left="2721" w:hanging="360"/>
      </w:pPr>
    </w:lvl>
    <w:lvl w:ilvl="2">
      <w:start w:val="1"/>
      <w:numFmt w:val="lowerRoman"/>
      <w:lvlText w:val="%3."/>
      <w:lvlJc w:val="right"/>
      <w:pPr>
        <w:tabs>
          <w:tab w:val="num" w:pos="0"/>
        </w:tabs>
        <w:ind w:left="3441" w:hanging="180"/>
      </w:pPr>
    </w:lvl>
    <w:lvl w:ilvl="3">
      <w:start w:val="1"/>
      <w:numFmt w:val="decimal"/>
      <w:lvlText w:val="%4."/>
      <w:lvlJc w:val="left"/>
      <w:pPr>
        <w:tabs>
          <w:tab w:val="num" w:pos="0"/>
        </w:tabs>
        <w:ind w:left="4161" w:hanging="360"/>
      </w:pPr>
    </w:lvl>
    <w:lvl w:ilvl="4">
      <w:start w:val="1"/>
      <w:numFmt w:val="lowerLetter"/>
      <w:lvlText w:val="%5."/>
      <w:lvlJc w:val="left"/>
      <w:pPr>
        <w:tabs>
          <w:tab w:val="num" w:pos="0"/>
        </w:tabs>
        <w:ind w:left="4881" w:hanging="360"/>
      </w:pPr>
    </w:lvl>
    <w:lvl w:ilvl="5">
      <w:start w:val="1"/>
      <w:numFmt w:val="lowerRoman"/>
      <w:lvlText w:val="%6."/>
      <w:lvlJc w:val="right"/>
      <w:pPr>
        <w:tabs>
          <w:tab w:val="num" w:pos="0"/>
        </w:tabs>
        <w:ind w:left="5601" w:hanging="180"/>
      </w:pPr>
    </w:lvl>
    <w:lvl w:ilvl="6">
      <w:start w:val="1"/>
      <w:numFmt w:val="decimal"/>
      <w:lvlText w:val="%7."/>
      <w:lvlJc w:val="left"/>
      <w:pPr>
        <w:tabs>
          <w:tab w:val="num" w:pos="0"/>
        </w:tabs>
        <w:ind w:left="6321" w:hanging="360"/>
      </w:pPr>
    </w:lvl>
    <w:lvl w:ilvl="7">
      <w:start w:val="1"/>
      <w:numFmt w:val="lowerLetter"/>
      <w:lvlText w:val="%8."/>
      <w:lvlJc w:val="left"/>
      <w:pPr>
        <w:tabs>
          <w:tab w:val="num" w:pos="0"/>
        </w:tabs>
        <w:ind w:left="7041" w:hanging="360"/>
      </w:pPr>
    </w:lvl>
    <w:lvl w:ilvl="8">
      <w:start w:val="1"/>
      <w:numFmt w:val="lowerRoman"/>
      <w:lvlText w:val="%9."/>
      <w:lvlJc w:val="right"/>
      <w:pPr>
        <w:tabs>
          <w:tab w:val="num" w:pos="0"/>
        </w:tabs>
        <w:ind w:left="7761" w:hanging="180"/>
      </w:pPr>
    </w:lvl>
  </w:abstractNum>
  <w:abstractNum w:abstractNumId="1" w15:restartNumberingAfterBreak="0">
    <w:nsid w:val="165A23D7"/>
    <w:multiLevelType w:val="multilevel"/>
    <w:tmpl w:val="040C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97A0F20"/>
    <w:multiLevelType w:val="multilevel"/>
    <w:tmpl w:val="CB287C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B443306"/>
    <w:multiLevelType w:val="multilevel"/>
    <w:tmpl w:val="4F6A28A6"/>
    <w:lvl w:ilvl="0">
      <w:start w:val="1"/>
      <w:numFmt w:val="upperLetter"/>
      <w:pStyle w:val="FourthnumberingA"/>
      <w:lvlText w:val="%1."/>
      <w:lvlJc w:val="right"/>
      <w:pPr>
        <w:tabs>
          <w:tab w:val="num" w:pos="0"/>
        </w:tabs>
        <w:ind w:left="2705" w:hanging="360"/>
      </w:pPr>
    </w:lvl>
    <w:lvl w:ilvl="1">
      <w:start w:val="1"/>
      <w:numFmt w:val="lowerLetter"/>
      <w:lvlText w:val="%2."/>
      <w:lvlJc w:val="left"/>
      <w:pPr>
        <w:tabs>
          <w:tab w:val="num" w:pos="0"/>
        </w:tabs>
        <w:ind w:left="3425" w:hanging="360"/>
      </w:pPr>
    </w:lvl>
    <w:lvl w:ilvl="2">
      <w:start w:val="1"/>
      <w:numFmt w:val="lowerRoman"/>
      <w:lvlText w:val="%3."/>
      <w:lvlJc w:val="right"/>
      <w:pPr>
        <w:tabs>
          <w:tab w:val="num" w:pos="0"/>
        </w:tabs>
        <w:ind w:left="4145" w:hanging="180"/>
      </w:pPr>
    </w:lvl>
    <w:lvl w:ilvl="3">
      <w:start w:val="1"/>
      <w:numFmt w:val="decimal"/>
      <w:lvlText w:val="%4."/>
      <w:lvlJc w:val="left"/>
      <w:pPr>
        <w:tabs>
          <w:tab w:val="num" w:pos="0"/>
        </w:tabs>
        <w:ind w:left="4865" w:hanging="360"/>
      </w:pPr>
    </w:lvl>
    <w:lvl w:ilvl="4">
      <w:start w:val="1"/>
      <w:numFmt w:val="lowerLetter"/>
      <w:lvlText w:val="%5."/>
      <w:lvlJc w:val="left"/>
      <w:pPr>
        <w:tabs>
          <w:tab w:val="num" w:pos="0"/>
        </w:tabs>
        <w:ind w:left="5585" w:hanging="360"/>
      </w:pPr>
    </w:lvl>
    <w:lvl w:ilvl="5">
      <w:start w:val="1"/>
      <w:numFmt w:val="lowerRoman"/>
      <w:lvlText w:val="%6."/>
      <w:lvlJc w:val="right"/>
      <w:pPr>
        <w:tabs>
          <w:tab w:val="num" w:pos="0"/>
        </w:tabs>
        <w:ind w:left="6305" w:hanging="180"/>
      </w:pPr>
    </w:lvl>
    <w:lvl w:ilvl="6">
      <w:start w:val="1"/>
      <w:numFmt w:val="decimal"/>
      <w:lvlText w:val="%7."/>
      <w:lvlJc w:val="left"/>
      <w:pPr>
        <w:tabs>
          <w:tab w:val="num" w:pos="0"/>
        </w:tabs>
        <w:ind w:left="7025" w:hanging="360"/>
      </w:pPr>
    </w:lvl>
    <w:lvl w:ilvl="7">
      <w:start w:val="1"/>
      <w:numFmt w:val="lowerLetter"/>
      <w:lvlText w:val="%8."/>
      <w:lvlJc w:val="left"/>
      <w:pPr>
        <w:tabs>
          <w:tab w:val="num" w:pos="0"/>
        </w:tabs>
        <w:ind w:left="7745" w:hanging="360"/>
      </w:pPr>
    </w:lvl>
    <w:lvl w:ilvl="8">
      <w:start w:val="1"/>
      <w:numFmt w:val="lowerRoman"/>
      <w:lvlText w:val="%9."/>
      <w:lvlJc w:val="right"/>
      <w:pPr>
        <w:tabs>
          <w:tab w:val="num" w:pos="0"/>
        </w:tabs>
        <w:ind w:left="8465" w:hanging="180"/>
      </w:pPr>
    </w:lvl>
  </w:abstractNum>
  <w:abstractNum w:abstractNumId="4" w15:restartNumberingAfterBreak="0">
    <w:nsid w:val="1E5F5A0F"/>
    <w:multiLevelType w:val="multilevel"/>
    <w:tmpl w:val="70201C84"/>
    <w:lvl w:ilvl="0">
      <w:start w:val="1"/>
      <w:numFmt w:val="decimal"/>
      <w:pStyle w:val="Firstnumbering"/>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FC74BB6"/>
    <w:multiLevelType w:val="multilevel"/>
    <w:tmpl w:val="7D3E568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3B143C6"/>
    <w:multiLevelType w:val="multilevel"/>
    <w:tmpl w:val="7C6468B8"/>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 w15:restartNumberingAfterBreak="0">
    <w:nsid w:val="35401934"/>
    <w:multiLevelType w:val="multilevel"/>
    <w:tmpl w:val="DE5ABBDA"/>
    <w:lvl w:ilvl="0">
      <w:start w:val="1"/>
      <w:numFmt w:val="lowerLetter"/>
      <w:pStyle w:val="Secondnumbering"/>
      <w:lvlText w:val="%1)"/>
      <w:lvlJc w:val="left"/>
      <w:pPr>
        <w:tabs>
          <w:tab w:val="num" w:pos="0"/>
        </w:tabs>
        <w:ind w:left="360" w:hanging="360"/>
      </w:pPr>
      <w:rPr>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8" w15:restartNumberingAfterBreak="0">
    <w:nsid w:val="384C77CB"/>
    <w:multiLevelType w:val="multilevel"/>
    <w:tmpl w:val="D466C868"/>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9" w15:restartNumberingAfterBreak="0">
    <w:nsid w:val="4143769D"/>
    <w:multiLevelType w:val="multilevel"/>
    <w:tmpl w:val="8A7E76D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0D30C26"/>
    <w:multiLevelType w:val="multilevel"/>
    <w:tmpl w:val="661223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41F2A90"/>
    <w:multiLevelType w:val="multilevel"/>
    <w:tmpl w:val="0532923A"/>
    <w:lvl w:ilvl="0">
      <w:start w:val="1"/>
      <w:numFmt w:val="lowerLetter"/>
      <w:lvlText w:val="%1."/>
      <w:lvlJc w:val="left"/>
      <w:pPr>
        <w:tabs>
          <w:tab w:val="num" w:pos="0"/>
        </w:tabs>
        <w:ind w:left="0" w:firstLine="0"/>
      </w:pPr>
      <w:rPr>
        <w:sz w:val="22"/>
        <w:szCs w:val="32"/>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2" w15:restartNumberingAfterBreak="0">
    <w:nsid w:val="7B1E112B"/>
    <w:multiLevelType w:val="multilevel"/>
    <w:tmpl w:val="2000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7C442201"/>
    <w:multiLevelType w:val="multilevel"/>
    <w:tmpl w:val="85849BA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997919929">
    <w:abstractNumId w:val="4"/>
  </w:num>
  <w:num w:numId="2" w16cid:durableId="1110197012">
    <w:abstractNumId w:val="7"/>
  </w:num>
  <w:num w:numId="3" w16cid:durableId="1583103437">
    <w:abstractNumId w:val="0"/>
  </w:num>
  <w:num w:numId="4" w16cid:durableId="1712151677">
    <w:abstractNumId w:val="3"/>
  </w:num>
  <w:num w:numId="5" w16cid:durableId="1131483525">
    <w:abstractNumId w:val="12"/>
  </w:num>
  <w:num w:numId="6" w16cid:durableId="692417621">
    <w:abstractNumId w:val="9"/>
  </w:num>
  <w:num w:numId="7" w16cid:durableId="1156071323">
    <w:abstractNumId w:val="2"/>
  </w:num>
  <w:num w:numId="8" w16cid:durableId="1529368219">
    <w:abstractNumId w:val="6"/>
  </w:num>
  <w:num w:numId="9" w16cid:durableId="460462378">
    <w:abstractNumId w:val="11"/>
  </w:num>
  <w:num w:numId="10" w16cid:durableId="2078895588">
    <w:abstractNumId w:val="1"/>
  </w:num>
  <w:num w:numId="11" w16cid:durableId="2059163085">
    <w:abstractNumId w:val="5"/>
  </w:num>
  <w:num w:numId="12" w16cid:durableId="1145439474">
    <w:abstractNumId w:val="8"/>
  </w:num>
  <w:num w:numId="13" w16cid:durableId="1496191893">
    <w:abstractNumId w:val="13"/>
  </w:num>
  <w:num w:numId="14" w16cid:durableId="44782425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EA"/>
    <w:rsid w:val="00001CB8"/>
    <w:rsid w:val="00004D35"/>
    <w:rsid w:val="0000793C"/>
    <w:rsid w:val="00010DCD"/>
    <w:rsid w:val="00027455"/>
    <w:rsid w:val="00027B3E"/>
    <w:rsid w:val="000312AD"/>
    <w:rsid w:val="00034B91"/>
    <w:rsid w:val="00050303"/>
    <w:rsid w:val="00056A3F"/>
    <w:rsid w:val="00060EF6"/>
    <w:rsid w:val="00063C8B"/>
    <w:rsid w:val="00073424"/>
    <w:rsid w:val="00080347"/>
    <w:rsid w:val="0009047F"/>
    <w:rsid w:val="000A081C"/>
    <w:rsid w:val="000C27FE"/>
    <w:rsid w:val="000C7523"/>
    <w:rsid w:val="000D7331"/>
    <w:rsid w:val="000F0975"/>
    <w:rsid w:val="000F1DE9"/>
    <w:rsid w:val="000F5664"/>
    <w:rsid w:val="000F64AD"/>
    <w:rsid w:val="00100F72"/>
    <w:rsid w:val="00117CAE"/>
    <w:rsid w:val="001412CE"/>
    <w:rsid w:val="00141E8A"/>
    <w:rsid w:val="001522F2"/>
    <w:rsid w:val="00153BE9"/>
    <w:rsid w:val="001619BD"/>
    <w:rsid w:val="00164A18"/>
    <w:rsid w:val="00170A34"/>
    <w:rsid w:val="00197188"/>
    <w:rsid w:val="001A6DBD"/>
    <w:rsid w:val="001B1D55"/>
    <w:rsid w:val="001B61AD"/>
    <w:rsid w:val="001B718B"/>
    <w:rsid w:val="001B7213"/>
    <w:rsid w:val="001B7563"/>
    <w:rsid w:val="001D0295"/>
    <w:rsid w:val="001F0826"/>
    <w:rsid w:val="001F26F9"/>
    <w:rsid w:val="001F4645"/>
    <w:rsid w:val="00223A22"/>
    <w:rsid w:val="00237C48"/>
    <w:rsid w:val="00237D72"/>
    <w:rsid w:val="002442CC"/>
    <w:rsid w:val="00246449"/>
    <w:rsid w:val="0025414D"/>
    <w:rsid w:val="00257A42"/>
    <w:rsid w:val="002736AE"/>
    <w:rsid w:val="00273E27"/>
    <w:rsid w:val="002944C0"/>
    <w:rsid w:val="002B719B"/>
    <w:rsid w:val="002C2A62"/>
    <w:rsid w:val="002C685B"/>
    <w:rsid w:val="002D0415"/>
    <w:rsid w:val="002D2303"/>
    <w:rsid w:val="002D42C7"/>
    <w:rsid w:val="002F2BD7"/>
    <w:rsid w:val="00317D84"/>
    <w:rsid w:val="003223BC"/>
    <w:rsid w:val="003226BF"/>
    <w:rsid w:val="00330051"/>
    <w:rsid w:val="00332B52"/>
    <w:rsid w:val="00333089"/>
    <w:rsid w:val="00340AAC"/>
    <w:rsid w:val="00351BBC"/>
    <w:rsid w:val="00364E36"/>
    <w:rsid w:val="00383EFD"/>
    <w:rsid w:val="00392CA9"/>
    <w:rsid w:val="003C3EEA"/>
    <w:rsid w:val="003C4B1A"/>
    <w:rsid w:val="003D0418"/>
    <w:rsid w:val="003D0AE7"/>
    <w:rsid w:val="003F2EC8"/>
    <w:rsid w:val="00405DB8"/>
    <w:rsid w:val="004062E4"/>
    <w:rsid w:val="0041240E"/>
    <w:rsid w:val="00416CD3"/>
    <w:rsid w:val="00421F3A"/>
    <w:rsid w:val="004268D0"/>
    <w:rsid w:val="00442B25"/>
    <w:rsid w:val="00443B7B"/>
    <w:rsid w:val="0044763D"/>
    <w:rsid w:val="00447681"/>
    <w:rsid w:val="00451A0A"/>
    <w:rsid w:val="00452384"/>
    <w:rsid w:val="00470629"/>
    <w:rsid w:val="00482005"/>
    <w:rsid w:val="004A445D"/>
    <w:rsid w:val="004B5F18"/>
    <w:rsid w:val="004C2D8E"/>
    <w:rsid w:val="004C523F"/>
    <w:rsid w:val="004C65D2"/>
    <w:rsid w:val="004D065A"/>
    <w:rsid w:val="004D190D"/>
    <w:rsid w:val="004D441B"/>
    <w:rsid w:val="004D4574"/>
    <w:rsid w:val="004F0C06"/>
    <w:rsid w:val="005109F6"/>
    <w:rsid w:val="00512F58"/>
    <w:rsid w:val="005202B2"/>
    <w:rsid w:val="0052354E"/>
    <w:rsid w:val="00524ECF"/>
    <w:rsid w:val="005332A1"/>
    <w:rsid w:val="0054142C"/>
    <w:rsid w:val="00541C6F"/>
    <w:rsid w:val="0055145C"/>
    <w:rsid w:val="00571753"/>
    <w:rsid w:val="00576618"/>
    <w:rsid w:val="005B7AF3"/>
    <w:rsid w:val="005C1B9A"/>
    <w:rsid w:val="005C7892"/>
    <w:rsid w:val="005E3152"/>
    <w:rsid w:val="005E4BA2"/>
    <w:rsid w:val="005E7682"/>
    <w:rsid w:val="00603583"/>
    <w:rsid w:val="00614984"/>
    <w:rsid w:val="00641DD6"/>
    <w:rsid w:val="00665EB7"/>
    <w:rsid w:val="006758A3"/>
    <w:rsid w:val="006769C7"/>
    <w:rsid w:val="006868D7"/>
    <w:rsid w:val="006C7934"/>
    <w:rsid w:val="006D102E"/>
    <w:rsid w:val="006D3D14"/>
    <w:rsid w:val="006E7AB6"/>
    <w:rsid w:val="00705499"/>
    <w:rsid w:val="007109E2"/>
    <w:rsid w:val="0071120E"/>
    <w:rsid w:val="00716A3D"/>
    <w:rsid w:val="0072014E"/>
    <w:rsid w:val="0072213C"/>
    <w:rsid w:val="007530FD"/>
    <w:rsid w:val="00753F77"/>
    <w:rsid w:val="0076154C"/>
    <w:rsid w:val="00770210"/>
    <w:rsid w:val="007831BF"/>
    <w:rsid w:val="0079730C"/>
    <w:rsid w:val="007B5F3D"/>
    <w:rsid w:val="007C1399"/>
    <w:rsid w:val="007D4672"/>
    <w:rsid w:val="007F3258"/>
    <w:rsid w:val="007F77AD"/>
    <w:rsid w:val="0080445B"/>
    <w:rsid w:val="0080598D"/>
    <w:rsid w:val="008109BD"/>
    <w:rsid w:val="008211D2"/>
    <w:rsid w:val="0083145B"/>
    <w:rsid w:val="00831BC4"/>
    <w:rsid w:val="008439F2"/>
    <w:rsid w:val="0086347B"/>
    <w:rsid w:val="008635FD"/>
    <w:rsid w:val="00865712"/>
    <w:rsid w:val="00877D1D"/>
    <w:rsid w:val="008803C0"/>
    <w:rsid w:val="00882E56"/>
    <w:rsid w:val="008879F2"/>
    <w:rsid w:val="008C5438"/>
    <w:rsid w:val="008D023A"/>
    <w:rsid w:val="008D5082"/>
    <w:rsid w:val="008D7F24"/>
    <w:rsid w:val="008E4F97"/>
    <w:rsid w:val="008F0711"/>
    <w:rsid w:val="008F11B9"/>
    <w:rsid w:val="008F2CEB"/>
    <w:rsid w:val="00902527"/>
    <w:rsid w:val="009069A2"/>
    <w:rsid w:val="009126E2"/>
    <w:rsid w:val="0092507C"/>
    <w:rsid w:val="0092692F"/>
    <w:rsid w:val="00933BD1"/>
    <w:rsid w:val="00934971"/>
    <w:rsid w:val="00951978"/>
    <w:rsid w:val="009619C7"/>
    <w:rsid w:val="00964F9C"/>
    <w:rsid w:val="009707DC"/>
    <w:rsid w:val="00972DB1"/>
    <w:rsid w:val="00973747"/>
    <w:rsid w:val="00976290"/>
    <w:rsid w:val="0097740A"/>
    <w:rsid w:val="00987040"/>
    <w:rsid w:val="00992EE3"/>
    <w:rsid w:val="0099585D"/>
    <w:rsid w:val="009B7BFA"/>
    <w:rsid w:val="009D27CC"/>
    <w:rsid w:val="00A12DC3"/>
    <w:rsid w:val="00A43057"/>
    <w:rsid w:val="00A55BF3"/>
    <w:rsid w:val="00A5673F"/>
    <w:rsid w:val="00A63E66"/>
    <w:rsid w:val="00A90415"/>
    <w:rsid w:val="00AA44A8"/>
    <w:rsid w:val="00AA6F46"/>
    <w:rsid w:val="00AC33E0"/>
    <w:rsid w:val="00AC7D78"/>
    <w:rsid w:val="00AE5CA6"/>
    <w:rsid w:val="00B00CF1"/>
    <w:rsid w:val="00B029C8"/>
    <w:rsid w:val="00B2735F"/>
    <w:rsid w:val="00B30C62"/>
    <w:rsid w:val="00B30CAD"/>
    <w:rsid w:val="00B32DAE"/>
    <w:rsid w:val="00B54431"/>
    <w:rsid w:val="00B5531E"/>
    <w:rsid w:val="00B66BA5"/>
    <w:rsid w:val="00B75A78"/>
    <w:rsid w:val="00B973E0"/>
    <w:rsid w:val="00BB3951"/>
    <w:rsid w:val="00BB43FB"/>
    <w:rsid w:val="00BC3C0D"/>
    <w:rsid w:val="00BC4486"/>
    <w:rsid w:val="00BD5648"/>
    <w:rsid w:val="00BD5B56"/>
    <w:rsid w:val="00BD6F6E"/>
    <w:rsid w:val="00BE0797"/>
    <w:rsid w:val="00BE6235"/>
    <w:rsid w:val="00BF3C5F"/>
    <w:rsid w:val="00C05092"/>
    <w:rsid w:val="00C0542E"/>
    <w:rsid w:val="00C26B89"/>
    <w:rsid w:val="00C2708E"/>
    <w:rsid w:val="00C3299E"/>
    <w:rsid w:val="00C357B0"/>
    <w:rsid w:val="00C46DE7"/>
    <w:rsid w:val="00C54785"/>
    <w:rsid w:val="00C71EF5"/>
    <w:rsid w:val="00C82E2D"/>
    <w:rsid w:val="00CA62FD"/>
    <w:rsid w:val="00CB2265"/>
    <w:rsid w:val="00CB2946"/>
    <w:rsid w:val="00CB7F64"/>
    <w:rsid w:val="00CC042F"/>
    <w:rsid w:val="00CC2ECB"/>
    <w:rsid w:val="00CC651C"/>
    <w:rsid w:val="00CD195E"/>
    <w:rsid w:val="00CD48C7"/>
    <w:rsid w:val="00CE6DBD"/>
    <w:rsid w:val="00CF52E1"/>
    <w:rsid w:val="00D00125"/>
    <w:rsid w:val="00D06184"/>
    <w:rsid w:val="00D071A5"/>
    <w:rsid w:val="00D0755D"/>
    <w:rsid w:val="00D1662D"/>
    <w:rsid w:val="00D20A8C"/>
    <w:rsid w:val="00D23263"/>
    <w:rsid w:val="00D25FFC"/>
    <w:rsid w:val="00D44CF0"/>
    <w:rsid w:val="00D456B1"/>
    <w:rsid w:val="00D459D2"/>
    <w:rsid w:val="00D5387C"/>
    <w:rsid w:val="00D53EB3"/>
    <w:rsid w:val="00D53F47"/>
    <w:rsid w:val="00D542CA"/>
    <w:rsid w:val="00D56C8D"/>
    <w:rsid w:val="00D750D2"/>
    <w:rsid w:val="00D8066D"/>
    <w:rsid w:val="00D83DBC"/>
    <w:rsid w:val="00D848D4"/>
    <w:rsid w:val="00D87607"/>
    <w:rsid w:val="00D922AF"/>
    <w:rsid w:val="00DB22C2"/>
    <w:rsid w:val="00DB41BA"/>
    <w:rsid w:val="00DB6B35"/>
    <w:rsid w:val="00DC07E1"/>
    <w:rsid w:val="00DC21D0"/>
    <w:rsid w:val="00DD62AA"/>
    <w:rsid w:val="00DD7951"/>
    <w:rsid w:val="00DE3218"/>
    <w:rsid w:val="00DE4A62"/>
    <w:rsid w:val="00DE7106"/>
    <w:rsid w:val="00DF45B9"/>
    <w:rsid w:val="00E16720"/>
    <w:rsid w:val="00E207C7"/>
    <w:rsid w:val="00E24F8B"/>
    <w:rsid w:val="00E25C89"/>
    <w:rsid w:val="00E300DC"/>
    <w:rsid w:val="00E36174"/>
    <w:rsid w:val="00E56D83"/>
    <w:rsid w:val="00E607AE"/>
    <w:rsid w:val="00E61373"/>
    <w:rsid w:val="00E6181B"/>
    <w:rsid w:val="00E77968"/>
    <w:rsid w:val="00E9233E"/>
    <w:rsid w:val="00EB0278"/>
    <w:rsid w:val="00EB5073"/>
    <w:rsid w:val="00EB6E47"/>
    <w:rsid w:val="00EE6823"/>
    <w:rsid w:val="00EF68BD"/>
    <w:rsid w:val="00F1414B"/>
    <w:rsid w:val="00F31F0A"/>
    <w:rsid w:val="00F45DA4"/>
    <w:rsid w:val="00F6155C"/>
    <w:rsid w:val="00F61793"/>
    <w:rsid w:val="00F660E9"/>
    <w:rsid w:val="00F67D11"/>
    <w:rsid w:val="00F702D1"/>
    <w:rsid w:val="00F97E25"/>
    <w:rsid w:val="00FA0FFE"/>
    <w:rsid w:val="00FA57A6"/>
    <w:rsid w:val="00FB1F1F"/>
    <w:rsid w:val="00FB228B"/>
    <w:rsid w:val="00FC1C7B"/>
    <w:rsid w:val="00FD22C4"/>
    <w:rsid w:val="00FF0D8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C6D7"/>
  <w15:docId w15:val="{AAABACCB-CA97-4FD9-8292-4D1127B0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984"/>
    <w:rPr>
      <w:lang w:val="en-GB"/>
    </w:rPr>
  </w:style>
  <w:style w:type="paragraph" w:styleId="Heading1">
    <w:name w:val="heading 1"/>
    <w:basedOn w:val="Heading"/>
    <w:next w:val="BodyText"/>
    <w:link w:val="Heading1Char"/>
    <w:uiPriority w:val="9"/>
    <w:qFormat/>
    <w:rsid w:val="00E16720"/>
    <w:pPr>
      <w:numPr>
        <w:numId w:val="8"/>
      </w:numPr>
      <w:jc w:val="center"/>
      <w:outlineLvl w:val="0"/>
    </w:pPr>
    <w:rPr>
      <w:rFonts w:ascii="Segoe UI Semibold" w:eastAsia="Noto Sans CJK SC" w:hAnsi="Segoe UI Semibold" w:cs="Lohit Devanagari"/>
      <w:bCs/>
      <w:kern w:val="2"/>
      <w:sz w:val="32"/>
      <w:szCs w:val="36"/>
      <w:lang w:val="en-AU" w:eastAsia="zh-CN" w:bidi="hi-IN"/>
    </w:rPr>
  </w:style>
  <w:style w:type="paragraph" w:styleId="Heading2">
    <w:name w:val="heading 2"/>
    <w:basedOn w:val="Heading"/>
    <w:next w:val="BodyText"/>
    <w:link w:val="Heading2Char"/>
    <w:uiPriority w:val="9"/>
    <w:unhideWhenUsed/>
    <w:qFormat/>
    <w:rsid w:val="00E16720"/>
    <w:pPr>
      <w:numPr>
        <w:ilvl w:val="1"/>
        <w:numId w:val="8"/>
      </w:numPr>
      <w:spacing w:before="468" w:after="312"/>
      <w:jc w:val="center"/>
      <w:outlineLvl w:val="1"/>
    </w:pPr>
    <w:rPr>
      <w:rFonts w:ascii="Segoe UI Semibold" w:eastAsia="Noto Sans CJK SC" w:hAnsi="Segoe UI Semibold" w:cs="Lohit Devanagari"/>
      <w:bCs/>
      <w:kern w:val="2"/>
      <w:sz w:val="24"/>
      <w:szCs w:val="32"/>
      <w:lang w:val="en-AU" w:eastAsia="zh-CN" w:bidi="hi-IN"/>
    </w:rPr>
  </w:style>
  <w:style w:type="paragraph" w:styleId="Heading3">
    <w:name w:val="heading 3"/>
    <w:basedOn w:val="Heading"/>
    <w:next w:val="BodyText"/>
    <w:link w:val="Heading3Char"/>
    <w:uiPriority w:val="9"/>
    <w:unhideWhenUsed/>
    <w:qFormat/>
    <w:rsid w:val="00E16720"/>
    <w:pPr>
      <w:numPr>
        <w:ilvl w:val="2"/>
        <w:numId w:val="7"/>
      </w:numPr>
      <w:spacing w:before="140"/>
      <w:outlineLvl w:val="2"/>
    </w:pPr>
    <w:rPr>
      <w:rFonts w:eastAsia="Noto Sans CJK SC" w:cs="Lohit Devanagari"/>
      <w:b/>
      <w:bCs/>
      <w:kern w:val="2"/>
      <w:lang w:val="en-AU"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E0DE9"/>
  </w:style>
  <w:style w:type="character" w:customStyle="1" w:styleId="FooterChar">
    <w:name w:val="Footer Char"/>
    <w:basedOn w:val="DefaultParagraphFont"/>
    <w:link w:val="Footer"/>
    <w:uiPriority w:val="99"/>
    <w:qFormat/>
    <w:rsid w:val="002E0DE9"/>
  </w:style>
  <w:style w:type="character" w:customStyle="1" w:styleId="BalloonTextChar">
    <w:name w:val="Balloon Text Char"/>
    <w:basedOn w:val="DefaultParagraphFont"/>
    <w:link w:val="BalloonText"/>
    <w:uiPriority w:val="99"/>
    <w:semiHidden/>
    <w:qFormat/>
    <w:rsid w:val="00EC6EE1"/>
    <w:rPr>
      <w:rFonts w:ascii="Segoe UI" w:hAnsi="Segoe UI" w:cs="Segoe UI"/>
      <w:sz w:val="18"/>
      <w:szCs w:val="18"/>
    </w:rPr>
  </w:style>
  <w:style w:type="character" w:customStyle="1" w:styleId="ListParagraphChar">
    <w:name w:val="List Paragraph Char"/>
    <w:basedOn w:val="DefaultParagraphFont"/>
    <w:link w:val="ListParagraph"/>
    <w:uiPriority w:val="34"/>
    <w:qFormat/>
    <w:rsid w:val="008C3546"/>
    <w:rPr>
      <w:lang w:val="en-GB"/>
    </w:rPr>
  </w:style>
  <w:style w:type="character" w:customStyle="1" w:styleId="FirstnumberingChar">
    <w:name w:val="First numbering Char"/>
    <w:basedOn w:val="ListParagraphChar"/>
    <w:link w:val="Firstnumbering"/>
    <w:qFormat/>
    <w:rsid w:val="008C3546"/>
    <w:rPr>
      <w:lang w:val="en-GB"/>
    </w:rPr>
  </w:style>
  <w:style w:type="character" w:customStyle="1" w:styleId="SecondnumberingChar">
    <w:name w:val="Second numbering Char"/>
    <w:basedOn w:val="FirstnumberingChar"/>
    <w:link w:val="Secondnumbering"/>
    <w:qFormat/>
    <w:rsid w:val="00360838"/>
    <w:rPr>
      <w:lang w:val="en-GB"/>
    </w:rPr>
  </w:style>
  <w:style w:type="character" w:customStyle="1" w:styleId="ThirdnumberingiChar">
    <w:name w:val="Third numbering i) Char"/>
    <w:basedOn w:val="SecondnumberingChar"/>
    <w:link w:val="Thirdnumberingi"/>
    <w:qFormat/>
    <w:rsid w:val="00360838"/>
    <w:rPr>
      <w:lang w:val="en-GB"/>
    </w:rPr>
  </w:style>
  <w:style w:type="character" w:customStyle="1" w:styleId="FourthnumberingAChar">
    <w:name w:val="Fourth numbering A. Char"/>
    <w:basedOn w:val="ThirdnumberingiChar"/>
    <w:link w:val="FourthnumberingA"/>
    <w:qFormat/>
    <w:rsid w:val="00360838"/>
    <w:rPr>
      <w:lang w:val="en-GB"/>
    </w:rPr>
  </w:style>
  <w:style w:type="character" w:customStyle="1" w:styleId="TITLEChar">
    <w:name w:val="TITLE Char"/>
    <w:basedOn w:val="DefaultParagraphFont"/>
    <w:link w:val="Title1"/>
    <w:qFormat/>
    <w:rsid w:val="004B7071"/>
    <w:rPr>
      <w:rFonts w:eastAsia="Times New Roman" w:cs="Arial"/>
      <w:b/>
      <w:caps/>
      <w:lang w:val="en-GB"/>
    </w:rPr>
  </w:style>
  <w:style w:type="character" w:styleId="Hyperlink">
    <w:name w:val="Hyperlink"/>
    <w:basedOn w:val="DefaultParagraphFont"/>
    <w:uiPriority w:val="99"/>
    <w:unhideWhenUsed/>
    <w:rsid w:val="00B20241"/>
    <w:rPr>
      <w:color w:val="0563C1" w:themeColor="hyperlink"/>
      <w:u w:val="single"/>
    </w:rPr>
  </w:style>
  <w:style w:type="character" w:styleId="UnresolvedMention">
    <w:name w:val="Unresolved Mention"/>
    <w:basedOn w:val="DefaultParagraphFont"/>
    <w:uiPriority w:val="99"/>
    <w:unhideWhenUsed/>
    <w:qFormat/>
    <w:rsid w:val="00B20241"/>
    <w:rPr>
      <w:color w:val="605E5C"/>
      <w:shd w:val="clear" w:color="auto" w:fill="E1DFDD"/>
    </w:rPr>
  </w:style>
  <w:style w:type="character" w:styleId="CommentReference">
    <w:name w:val="annotation reference"/>
    <w:basedOn w:val="DefaultParagraphFont"/>
    <w:uiPriority w:val="99"/>
    <w:semiHidden/>
    <w:unhideWhenUsed/>
    <w:qFormat/>
    <w:rsid w:val="00AB20F3"/>
    <w:rPr>
      <w:sz w:val="16"/>
      <w:szCs w:val="16"/>
    </w:rPr>
  </w:style>
  <w:style w:type="character" w:customStyle="1" w:styleId="CommentTextChar">
    <w:name w:val="Comment Text Char"/>
    <w:basedOn w:val="DefaultParagraphFont"/>
    <w:link w:val="CommentText"/>
    <w:uiPriority w:val="99"/>
    <w:qFormat/>
    <w:rsid w:val="00AB20F3"/>
    <w:rPr>
      <w:sz w:val="20"/>
      <w:szCs w:val="20"/>
      <w:lang w:val="en-GB"/>
    </w:rPr>
  </w:style>
  <w:style w:type="character" w:customStyle="1" w:styleId="CommentSubjectChar">
    <w:name w:val="Comment Subject Char"/>
    <w:basedOn w:val="CommentTextChar"/>
    <w:link w:val="CommentSubject"/>
    <w:uiPriority w:val="99"/>
    <w:semiHidden/>
    <w:qFormat/>
    <w:rsid w:val="00AB20F3"/>
    <w:rPr>
      <w:b/>
      <w:bCs/>
      <w:sz w:val="20"/>
      <w:szCs w:val="20"/>
      <w:lang w:val="en-GB"/>
    </w:rPr>
  </w:style>
  <w:style w:type="character" w:styleId="Mention">
    <w:name w:val="Mention"/>
    <w:basedOn w:val="DefaultParagraphFont"/>
    <w:uiPriority w:val="99"/>
    <w:unhideWhenUsed/>
    <w:qFormat/>
    <w:rsid w:val="007E7A1A"/>
    <w:rPr>
      <w:color w:val="2B579A"/>
      <w:shd w:val="clear" w:color="auto" w:fill="E1DFDD"/>
    </w:rPr>
  </w:style>
  <w:style w:type="character" w:styleId="LineNumber">
    <w:name w:val="line numbe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E0DE9"/>
    <w:pPr>
      <w:tabs>
        <w:tab w:val="center" w:pos="4680"/>
        <w:tab w:val="right" w:pos="9360"/>
      </w:tabs>
    </w:pPr>
  </w:style>
  <w:style w:type="paragraph" w:styleId="Footer">
    <w:name w:val="footer"/>
    <w:basedOn w:val="Normal"/>
    <w:link w:val="FooterChar"/>
    <w:uiPriority w:val="99"/>
    <w:unhideWhenUsed/>
    <w:rsid w:val="002E0DE9"/>
    <w:pPr>
      <w:tabs>
        <w:tab w:val="center" w:pos="4680"/>
        <w:tab w:val="right" w:pos="9360"/>
      </w:tabs>
    </w:pPr>
  </w:style>
  <w:style w:type="paragraph" w:styleId="BalloonText">
    <w:name w:val="Balloon Text"/>
    <w:basedOn w:val="Normal"/>
    <w:link w:val="BalloonTextChar"/>
    <w:uiPriority w:val="99"/>
    <w:semiHidden/>
    <w:unhideWhenUsed/>
    <w:qFormat/>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1"/>
      </w:numPr>
      <w:ind w:left="567" w:hanging="567"/>
      <w:contextualSpacing w:val="0"/>
    </w:pPr>
  </w:style>
  <w:style w:type="paragraph" w:customStyle="1" w:styleId="Secondnumbering">
    <w:name w:val="Second numbering"/>
    <w:basedOn w:val="Firstnumbering"/>
    <w:link w:val="SecondnumberingChar"/>
    <w:qFormat/>
    <w:rsid w:val="00360838"/>
    <w:pPr>
      <w:numPr>
        <w:numId w:val="2"/>
      </w:numPr>
    </w:pPr>
  </w:style>
  <w:style w:type="paragraph" w:customStyle="1" w:styleId="Thirdnumberingi">
    <w:name w:val="Third numbering i)"/>
    <w:basedOn w:val="Secondnumbering"/>
    <w:link w:val="ThirdnumberingiChar"/>
    <w:qFormat/>
    <w:rsid w:val="00360838"/>
    <w:pPr>
      <w:numPr>
        <w:numId w:val="3"/>
      </w:numPr>
      <w:ind w:left="1701" w:hanging="283"/>
    </w:pPr>
  </w:style>
  <w:style w:type="paragraph" w:customStyle="1" w:styleId="FourthnumberingA">
    <w:name w:val="Fourth numbering A."/>
    <w:basedOn w:val="Thirdnumberingi"/>
    <w:link w:val="FourthnumberingAChar"/>
    <w:qFormat/>
    <w:rsid w:val="00360838"/>
    <w:pPr>
      <w:numPr>
        <w:numId w:val="4"/>
      </w:numPr>
      <w:ind w:left="2268" w:hanging="283"/>
    </w:p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jc w:val="center"/>
      <w:textAlignment w:val="baseline"/>
      <w:outlineLvl w:val="1"/>
    </w:pPr>
    <w:rPr>
      <w:rFonts w:eastAsia="Times New Roman" w:cs="Arial"/>
      <w:b/>
      <w:caps/>
    </w:rPr>
  </w:style>
  <w:style w:type="paragraph" w:styleId="Revision">
    <w:name w:val="Revision"/>
    <w:uiPriority w:val="99"/>
    <w:semiHidden/>
    <w:qFormat/>
    <w:rsid w:val="00BE0EA7"/>
    <w:rPr>
      <w:lang w:val="en-GB"/>
    </w:rPr>
  </w:style>
  <w:style w:type="paragraph" w:styleId="CommentText">
    <w:name w:val="annotation text"/>
    <w:basedOn w:val="Normal"/>
    <w:link w:val="CommentTextChar"/>
    <w:uiPriority w:val="99"/>
    <w:unhideWhenUsed/>
    <w:qFormat/>
    <w:rsid w:val="00AB20F3"/>
    <w:rPr>
      <w:sz w:val="20"/>
      <w:szCs w:val="20"/>
    </w:rPr>
  </w:style>
  <w:style w:type="paragraph" w:styleId="CommentSubject">
    <w:name w:val="annotation subject"/>
    <w:basedOn w:val="CommentText"/>
    <w:next w:val="CommentText"/>
    <w:link w:val="CommentSubjectChar"/>
    <w:uiPriority w:val="99"/>
    <w:semiHidden/>
    <w:unhideWhenUsed/>
    <w:qFormat/>
    <w:rsid w:val="00AB20F3"/>
    <w:rPr>
      <w:b/>
      <w:bCs/>
    </w:rPr>
  </w:style>
  <w:style w:type="paragraph" w:customStyle="1" w:styleId="FrameContents">
    <w:name w:val="Frame Contents"/>
    <w:basedOn w:val="Normal"/>
    <w:qFormat/>
  </w:style>
  <w:style w:type="character" w:customStyle="1" w:styleId="Heading1Char">
    <w:name w:val="Heading 1 Char"/>
    <w:basedOn w:val="DefaultParagraphFont"/>
    <w:link w:val="Heading1"/>
    <w:uiPriority w:val="9"/>
    <w:rsid w:val="00E16720"/>
    <w:rPr>
      <w:rFonts w:ascii="Segoe UI Semibold" w:eastAsia="Noto Sans CJK SC" w:hAnsi="Segoe UI Semibold" w:cs="Lohit Devanagari"/>
      <w:bCs/>
      <w:kern w:val="2"/>
      <w:sz w:val="32"/>
      <w:szCs w:val="36"/>
      <w:lang w:val="en-AU" w:eastAsia="zh-CN" w:bidi="hi-IN"/>
    </w:rPr>
  </w:style>
  <w:style w:type="character" w:customStyle="1" w:styleId="Heading2Char">
    <w:name w:val="Heading 2 Char"/>
    <w:basedOn w:val="DefaultParagraphFont"/>
    <w:link w:val="Heading2"/>
    <w:uiPriority w:val="9"/>
    <w:rsid w:val="00E16720"/>
    <w:rPr>
      <w:rFonts w:ascii="Segoe UI Semibold" w:eastAsia="Noto Sans CJK SC" w:hAnsi="Segoe UI Semibold" w:cs="Lohit Devanagari"/>
      <w:bCs/>
      <w:kern w:val="2"/>
      <w:sz w:val="24"/>
      <w:szCs w:val="32"/>
      <w:lang w:val="en-AU" w:eastAsia="zh-CN" w:bidi="hi-IN"/>
    </w:rPr>
  </w:style>
  <w:style w:type="character" w:customStyle="1" w:styleId="Heading3Char">
    <w:name w:val="Heading 3 Char"/>
    <w:basedOn w:val="DefaultParagraphFont"/>
    <w:link w:val="Heading3"/>
    <w:uiPriority w:val="9"/>
    <w:rsid w:val="00E16720"/>
    <w:rPr>
      <w:rFonts w:ascii="Liberation Sans" w:eastAsia="Noto Sans CJK SC" w:hAnsi="Liberation Sans" w:cs="Lohit Devanagari"/>
      <w:b/>
      <w:bCs/>
      <w:kern w:val="2"/>
      <w:sz w:val="28"/>
      <w:szCs w:val="28"/>
      <w:lang w:val="en-AU" w:eastAsia="zh-CN" w:bidi="hi-IN"/>
    </w:rPr>
  </w:style>
  <w:style w:type="table" w:styleId="TableGrid">
    <w:name w:val="Table Grid"/>
    <w:basedOn w:val="TableNormal"/>
    <w:uiPriority w:val="39"/>
    <w:rsid w:val="00FB1F1F"/>
    <w:pPr>
      <w:suppressAutoHyphens w:val="0"/>
    </w:pPr>
    <w:rPr>
      <w:rFonts w:ascii="Calibri" w:hAnsi="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2507C"/>
    <w:pPr>
      <w:suppressAutoHyphens w:val="0"/>
    </w:pPr>
    <w:rPr>
      <w:rFonts w:ascii="Calibri" w:hAnsi="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2E4"/>
    <w:pPr>
      <w:suppressAutoHyphens w:val="0"/>
    </w:pPr>
    <w:rPr>
      <w:rFonts w:ascii="Calibri" w:hAnsi="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415"/>
    <w:pPr>
      <w:suppressAutoHyphens w:val="0"/>
    </w:pPr>
    <w:rPr>
      <w:rFonts w:ascii="Calibri" w:hAnsi="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439F2"/>
    <w:pPr>
      <w:suppressAutoHyphens w:val="0"/>
    </w:pPr>
    <w:rPr>
      <w:rFonts w:ascii="Calibri" w:hAnsi="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CA6846-09FB-4E4B-BD65-3F2FF20B0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3.xml><?xml version="1.0" encoding="utf-8"?>
<ds:datastoreItem xmlns:ds="http://schemas.openxmlformats.org/officeDocument/2006/customXml" ds:itemID="{CC640F67-7722-4E2B-97CB-1EE8F6A3189E}">
  <ds:schemaRefs>
    <ds:schemaRef ds:uri="985ec44e-1bab-4c0b-9df0-6ba128686fc9"/>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c15478a5-0be8-4f5d-8383-b307d5ba8bf6"/>
    <ds:schemaRef ds:uri="a7b50396-0b06-45c1-b28e-46f86d566a10"/>
  </ds:schemaRefs>
</ds:datastoreItem>
</file>

<file path=customXml/itemProps4.xml><?xml version="1.0" encoding="utf-8"?>
<ds:datastoreItem xmlns:ds="http://schemas.openxmlformats.org/officeDocument/2006/customXml" ds:itemID="{3CEBF781-995B-4B3A-BBC6-55FBDFC89E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4083</Words>
  <Characters>23274</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3</cp:revision>
  <cp:lastPrinted>2023-10-20T10:07:00Z</cp:lastPrinted>
  <dcterms:created xsi:type="dcterms:W3CDTF">2023-10-20T10:07:00Z</dcterms:created>
  <dcterms:modified xsi:type="dcterms:W3CDTF">2023-10-20T10:23:00Z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GrammarlyDocumentId">
    <vt:lpwstr>05bc49294cfdd6bcb19e861dd6bbfaf8b0152488cac6a0cfe63811c813a85bae</vt:lpwstr>
  </property>
  <property fmtid="{D5CDD505-2E9C-101B-9397-08002B2CF9AE}" pid="4" name="MediaServiceImageTags">
    <vt:lpwstr/>
  </property>
  <property fmtid="{D5CDD505-2E9C-101B-9397-08002B2CF9AE}" pid="5" name="TaxKeyword">
    <vt:lpwstr/>
  </property>
</Properties>
</file>