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190B9" w14:textId="219B3190" w:rsidR="002E0DE9" w:rsidRPr="002E0DE9" w:rsidRDefault="002E0DE9" w:rsidP="4A438450">
      <w:pPr>
        <w:widowControl w:val="0"/>
        <w:suppressAutoHyphens/>
        <w:autoSpaceDE w:val="0"/>
        <w:autoSpaceDN w:val="0"/>
        <w:spacing w:after="0" w:line="240" w:lineRule="auto"/>
        <w:textAlignment w:val="baseline"/>
        <w:rPr>
          <w:rFonts w:eastAsia="Arial" w:cs="Arial"/>
          <w:color w:val="000000" w:themeColor="text1"/>
          <w:sz w:val="12"/>
          <w:szCs w:val="12"/>
          <w:lang w:val="fr-FR"/>
        </w:rPr>
      </w:pPr>
    </w:p>
    <w:p w14:paraId="02451161" w14:textId="77777777" w:rsidR="00200C3D" w:rsidRPr="00EC2A58" w:rsidRDefault="00200C3D" w:rsidP="00200C3D">
      <w:pPr>
        <w:widowControl w:val="0"/>
        <w:tabs>
          <w:tab w:val="left" w:pos="-1057"/>
          <w:tab w:val="left" w:pos="-720"/>
        </w:tabs>
        <w:suppressAutoHyphens/>
        <w:autoSpaceDE w:val="0"/>
        <w:autoSpaceDN w:val="0"/>
        <w:spacing w:after="0" w:line="240" w:lineRule="auto"/>
        <w:textAlignment w:val="baseline"/>
        <w:rPr>
          <w:rFonts w:eastAsia="Times New Roman" w:cs="Arial"/>
          <w:spacing w:val="-8"/>
          <w:sz w:val="12"/>
          <w:szCs w:val="12"/>
          <w:lang w:val="fr-FR"/>
        </w:rPr>
      </w:pPr>
    </w:p>
    <w:tbl>
      <w:tblPr>
        <w:tblW w:w="9648" w:type="dxa"/>
        <w:tblLayout w:type="fixed"/>
        <w:tblCellMar>
          <w:left w:w="10" w:type="dxa"/>
          <w:right w:w="10" w:type="dxa"/>
        </w:tblCellMar>
        <w:tblLook w:val="0000" w:firstRow="0" w:lastRow="0" w:firstColumn="0" w:lastColumn="0" w:noHBand="0" w:noVBand="0"/>
      </w:tblPr>
      <w:tblGrid>
        <w:gridCol w:w="1526"/>
        <w:gridCol w:w="4414"/>
        <w:gridCol w:w="3708"/>
      </w:tblGrid>
      <w:tr w:rsidR="00200C3D" w:rsidRPr="00503850" w14:paraId="30914742" w14:textId="77777777" w:rsidTr="00F90110">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2EB856AF" w14:textId="77777777" w:rsidR="00200C3D" w:rsidRPr="00EC2A58" w:rsidRDefault="00200C3D" w:rsidP="00F90110">
            <w:pPr>
              <w:widowControl w:val="0"/>
              <w:suppressAutoHyphens/>
              <w:autoSpaceDE w:val="0"/>
              <w:autoSpaceDN w:val="0"/>
              <w:spacing w:after="0" w:line="240" w:lineRule="auto"/>
              <w:textAlignment w:val="baseline"/>
              <w:rPr>
                <w:rFonts w:ascii="Calibri" w:eastAsia="Calibri" w:hAnsi="Calibri" w:cs="Times New Roman"/>
              </w:rPr>
            </w:pPr>
            <w:r w:rsidRPr="00EC2A58">
              <w:rPr>
                <w:rFonts w:eastAsia="Times New Roman" w:cs="Arial"/>
                <w:noProof/>
              </w:rPr>
              <w:drawing>
                <wp:inline distT="0" distB="0" distL="0" distR="0" wp14:anchorId="5BEEDA84" wp14:editId="7541DDFB">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p w14:paraId="70E24400" w14:textId="77777777" w:rsidR="00200C3D" w:rsidRPr="00EC2A58" w:rsidRDefault="00200C3D" w:rsidP="00F90110">
            <w:pPr>
              <w:widowControl w:val="0"/>
              <w:suppressAutoHyphens/>
              <w:autoSpaceDE w:val="0"/>
              <w:autoSpaceDN w:val="0"/>
              <w:spacing w:after="0" w:line="240" w:lineRule="auto"/>
              <w:textAlignment w:val="baseline"/>
              <w:rPr>
                <w:rFonts w:eastAsia="Times New Roman" w:cs="Arial"/>
                <w:lang w:val="fr-FR"/>
              </w:rPr>
            </w:pPr>
          </w:p>
        </w:tc>
        <w:tc>
          <w:tcPr>
            <w:tcW w:w="4414" w:type="dxa"/>
            <w:tcBorders>
              <w:top w:val="single" w:sz="12" w:space="0" w:color="000000"/>
              <w:bottom w:val="single" w:sz="12" w:space="0" w:color="000000"/>
            </w:tcBorders>
            <w:shd w:val="clear" w:color="auto" w:fill="auto"/>
            <w:tcMar>
              <w:top w:w="85" w:type="dxa"/>
              <w:left w:w="108" w:type="dxa"/>
              <w:bottom w:w="0" w:type="dxa"/>
              <w:right w:w="108" w:type="dxa"/>
            </w:tcMar>
          </w:tcPr>
          <w:p w14:paraId="3357AF55" w14:textId="77777777" w:rsidR="00200C3D" w:rsidRPr="00EC2A58" w:rsidRDefault="00200C3D" w:rsidP="00F90110">
            <w:pPr>
              <w:keepNext/>
              <w:widowControl w:val="0"/>
              <w:suppressAutoHyphens/>
              <w:autoSpaceDE w:val="0"/>
              <w:autoSpaceDN w:val="0"/>
              <w:spacing w:after="0" w:line="240" w:lineRule="auto"/>
              <w:ind w:left="-108"/>
              <w:textAlignment w:val="baseline"/>
              <w:outlineLvl w:val="1"/>
              <w:rPr>
                <w:rFonts w:eastAsia="Times New Roman" w:cs="Arial"/>
                <w:sz w:val="12"/>
                <w:szCs w:val="12"/>
                <w:lang w:val="fr-FR"/>
              </w:rPr>
            </w:pPr>
          </w:p>
          <w:p w14:paraId="45EE291E" w14:textId="77777777" w:rsidR="00200C3D" w:rsidRPr="00EC2A58" w:rsidRDefault="00200C3D" w:rsidP="00F90110">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CONVENTION SUR</w:t>
            </w:r>
          </w:p>
          <w:p w14:paraId="5CAC4A8C" w14:textId="77777777" w:rsidR="00200C3D" w:rsidRPr="00EC2A58" w:rsidRDefault="00200C3D" w:rsidP="00F90110">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LES ESPÈCES</w:t>
            </w:r>
          </w:p>
          <w:p w14:paraId="58B4D737" w14:textId="77777777" w:rsidR="00200C3D" w:rsidRPr="00EC2A58" w:rsidRDefault="00200C3D" w:rsidP="00F90110">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MIGRATRICES</w:t>
            </w:r>
          </w:p>
        </w:tc>
        <w:tc>
          <w:tcPr>
            <w:tcW w:w="3708" w:type="dxa"/>
            <w:tcBorders>
              <w:top w:val="single" w:sz="12" w:space="0" w:color="000000"/>
              <w:bottom w:val="single" w:sz="12" w:space="0" w:color="000000"/>
            </w:tcBorders>
            <w:shd w:val="clear" w:color="auto" w:fill="auto"/>
            <w:tcMar>
              <w:top w:w="85" w:type="dxa"/>
              <w:left w:w="108" w:type="dxa"/>
              <w:bottom w:w="0" w:type="dxa"/>
              <w:right w:w="108" w:type="dxa"/>
            </w:tcMar>
          </w:tcPr>
          <w:p w14:paraId="2CB14A93" w14:textId="77777777" w:rsidR="00200C3D" w:rsidRPr="00EC2A58" w:rsidRDefault="00200C3D" w:rsidP="00F90110">
            <w:pPr>
              <w:widowControl w:val="0"/>
              <w:tabs>
                <w:tab w:val="left" w:pos="-1057"/>
                <w:tab w:val="left" w:pos="-720"/>
                <w:tab w:val="left" w:pos="5040"/>
                <w:tab w:val="left" w:pos="5760"/>
                <w:tab w:val="left" w:pos="6008"/>
                <w:tab w:val="left" w:pos="6480"/>
                <w:tab w:val="left" w:pos="7200"/>
                <w:tab w:val="left" w:pos="7920"/>
                <w:tab w:val="left" w:pos="8640"/>
              </w:tabs>
              <w:suppressAutoHyphens/>
              <w:autoSpaceDE w:val="0"/>
              <w:autoSpaceDN w:val="0"/>
              <w:spacing w:after="0" w:line="240" w:lineRule="auto"/>
              <w:textAlignment w:val="baseline"/>
              <w:rPr>
                <w:rFonts w:eastAsia="Times New Roman" w:cs="Arial"/>
                <w:sz w:val="12"/>
                <w:szCs w:val="12"/>
                <w:lang w:val="fr-FR"/>
              </w:rPr>
            </w:pPr>
          </w:p>
          <w:p w14:paraId="51599D19" w14:textId="56709162" w:rsidR="00200C3D" w:rsidRDefault="00200C3D" w:rsidP="00503850">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fr-FR"/>
              </w:rPr>
            </w:pPr>
            <w:r w:rsidRPr="00EC2A58">
              <w:rPr>
                <w:rFonts w:eastAsia="Arial" w:cs="Arial"/>
                <w:lang w:val="fr-FR"/>
              </w:rPr>
              <w:t>UNEP/CMS/COP1</w:t>
            </w:r>
            <w:r>
              <w:rPr>
                <w:rFonts w:eastAsia="Arial" w:cs="Arial"/>
                <w:lang w:val="fr-FR"/>
              </w:rPr>
              <w:t>4</w:t>
            </w:r>
            <w:r w:rsidRPr="00EC2A58">
              <w:rPr>
                <w:rFonts w:eastAsia="Arial" w:cs="Arial"/>
                <w:lang w:val="fr-FR"/>
              </w:rPr>
              <w:t>/Doc</w:t>
            </w:r>
            <w:r w:rsidR="00503850">
              <w:rPr>
                <w:rFonts w:eastAsia="Arial" w:cs="Arial"/>
                <w:lang w:val="fr-FR"/>
              </w:rPr>
              <w:t>.30.3.2</w:t>
            </w:r>
          </w:p>
          <w:p w14:paraId="340E5146" w14:textId="2E4DA176" w:rsidR="00503850" w:rsidRPr="00503850" w:rsidRDefault="00503850" w:rsidP="00503850">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eastAsia="Calibri" w:cs="Arial"/>
                <w:lang w:val="fr-FR"/>
              </w:rPr>
            </w:pPr>
            <w:r w:rsidRPr="00503850">
              <w:rPr>
                <w:rFonts w:eastAsia="Calibri" w:cs="Arial"/>
                <w:lang w:val="fr-FR"/>
              </w:rPr>
              <w:t>25 juin 2023</w:t>
            </w:r>
          </w:p>
          <w:p w14:paraId="10DBFA1E" w14:textId="77777777" w:rsidR="00200C3D" w:rsidRPr="00503850" w:rsidRDefault="00200C3D" w:rsidP="00503850">
            <w:pPr>
              <w:widowControl w:val="0"/>
              <w:suppressAutoHyphens/>
              <w:autoSpaceDE w:val="0"/>
              <w:autoSpaceDN w:val="0"/>
              <w:spacing w:after="0" w:line="240" w:lineRule="auto"/>
              <w:textAlignment w:val="baseline"/>
              <w:rPr>
                <w:rFonts w:ascii="Calibri" w:eastAsia="Calibri" w:hAnsi="Calibri" w:cs="Times New Roman"/>
                <w:lang w:val="fr-FR"/>
              </w:rPr>
            </w:pPr>
            <w:r w:rsidRPr="00EC2A58">
              <w:rPr>
                <w:rFonts w:eastAsia="Arial" w:cs="Arial"/>
                <w:lang w:val="fr-FR"/>
              </w:rPr>
              <w:t>Français</w:t>
            </w:r>
          </w:p>
          <w:p w14:paraId="621712C2" w14:textId="76B66AFC" w:rsidR="00200C3D" w:rsidRPr="00503850" w:rsidRDefault="00200C3D" w:rsidP="00503850">
            <w:pPr>
              <w:widowControl w:val="0"/>
              <w:suppressAutoHyphens/>
              <w:autoSpaceDE w:val="0"/>
              <w:autoSpaceDN w:val="0"/>
              <w:spacing w:after="0" w:line="240" w:lineRule="auto"/>
              <w:textAlignment w:val="baseline"/>
              <w:rPr>
                <w:rFonts w:ascii="Calibri" w:eastAsia="Calibri" w:hAnsi="Calibri" w:cs="Times New Roman"/>
                <w:lang w:val="fr-FR"/>
              </w:rPr>
            </w:pPr>
            <w:r w:rsidRPr="00EC2A58">
              <w:rPr>
                <w:rFonts w:eastAsia="Arial" w:cs="Arial"/>
                <w:lang w:val="fr-FR"/>
              </w:rPr>
              <w:t>Original: Anglais</w:t>
            </w:r>
          </w:p>
          <w:p w14:paraId="2A378FB8" w14:textId="77777777" w:rsidR="00200C3D" w:rsidRPr="00EC2A58" w:rsidRDefault="00200C3D" w:rsidP="00F90110">
            <w:pPr>
              <w:widowControl w:val="0"/>
              <w:suppressAutoHyphens/>
              <w:autoSpaceDE w:val="0"/>
              <w:autoSpaceDN w:val="0"/>
              <w:spacing w:after="0" w:line="240" w:lineRule="auto"/>
              <w:textAlignment w:val="baseline"/>
              <w:rPr>
                <w:rFonts w:eastAsia="Times New Roman" w:cs="Arial"/>
                <w:sz w:val="12"/>
                <w:szCs w:val="12"/>
                <w:lang w:val="fr-FR"/>
              </w:rPr>
            </w:pPr>
          </w:p>
        </w:tc>
      </w:tr>
    </w:tbl>
    <w:p w14:paraId="50677868" w14:textId="77777777" w:rsidR="00200C3D" w:rsidRPr="00EC2A58" w:rsidRDefault="00200C3D" w:rsidP="00200C3D">
      <w:pPr>
        <w:widowControl w:val="0"/>
        <w:tabs>
          <w:tab w:val="left" w:pos="-1057"/>
          <w:tab w:val="left" w:pos="-720"/>
        </w:tabs>
        <w:suppressAutoHyphens/>
        <w:autoSpaceDE w:val="0"/>
        <w:autoSpaceDN w:val="0"/>
        <w:spacing w:after="0" w:line="240" w:lineRule="auto"/>
        <w:textAlignment w:val="baseline"/>
        <w:rPr>
          <w:rFonts w:eastAsia="Arial" w:cs="Arial"/>
          <w:sz w:val="8"/>
          <w:szCs w:val="8"/>
          <w:lang w:val="fr-FR"/>
        </w:rPr>
      </w:pPr>
    </w:p>
    <w:p w14:paraId="2C8307EC" w14:textId="77777777" w:rsidR="00200C3D" w:rsidRPr="00EC2A58" w:rsidRDefault="00200C3D" w:rsidP="00200C3D">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fr-FR"/>
        </w:rPr>
      </w:pPr>
      <w:r w:rsidRPr="00EC2A58">
        <w:rPr>
          <w:rFonts w:eastAsia="Arial" w:cs="Arial"/>
          <w:lang w:val="fr-FR"/>
        </w:rPr>
        <w:t>1</w:t>
      </w:r>
      <w:r>
        <w:rPr>
          <w:rFonts w:eastAsia="Arial" w:cs="Arial"/>
          <w:lang w:val="fr-FR"/>
        </w:rPr>
        <w:t>4</w:t>
      </w:r>
      <w:r w:rsidRPr="00EC2A58">
        <w:rPr>
          <w:rFonts w:eastAsia="Arial" w:cs="Arial"/>
          <w:vertAlign w:val="superscript"/>
          <w:lang w:val="fr-FR"/>
        </w:rPr>
        <w:t>ème</w:t>
      </w:r>
      <w:r w:rsidRPr="00EC2A58">
        <w:rPr>
          <w:rFonts w:eastAsia="Arial" w:cs="Arial"/>
          <w:lang w:val="fr-FR"/>
        </w:rPr>
        <w:t xml:space="preserve"> SESSION DE LA CONFÉRENCE DES PARTIES</w:t>
      </w:r>
    </w:p>
    <w:p w14:paraId="39D3AFEB" w14:textId="77777777" w:rsidR="00200C3D" w:rsidRPr="00EC2A58" w:rsidRDefault="00200C3D" w:rsidP="00200C3D">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fr-FR"/>
        </w:rPr>
      </w:pPr>
      <w:r>
        <w:rPr>
          <w:rFonts w:eastAsia="Arial" w:cs="Arial"/>
          <w:bCs/>
          <w:lang w:val="fr-FR"/>
        </w:rPr>
        <w:t>Samarcande, Ouzbékistan, 23 – 28 octobre 2023</w:t>
      </w:r>
    </w:p>
    <w:p w14:paraId="09109348" w14:textId="0AE570FF" w:rsidR="00200C3D" w:rsidRPr="00EC2A58" w:rsidRDefault="00200C3D" w:rsidP="00200C3D">
      <w:pPr>
        <w:widowControl w:val="0"/>
        <w:suppressAutoHyphens/>
        <w:autoSpaceDE w:val="0"/>
        <w:autoSpaceDN w:val="0"/>
        <w:spacing w:after="0" w:line="228" w:lineRule="auto"/>
        <w:textAlignment w:val="baseline"/>
        <w:rPr>
          <w:rFonts w:ascii="Calibri" w:eastAsia="Calibri" w:hAnsi="Calibri" w:cs="Times New Roman"/>
          <w:lang w:val="fr-FR"/>
        </w:rPr>
      </w:pPr>
      <w:r w:rsidRPr="00EC2A58">
        <w:rPr>
          <w:rFonts w:eastAsia="Arial" w:cs="Arial"/>
          <w:iCs/>
          <w:lang w:val="fr-FR"/>
        </w:rPr>
        <w:t>Poin</w:t>
      </w:r>
      <w:r w:rsidR="00503850">
        <w:rPr>
          <w:rFonts w:eastAsia="Arial" w:cs="Arial"/>
          <w:iCs/>
          <w:lang w:val="fr-FR"/>
        </w:rPr>
        <w:t>t 30.3</w:t>
      </w:r>
      <w:r w:rsidRPr="00EC2A58">
        <w:rPr>
          <w:rFonts w:eastAsia="Arial" w:cs="Arial"/>
          <w:iCs/>
          <w:lang w:val="fr-FR"/>
        </w:rPr>
        <w:t xml:space="preserve"> de l’ordre du jour</w:t>
      </w:r>
    </w:p>
    <w:p w14:paraId="7408EC0D" w14:textId="12BA3613" w:rsidR="002E0DE9" w:rsidRPr="002E0DE9" w:rsidRDefault="002E0DE9" w:rsidP="4A438450">
      <w:pPr>
        <w:widowControl w:val="0"/>
        <w:suppressAutoHyphens/>
        <w:autoSpaceDE w:val="0"/>
        <w:autoSpaceDN w:val="0"/>
        <w:spacing w:after="0" w:line="240" w:lineRule="auto"/>
        <w:textAlignment w:val="baseline"/>
        <w:rPr>
          <w:rFonts w:eastAsia="Times New Roman" w:cs="Arial"/>
          <w:lang w:val="fr-FR"/>
        </w:rPr>
      </w:pPr>
    </w:p>
    <w:p w14:paraId="1554ADA7"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lang w:val="fr-FR"/>
        </w:rPr>
      </w:pPr>
    </w:p>
    <w:p w14:paraId="6C96AE1E" w14:textId="1DE966E7" w:rsidR="002E0DE9" w:rsidRDefault="00971887" w:rsidP="00F81B4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fr-FR"/>
        </w:rPr>
      </w:pPr>
      <w:r>
        <w:rPr>
          <w:rFonts w:eastAsia="Times New Roman" w:cs="Arial"/>
          <w:b/>
          <w:bCs/>
          <w:lang w:val="fr-FR"/>
        </w:rPr>
        <w:t>ÉNERGIES RENOUVELABLES ET ESPÈCES MIGRATRICES</w:t>
      </w:r>
    </w:p>
    <w:p w14:paraId="57504EB6" w14:textId="5DB70EF5" w:rsidR="002E0DE9" w:rsidRPr="00F81B4A" w:rsidRDefault="008B0AC3" w:rsidP="00F81B4A">
      <w:pPr>
        <w:widowControl w:val="0"/>
        <w:suppressAutoHyphens/>
        <w:autoSpaceDE w:val="0"/>
        <w:autoSpaceDN w:val="0"/>
        <w:spacing w:after="0" w:line="240" w:lineRule="auto"/>
        <w:jc w:val="center"/>
        <w:textAlignment w:val="baseline"/>
        <w:rPr>
          <w:rFonts w:ascii="Calibri" w:eastAsia="Calibri" w:hAnsi="Calibri" w:cs="Times New Roman"/>
          <w:lang w:val="fr-FR"/>
        </w:rPr>
      </w:pPr>
      <w:r>
        <w:rPr>
          <w:rFonts w:eastAsia="Times New Roman" w:cs="Arial"/>
          <w:i/>
          <w:lang w:val="fr-FR"/>
        </w:rPr>
        <w:t>(Élaboré par le Secrétariat)</w:t>
      </w:r>
    </w:p>
    <w:p w14:paraId="7A54E364" w14:textId="77777777" w:rsidR="002E0DE9" w:rsidRPr="002E0DE9" w:rsidRDefault="002E0DE9" w:rsidP="00EC4F04">
      <w:pPr>
        <w:widowControl w:val="0"/>
        <w:tabs>
          <w:tab w:val="left" w:pos="8295"/>
        </w:tabs>
        <w:suppressAutoHyphens/>
        <w:autoSpaceDE w:val="0"/>
        <w:autoSpaceDN w:val="0"/>
        <w:spacing w:after="0" w:line="240" w:lineRule="auto"/>
        <w:jc w:val="both"/>
        <w:textAlignment w:val="baseline"/>
        <w:rPr>
          <w:rFonts w:eastAsia="Times New Roman" w:cs="Arial"/>
          <w:sz w:val="21"/>
          <w:szCs w:val="21"/>
          <w:lang w:val="fr-FR"/>
        </w:rPr>
      </w:pPr>
    </w:p>
    <w:p w14:paraId="25A47AE0" w14:textId="77777777" w:rsidR="002E0DE9" w:rsidRPr="002E0DE9" w:rsidRDefault="00661875" w:rsidP="00EC4F04">
      <w:pPr>
        <w:widowControl w:val="0"/>
        <w:suppressAutoHyphens/>
        <w:autoSpaceDE w:val="0"/>
        <w:autoSpaceDN w:val="0"/>
        <w:spacing w:after="0" w:line="240" w:lineRule="auto"/>
        <w:textAlignment w:val="baseline"/>
        <w:rPr>
          <w:rFonts w:ascii="Calibri" w:eastAsia="Calibri" w:hAnsi="Calibri" w:cs="Times New Roman"/>
          <w:lang w:val="fr-FR"/>
        </w:rPr>
      </w:pPr>
      <w:r>
        <w:rPr>
          <w:rFonts w:eastAsia="Times New Roman" w:cs="Arial"/>
          <w:noProof/>
          <w:sz w:val="21"/>
          <w:szCs w:val="21"/>
          <w:lang w:val="fr-FR"/>
        </w:rPr>
        <mc:AlternateContent>
          <mc:Choice Requires="wps">
            <w:drawing>
              <wp:anchor distT="0" distB="0" distL="114300" distR="114300" simplePos="0" relativeHeight="251658240" behindDoc="0" locked="0" layoutInCell="1" allowOverlap="1" wp14:anchorId="13CF45B1" wp14:editId="66AB4A4B">
                <wp:simplePos x="0" y="0"/>
                <wp:positionH relativeFrom="column">
                  <wp:posOffset>978579</wp:posOffset>
                </wp:positionH>
                <wp:positionV relativeFrom="paragraph">
                  <wp:posOffset>55777</wp:posOffset>
                </wp:positionV>
                <wp:extent cx="4629150" cy="1531088"/>
                <wp:effectExtent l="0" t="0" r="19050" b="12065"/>
                <wp:wrapNone/>
                <wp:docPr id="5" name="Text Box 5"/>
                <wp:cNvGraphicFramePr/>
                <a:graphic xmlns:a="http://schemas.openxmlformats.org/drawingml/2006/main">
                  <a:graphicData uri="http://schemas.microsoft.com/office/word/2010/wordprocessingShape">
                    <wps:wsp>
                      <wps:cNvSpPr txBox="1"/>
                      <wps:spPr>
                        <a:xfrm>
                          <a:off x="0" y="0"/>
                          <a:ext cx="4629150" cy="1531088"/>
                        </a:xfrm>
                        <a:prstGeom prst="rect">
                          <a:avLst/>
                        </a:prstGeom>
                        <a:solidFill>
                          <a:srgbClr val="FFFFFF"/>
                        </a:solidFill>
                        <a:ln w="3172">
                          <a:solidFill>
                            <a:srgbClr val="000000"/>
                          </a:solidFill>
                          <a:prstDash val="solid"/>
                        </a:ln>
                      </wps:spPr>
                      <wps:txbx>
                        <w:txbxContent>
                          <w:p w14:paraId="10BCBC8C" w14:textId="4635E6A3" w:rsidR="00661875" w:rsidRPr="00E22BA0" w:rsidRDefault="002E0DE9" w:rsidP="00E22BA0">
                            <w:pPr>
                              <w:spacing w:after="0" w:line="240" w:lineRule="auto"/>
                              <w:rPr>
                                <w:rFonts w:cs="Arial"/>
                                <w:lang w:val="fr-FR"/>
                              </w:rPr>
                            </w:pPr>
                            <w:r w:rsidRPr="00E22BA0">
                              <w:rPr>
                                <w:rFonts w:cs="Arial"/>
                                <w:lang w:val="fr-FR"/>
                              </w:rPr>
                              <w:t>Résumé :</w:t>
                            </w:r>
                          </w:p>
                          <w:p w14:paraId="3399EFB2" w14:textId="77777777" w:rsidR="00661875" w:rsidRPr="00E22BA0" w:rsidRDefault="00661875" w:rsidP="00E22BA0">
                            <w:pPr>
                              <w:spacing w:after="0" w:line="240" w:lineRule="auto"/>
                              <w:jc w:val="both"/>
                              <w:rPr>
                                <w:rFonts w:cs="Arial"/>
                                <w:lang w:val="fr-FR"/>
                              </w:rPr>
                            </w:pPr>
                          </w:p>
                          <w:p w14:paraId="0A7AC1E9" w14:textId="0E0FB4AA" w:rsidR="009C1079" w:rsidRDefault="0004511A" w:rsidP="00E22BA0">
                            <w:pPr>
                              <w:spacing w:after="0" w:line="240" w:lineRule="auto"/>
                              <w:jc w:val="both"/>
                              <w:rPr>
                                <w:rFonts w:cs="Arial"/>
                                <w:lang w:val="fr-FR"/>
                              </w:rPr>
                            </w:pPr>
                            <w:r w:rsidRPr="00E22BA0">
                              <w:rPr>
                                <w:rFonts w:cs="Arial"/>
                                <w:lang w:val="fr-FR"/>
                              </w:rPr>
                              <w:t xml:space="preserve">Ce document rend compte des progrès réalisés dans la mise en œuvre de la Résolution 10.11 (Rev.COP13) </w:t>
                            </w:r>
                            <w:r w:rsidRPr="00E22BA0">
                              <w:rPr>
                                <w:rFonts w:cs="Arial"/>
                                <w:i/>
                                <w:iCs/>
                                <w:lang w:val="fr-FR"/>
                              </w:rPr>
                              <w:t>Lignes électriques et Oiseaux migrateurs</w:t>
                            </w:r>
                            <w:r w:rsidRPr="00E22BA0">
                              <w:rPr>
                                <w:rFonts w:cs="Arial"/>
                                <w:lang w:val="fr-FR"/>
                              </w:rPr>
                              <w:t xml:space="preserve">, de la Résolution 11.27 (Rev.COP13) </w:t>
                            </w:r>
                            <w:r w:rsidRPr="00E22BA0">
                              <w:rPr>
                                <w:rFonts w:cs="Arial"/>
                                <w:i/>
                                <w:iCs/>
                                <w:lang w:val="fr-FR"/>
                              </w:rPr>
                              <w:t>Énergies renouvelables et Espèces migratrices</w:t>
                            </w:r>
                            <w:r w:rsidRPr="00E22BA0">
                              <w:rPr>
                                <w:rFonts w:cs="Arial"/>
                                <w:lang w:val="fr-FR"/>
                              </w:rPr>
                              <w:t xml:space="preserve"> et Décisions 13.106-13.108. Il comprend des propositions d</w:t>
                            </w:r>
                            <w:r>
                              <w:rPr>
                                <w:rFonts w:cs="Arial"/>
                                <w:lang w:val="fr-FR"/>
                              </w:rPr>
                              <w:t>e projets de décision.</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margin-left:77.05pt;margin-top:4.4pt;width:364.5pt;height:1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" strokeweight=".08811mm">
                <v:textbox>
                  <w:txbxContent>
                    <w:p w14:paraId="10BCBC8C" w14:textId="4635E6A3" w:rsidR="00661875" w:rsidRPr="00E22BA0" w:rsidRDefault="002E0DE9" w:rsidP="00E22BA0">
                      <w:pPr>
                        <w:spacing w:after="0" w:line="240" w:lineRule="auto"/>
                        <w:rPr>
                          <w:rFonts w:cs="Arial"/>
                          <w:lang w:val="fr-FR"/>
                        </w:rPr>
                      </w:pPr>
                      <w:r w:rsidRPr="00E22BA0">
                        <w:rPr>
                          <w:rFonts w:cs="Arial"/>
                          <w:lang w:val="fr-FR"/>
                        </w:rPr>
                        <w:t>Résumé :</w:t>
                      </w:r>
                    </w:p>
                    <w:p w14:paraId="3399EFB2" w14:textId="77777777" w:rsidR="00661875" w:rsidRPr="00E22BA0" w:rsidRDefault="00661875" w:rsidP="00E22BA0">
                      <w:pPr>
                        <w:spacing w:after="0" w:line="240" w:lineRule="auto"/>
                        <w:jc w:val="both"/>
                        <w:rPr>
                          <w:rFonts w:cs="Arial"/>
                          <w:lang w:val="fr-FR"/>
                        </w:rPr>
                      </w:pPr>
                    </w:p>
                    <w:p w14:paraId="0A7AC1E9" w14:textId="0E0FB4AA" w:rsidR="009C1079" w:rsidRDefault="0004511A" w:rsidP="00E22BA0">
                      <w:pPr>
                        <w:spacing w:after="0" w:line="240" w:lineRule="auto"/>
                        <w:jc w:val="both"/>
                        <w:rPr>
                          <w:rFonts w:cs="Arial"/>
                          <w:lang w:val="fr-FR"/>
                        </w:rPr>
                      </w:pPr>
                      <w:r w:rsidRPr="00E22BA0">
                        <w:rPr>
                          <w:rFonts w:cs="Arial"/>
                          <w:lang w:val="fr-FR"/>
                        </w:rPr>
                        <w:t xml:space="preserve">Ce document rend compte des progrès réalisés dans la mise en œuvre de la Résolution 10.11 (Rev.COP13) </w:t>
                      </w:r>
                      <w:r w:rsidRPr="00E22BA0">
                        <w:rPr>
                          <w:rFonts w:cs="Arial"/>
                          <w:i/>
                          <w:iCs/>
                          <w:lang w:val="fr-FR"/>
                        </w:rPr>
                        <w:t>Lignes électriques et Oiseaux migrateurs</w:t>
                      </w:r>
                      <w:r w:rsidRPr="00E22BA0">
                        <w:rPr>
                          <w:rFonts w:cs="Arial"/>
                          <w:lang w:val="fr-FR"/>
                        </w:rPr>
                        <w:t xml:space="preserve">, de la Résolution 11.27 (Rev.COP13) </w:t>
                      </w:r>
                      <w:r w:rsidRPr="00E22BA0">
                        <w:rPr>
                          <w:rFonts w:cs="Arial"/>
                          <w:i/>
                          <w:iCs/>
                          <w:lang w:val="fr-FR"/>
                        </w:rPr>
                        <w:t>Énergies renouvelables et Espèces migratrices</w:t>
                      </w:r>
                      <w:r w:rsidRPr="00E22BA0">
                        <w:rPr>
                          <w:rFonts w:cs="Arial"/>
                          <w:lang w:val="fr-FR"/>
                        </w:rPr>
                        <w:t xml:space="preserve"> et Décisions 13.106-13.108. Il comprend des propositions d</w:t>
                      </w:r>
                      <w:r>
                        <w:rPr>
                          <w:rFonts w:cs="Arial"/>
                          <w:lang w:val="fr-FR"/>
                        </w:rPr>
                        <w:t>e projets de décision.</w:t>
                      </w:r>
                    </w:p>
                  </w:txbxContent>
                </v:textbox>
              </v:shape>
            </w:pict>
          </mc:Fallback>
        </mc:AlternateContent>
      </w:r>
    </w:p>
    <w:p w14:paraId="320AAD7B"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5EAE13C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573ADB04"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07F11B19"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47A93E1C"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42C0A29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7329922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1CD9D211"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6B5CAA9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5D0A646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72BBEC09"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2E5AFCD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73A1DF5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24016798"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64EFF02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63DE1D3A"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5B14385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31C1A477" w14:textId="77777777" w:rsidR="002E0DE9" w:rsidRPr="002E0DE9" w:rsidRDefault="002E0DE9" w:rsidP="00EC4F04">
      <w:pPr>
        <w:widowControl w:val="0"/>
        <w:tabs>
          <w:tab w:val="left" w:pos="7245"/>
        </w:tabs>
        <w:suppressAutoHyphens/>
        <w:autoSpaceDE w:val="0"/>
        <w:autoSpaceDN w:val="0"/>
        <w:spacing w:after="0" w:line="240" w:lineRule="auto"/>
        <w:textAlignment w:val="baseline"/>
        <w:rPr>
          <w:rFonts w:eastAsia="Times New Roman" w:cs="Arial"/>
          <w:sz w:val="21"/>
          <w:szCs w:val="21"/>
          <w:lang w:val="fr-FR"/>
        </w:rPr>
      </w:pPr>
    </w:p>
    <w:p w14:paraId="6CCF3AAD"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lang w:val="fr-FR"/>
        </w:rPr>
      </w:pPr>
    </w:p>
    <w:p w14:paraId="650AE9B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lang w:val="fr-FR"/>
        </w:rPr>
      </w:pPr>
    </w:p>
    <w:p w14:paraId="6EB42C66" w14:textId="77777777" w:rsidR="005330F7" w:rsidRDefault="005330F7" w:rsidP="00EC4F04">
      <w:pPr>
        <w:spacing w:after="0" w:line="240" w:lineRule="auto"/>
        <w:rPr>
          <w:lang w:val="fr-FR"/>
        </w:rPr>
      </w:pPr>
    </w:p>
    <w:p w14:paraId="111843FD" w14:textId="77777777" w:rsidR="002E0DE9" w:rsidRDefault="002E0DE9" w:rsidP="00EC4F04">
      <w:pPr>
        <w:spacing w:after="0" w:line="240" w:lineRule="auto"/>
        <w:rPr>
          <w:lang w:val="fr-FR"/>
        </w:rPr>
      </w:pPr>
    </w:p>
    <w:p w14:paraId="6AF4E8FF" w14:textId="77777777" w:rsidR="002E0DE9" w:rsidRDefault="002E0DE9" w:rsidP="00EC4F04">
      <w:pPr>
        <w:spacing w:after="0" w:line="240" w:lineRule="auto"/>
        <w:rPr>
          <w:lang w:val="fr-FR"/>
        </w:rPr>
      </w:pPr>
    </w:p>
    <w:p w14:paraId="509B5F4B" w14:textId="77777777" w:rsidR="002E0DE9" w:rsidRDefault="002E0DE9" w:rsidP="00EC4F04">
      <w:pPr>
        <w:spacing w:after="0" w:line="240" w:lineRule="auto"/>
        <w:rPr>
          <w:lang w:val="fr-FR"/>
        </w:rPr>
      </w:pPr>
    </w:p>
    <w:p w14:paraId="73A3A65F" w14:textId="77777777" w:rsidR="00661875" w:rsidRDefault="00661875" w:rsidP="00EC4F04">
      <w:pPr>
        <w:spacing w:after="0" w:line="240" w:lineRule="auto"/>
        <w:rPr>
          <w:lang w:val="fr-FR"/>
        </w:rPr>
        <w:sectPr w:rsidR="00661875" w:rsidSect="00200C3D">
          <w:headerReference w:type="even" r:id="rId12"/>
          <w:headerReference w:type="default" r:id="rId13"/>
          <w:footerReference w:type="even" r:id="rId14"/>
          <w:footerReference w:type="default" r:id="rId15"/>
          <w:headerReference w:type="first" r:id="rId16"/>
          <w:pgSz w:w="11906" w:h="16838" w:code="9"/>
          <w:pgMar w:top="1440" w:right="1440" w:bottom="1440" w:left="1440" w:header="720" w:footer="720" w:gutter="0"/>
          <w:pgNumType w:start="2"/>
          <w:cols w:space="720"/>
          <w:titlePg/>
          <w:docGrid w:linePitch="360"/>
        </w:sectPr>
      </w:pPr>
    </w:p>
    <w:p w14:paraId="68327A74" w14:textId="77777777" w:rsidR="00DD3E44" w:rsidRDefault="00DD3E44" w:rsidP="0066187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eastAsia="Times New Roman" w:cs="Arial"/>
          <w:b/>
          <w:caps/>
          <w:lang w:val="fr-FR"/>
        </w:rPr>
      </w:pPr>
    </w:p>
    <w:p w14:paraId="73909C5D" w14:textId="2CB26A8D" w:rsidR="002E0DE9" w:rsidRPr="002E0DE9" w:rsidRDefault="00F73DE9" w:rsidP="004B7071">
      <w:pPr>
        <w:pStyle w:val="Title1"/>
        <w:rPr>
          <w:lang w:val="fr-FR"/>
        </w:rPr>
      </w:pPr>
      <w:r>
        <w:rPr>
          <w:lang w:val="fr-FR"/>
        </w:rPr>
        <w:t>Énergies renouvelables et espèces migratrices</w:t>
      </w:r>
    </w:p>
    <w:p w14:paraId="0DCB8F07" w14:textId="77777777" w:rsidR="002E0DE9" w:rsidRDefault="002E0DE9" w:rsidP="00EC4F04">
      <w:pPr>
        <w:suppressAutoHyphens/>
        <w:autoSpaceDN w:val="0"/>
        <w:spacing w:after="0" w:line="240" w:lineRule="auto"/>
        <w:textAlignment w:val="baseline"/>
        <w:rPr>
          <w:rFonts w:eastAsia="Calibri" w:cs="Arial"/>
          <w:lang w:val="fr-FR"/>
        </w:rPr>
      </w:pPr>
    </w:p>
    <w:p w14:paraId="4A0F002D" w14:textId="77777777" w:rsidR="00661875" w:rsidRPr="002E0DE9" w:rsidRDefault="00661875" w:rsidP="00EC4F04">
      <w:pPr>
        <w:suppressAutoHyphens/>
        <w:autoSpaceDN w:val="0"/>
        <w:spacing w:after="0" w:line="240" w:lineRule="auto"/>
        <w:textAlignment w:val="baseline"/>
        <w:rPr>
          <w:rFonts w:eastAsia="Calibri" w:cs="Arial"/>
          <w:lang w:val="fr-FR"/>
        </w:rPr>
      </w:pPr>
    </w:p>
    <w:p w14:paraId="3C86903F" w14:textId="77777777" w:rsidR="002E0DE9" w:rsidRPr="0093715E" w:rsidRDefault="002E0DE9" w:rsidP="00EC4F04">
      <w:pPr>
        <w:suppressAutoHyphens/>
        <w:autoSpaceDN w:val="0"/>
        <w:spacing w:after="0" w:line="240" w:lineRule="auto"/>
        <w:textAlignment w:val="baseline"/>
        <w:rPr>
          <w:rFonts w:eastAsia="Calibri" w:cs="Arial"/>
          <w:sz w:val="21"/>
          <w:szCs w:val="21"/>
          <w:u w:val="single"/>
          <w:lang w:val="fr-FR"/>
        </w:rPr>
      </w:pPr>
      <w:r>
        <w:rPr>
          <w:rFonts w:eastAsia="Calibri" w:cs="Arial"/>
          <w:sz w:val="21"/>
          <w:szCs w:val="21"/>
          <w:u w:val="single"/>
          <w:lang w:val="fr-FR"/>
        </w:rPr>
        <w:t>Contexte général</w:t>
      </w:r>
    </w:p>
    <w:p w14:paraId="115888D2" w14:textId="77777777" w:rsidR="002E0DE9" w:rsidRPr="008D0CF8" w:rsidRDefault="002E0DE9" w:rsidP="00EC4F04">
      <w:pPr>
        <w:spacing w:after="0" w:line="240" w:lineRule="auto"/>
        <w:rPr>
          <w:rFonts w:cs="Arial"/>
          <w:sz w:val="20"/>
          <w:szCs w:val="20"/>
          <w:lang w:val="fr-FR"/>
        </w:rPr>
      </w:pPr>
    </w:p>
    <w:p w14:paraId="279C5CFB" w14:textId="02CC3D75" w:rsidR="002F0686" w:rsidRDefault="002F0686" w:rsidP="00343F27">
      <w:pPr>
        <w:pStyle w:val="ListParagraph"/>
        <w:numPr>
          <w:ilvl w:val="0"/>
          <w:numId w:val="6"/>
        </w:numPr>
        <w:spacing w:after="0" w:line="240" w:lineRule="auto"/>
        <w:ind w:left="540" w:hanging="540"/>
        <w:contextualSpacing w:val="0"/>
        <w:jc w:val="both"/>
        <w:rPr>
          <w:lang w:val="fr-FR"/>
        </w:rPr>
      </w:pPr>
      <w:r>
        <w:rPr>
          <w:lang w:val="fr-FR"/>
        </w:rPr>
        <w:t>Les énergies renouvelables sont un élément essentiel de la lutte contre le changement climatique – l’une des plus grandes menaces pour les humains et la biodiversité. Afin de répondre à la demande énergétique mondiale, qui devrait augmenter de 30 % d'ici 2040, tout en atteignant les objectifs de l’Accord de Paris visant à maintenir l’augmentation de la température mondiale bien en dessous de 2˚C, de préférence à 1,5</w:t>
      </w:r>
      <w:bookmarkStart w:id="0" w:name="_Hlk138682377"/>
      <w:r>
        <w:rPr>
          <w:lang w:val="fr-FR"/>
        </w:rPr>
        <w:t>˚C</w:t>
      </w:r>
      <w:bookmarkEnd w:id="0"/>
      <w:r>
        <w:rPr>
          <w:lang w:val="fr-FR"/>
        </w:rPr>
        <w:t>, il est urgent d'opérer une transition urgente vers des économies à faible émission de carbone. Cependant, les infrastructures d’énergie renouvelable peuvent avoir des effets extrêmement négatifs sur les espèces et les écosystèmes si elles sont implantées dans des zones sensibles pour la faune et à la flore</w:t>
      </w:r>
    </w:p>
    <w:p w14:paraId="6B101AE6" w14:textId="77777777" w:rsidR="002D6506" w:rsidRPr="00BC53DD" w:rsidRDefault="002D6506" w:rsidP="00BC53DD">
      <w:pPr>
        <w:pStyle w:val="ListParagraph"/>
        <w:spacing w:after="0" w:line="240" w:lineRule="auto"/>
        <w:ind w:left="540"/>
        <w:jc w:val="both"/>
        <w:rPr>
          <w:lang w:val="fr-FR"/>
        </w:rPr>
      </w:pPr>
    </w:p>
    <w:p w14:paraId="6880DF97" w14:textId="4CD77E8E" w:rsidR="00B54557" w:rsidRPr="00BC53DD" w:rsidRDefault="00566A6A" w:rsidP="00343F27">
      <w:pPr>
        <w:pStyle w:val="ListParagraph"/>
        <w:numPr>
          <w:ilvl w:val="0"/>
          <w:numId w:val="6"/>
        </w:numPr>
        <w:spacing w:after="0" w:line="240" w:lineRule="auto"/>
        <w:ind w:left="540" w:hanging="540"/>
        <w:jc w:val="both"/>
        <w:rPr>
          <w:lang w:val="fr-FR"/>
        </w:rPr>
      </w:pPr>
      <w:r>
        <w:rPr>
          <w:lang w:val="fr-FR"/>
        </w:rPr>
        <w:t xml:space="preserve">La Conférence des Parties (COP) a abordé la question de l’énergie et des espèces migratrices dans diverses résolutions et décisions. Résolution 7.05 (Rev.COP12) </w:t>
      </w:r>
      <w:r>
        <w:rPr>
          <w:i/>
          <w:iCs/>
          <w:lang w:val="fr-FR"/>
        </w:rPr>
        <w:t>Les éoliennes et les espèces migratrices</w:t>
      </w:r>
      <w:r>
        <w:rPr>
          <w:lang w:val="fr-FR"/>
        </w:rPr>
        <w:t xml:space="preserve"> et la Résolution 7.04 </w:t>
      </w:r>
      <w:r>
        <w:rPr>
          <w:i/>
          <w:iCs/>
          <w:lang w:val="fr-FR"/>
        </w:rPr>
        <w:t xml:space="preserve">Électrocution des oiseaux migrateurs </w:t>
      </w:r>
      <w:r>
        <w:rPr>
          <w:lang w:val="fr-FR"/>
        </w:rPr>
        <w:t xml:space="preserve">chargent le Secrétariat de compiler des informations sur la collision et l’électrocution des oiseaux migrateurs. La Résolution 10.11 (Rev.COP13) </w:t>
      </w:r>
      <w:r>
        <w:rPr>
          <w:i/>
          <w:iCs/>
          <w:lang w:val="fr-FR"/>
        </w:rPr>
        <w:t>Lignes électriques et oiseaux migrateurs</w:t>
      </w:r>
      <w:r>
        <w:rPr>
          <w:lang w:val="fr-FR"/>
        </w:rPr>
        <w:t xml:space="preserve"> charge également le Secrétariat de mettre à jour les informations disponibles sur les atténuations de ces menaces pour les oiseaux migrateurs. Ces demandes ont ensuite été traitées plus en détail par la Résolution 11.27 (Rev.COP13) de la CMS </w:t>
      </w:r>
      <w:r>
        <w:rPr>
          <w:i/>
          <w:iCs/>
          <w:lang w:val="fr-FR"/>
        </w:rPr>
        <w:t>Énergies renouvelables et espèces migratrices</w:t>
      </w:r>
      <w:r>
        <w:rPr>
          <w:lang w:val="fr-FR"/>
        </w:rPr>
        <w:t>.</w:t>
      </w:r>
    </w:p>
    <w:p w14:paraId="32B4FA6C" w14:textId="77777777" w:rsidR="005E7DB0" w:rsidRPr="00BC53DD" w:rsidRDefault="005E7DB0" w:rsidP="00BC53DD">
      <w:pPr>
        <w:pStyle w:val="ListParagraph"/>
        <w:spacing w:after="0" w:line="240" w:lineRule="auto"/>
        <w:ind w:left="540"/>
        <w:jc w:val="both"/>
        <w:rPr>
          <w:lang w:val="fr-FR"/>
        </w:rPr>
      </w:pPr>
    </w:p>
    <w:p w14:paraId="02171B21" w14:textId="2B30E64A" w:rsidR="00D27D9E" w:rsidRPr="00193B93" w:rsidRDefault="000C7326" w:rsidP="00A03770">
      <w:pPr>
        <w:pStyle w:val="ListParagraph"/>
        <w:numPr>
          <w:ilvl w:val="0"/>
          <w:numId w:val="6"/>
        </w:numPr>
        <w:spacing w:after="0" w:line="240" w:lineRule="auto"/>
        <w:ind w:left="540" w:hanging="540"/>
        <w:jc w:val="both"/>
        <w:rPr>
          <w:lang w:val="fr-FR"/>
        </w:rPr>
      </w:pPr>
      <w:r>
        <w:rPr>
          <w:lang w:val="fr-FR"/>
        </w:rPr>
        <w:t xml:space="preserve">La Résolution 11.27 (Rev.COP13) approuve les </w:t>
      </w:r>
      <w:r>
        <w:rPr>
          <w:i/>
          <w:iCs/>
          <w:lang w:val="fr-FR"/>
        </w:rPr>
        <w:t>Lignes directrices pour un déploiement durable</w:t>
      </w:r>
      <w:r>
        <w:rPr>
          <w:lang w:val="fr-FR"/>
        </w:rPr>
        <w:t xml:space="preserve"> (</w:t>
      </w:r>
      <w:hyperlink r:id="rId17" w:history="1">
        <w:r>
          <w:rPr>
            <w:rStyle w:val="Hyperlink"/>
            <w:lang w:val="fr-FR"/>
          </w:rPr>
          <w:t>UNEP/CMS/COP11/Doc.23.4.3.22</w:t>
        </w:r>
      </w:hyperlink>
      <w:r>
        <w:rPr>
          <w:lang w:val="fr-FR"/>
        </w:rPr>
        <w:t xml:space="preserve">) et charge le Secrétariat de convoquer un groupe d’étude multipartite sur la conciliation des développements sélectionnés du secteur de l’énergie avec la conservation des espèces migratrices (le </w:t>
      </w:r>
      <w:hyperlink r:id="rId18" w:history="1">
        <w:r>
          <w:rPr>
            <w:rStyle w:val="Hyperlink"/>
            <w:lang w:val="fr-FR"/>
          </w:rPr>
          <w:t>Groupe d’étude de l’énergie, ETF</w:t>
        </w:r>
      </w:hyperlink>
      <w:r>
        <w:rPr>
          <w:lang w:val="fr-FR"/>
        </w:rPr>
        <w:t xml:space="preserve">). </w:t>
      </w:r>
    </w:p>
    <w:p w14:paraId="63AA9A9E" w14:textId="77777777" w:rsidR="009979CB" w:rsidRPr="001104F5" w:rsidRDefault="009979CB" w:rsidP="009979CB">
      <w:pPr>
        <w:pStyle w:val="ListParagraph"/>
        <w:spacing w:after="0" w:line="240" w:lineRule="auto"/>
        <w:ind w:left="540"/>
        <w:jc w:val="both"/>
        <w:rPr>
          <w:i/>
          <w:iCs/>
          <w:sz w:val="20"/>
          <w:szCs w:val="20"/>
          <w:lang w:val="fr-FR"/>
        </w:rPr>
      </w:pPr>
    </w:p>
    <w:p w14:paraId="50136AF3" w14:textId="4A543A83" w:rsidR="00D27D9E" w:rsidRPr="00CB240A" w:rsidRDefault="009979CB" w:rsidP="00A03770">
      <w:pPr>
        <w:pStyle w:val="ListParagraph"/>
        <w:numPr>
          <w:ilvl w:val="0"/>
          <w:numId w:val="6"/>
        </w:numPr>
        <w:spacing w:after="0" w:line="240" w:lineRule="auto"/>
        <w:ind w:left="540" w:hanging="540"/>
        <w:jc w:val="both"/>
        <w:rPr>
          <w:lang w:val="fr-FR"/>
        </w:rPr>
      </w:pPr>
      <w:r>
        <w:rPr>
          <w:lang w:val="fr-FR"/>
        </w:rPr>
        <w:t xml:space="preserve">La COP13 a également adopté </w:t>
      </w:r>
      <w:hyperlink r:id="rId19" w:history="1">
        <w:r>
          <w:rPr>
            <w:rStyle w:val="Hyperlink"/>
            <w:lang w:val="fr-FR"/>
          </w:rPr>
          <w:t>les Décisions 13.106-13.108</w:t>
        </w:r>
      </w:hyperlink>
      <w:r>
        <w:rPr>
          <w:lang w:val="fr-FR"/>
        </w:rPr>
        <w:t xml:space="preserve"> </w:t>
      </w:r>
      <w:r>
        <w:rPr>
          <w:i/>
          <w:iCs/>
          <w:lang w:val="fr-FR"/>
        </w:rPr>
        <w:t xml:space="preserve">Soutien au Groupe d’étude de l’énergie, </w:t>
      </w:r>
      <w:r>
        <w:rPr>
          <w:lang w:val="fr-FR"/>
        </w:rPr>
        <w:t>dont la teneur suit</w:t>
      </w:r>
      <w:r>
        <w:rPr>
          <w:i/>
          <w:iCs/>
          <w:lang w:val="fr-FR"/>
        </w:rPr>
        <w:t xml:space="preserve"> : </w:t>
      </w:r>
    </w:p>
    <w:p w14:paraId="3D1A92E3" w14:textId="77777777" w:rsidR="00CB240A" w:rsidRPr="00E90590" w:rsidRDefault="00CB240A" w:rsidP="00E22BA0">
      <w:pPr>
        <w:pStyle w:val="ListParagraph"/>
        <w:spacing w:after="0" w:line="240" w:lineRule="auto"/>
        <w:ind w:left="851"/>
        <w:jc w:val="both"/>
        <w:rPr>
          <w:lang w:val="fr-FR"/>
        </w:rPr>
      </w:pPr>
    </w:p>
    <w:p w14:paraId="3AE2089D" w14:textId="5A8ECB19" w:rsidR="006B346B" w:rsidRPr="00E22BA0" w:rsidRDefault="00ED604E" w:rsidP="00E22BA0">
      <w:pPr>
        <w:spacing w:after="0" w:line="240" w:lineRule="auto"/>
        <w:ind w:left="851"/>
        <w:rPr>
          <w:b/>
          <w:bCs/>
          <w:i/>
          <w:iCs/>
          <w:sz w:val="20"/>
          <w:szCs w:val="20"/>
          <w:lang w:val="fr-FR"/>
        </w:rPr>
      </w:pPr>
      <w:r w:rsidRPr="00E22BA0">
        <w:rPr>
          <w:b/>
          <w:bCs/>
          <w:i/>
          <w:iCs/>
          <w:sz w:val="20"/>
          <w:szCs w:val="20"/>
          <w:lang w:val="fr-FR"/>
        </w:rPr>
        <w:t xml:space="preserve">13.106 </w:t>
      </w:r>
      <w:r w:rsidR="00E22BA0">
        <w:rPr>
          <w:b/>
          <w:bCs/>
          <w:i/>
          <w:iCs/>
          <w:sz w:val="20"/>
          <w:szCs w:val="20"/>
          <w:lang w:val="fr-FR"/>
        </w:rPr>
        <w:t>A</w:t>
      </w:r>
      <w:r w:rsidR="00E22BA0" w:rsidRPr="00E22BA0">
        <w:rPr>
          <w:b/>
          <w:bCs/>
          <w:i/>
          <w:iCs/>
          <w:sz w:val="20"/>
          <w:szCs w:val="20"/>
          <w:lang w:val="fr-FR"/>
        </w:rPr>
        <w:t xml:space="preserve">dressée aux </w:t>
      </w:r>
      <w:r w:rsidRPr="00E22BA0">
        <w:rPr>
          <w:b/>
          <w:bCs/>
          <w:i/>
          <w:iCs/>
          <w:sz w:val="20"/>
          <w:szCs w:val="20"/>
          <w:lang w:val="fr-FR"/>
        </w:rPr>
        <w:t xml:space="preserve">Parties, </w:t>
      </w:r>
      <w:proofErr w:type="spellStart"/>
      <w:r w:rsidRPr="00E22BA0">
        <w:rPr>
          <w:b/>
          <w:bCs/>
          <w:i/>
          <w:iCs/>
          <w:sz w:val="20"/>
          <w:szCs w:val="20"/>
          <w:lang w:val="fr-FR"/>
        </w:rPr>
        <w:t>O</w:t>
      </w:r>
      <w:r w:rsidR="00E22BA0" w:rsidRPr="00E22BA0">
        <w:rPr>
          <w:b/>
          <w:bCs/>
          <w:i/>
          <w:iCs/>
          <w:sz w:val="20"/>
          <w:szCs w:val="20"/>
          <w:lang w:val="fr-FR"/>
        </w:rPr>
        <w:t>IG</w:t>
      </w:r>
      <w:r w:rsidRPr="00E22BA0">
        <w:rPr>
          <w:b/>
          <w:bCs/>
          <w:i/>
          <w:iCs/>
          <w:sz w:val="20"/>
          <w:szCs w:val="20"/>
          <w:lang w:val="fr-FR"/>
        </w:rPr>
        <w:t>s</w:t>
      </w:r>
      <w:proofErr w:type="spellEnd"/>
      <w:r w:rsidRPr="00E22BA0">
        <w:rPr>
          <w:b/>
          <w:bCs/>
          <w:i/>
          <w:iCs/>
          <w:sz w:val="20"/>
          <w:szCs w:val="20"/>
          <w:lang w:val="fr-FR"/>
        </w:rPr>
        <w:t xml:space="preserve"> &amp; </w:t>
      </w:r>
      <w:proofErr w:type="spellStart"/>
      <w:r w:rsidRPr="00E22BA0">
        <w:rPr>
          <w:b/>
          <w:bCs/>
          <w:i/>
          <w:iCs/>
          <w:sz w:val="20"/>
          <w:szCs w:val="20"/>
          <w:lang w:val="fr-FR"/>
        </w:rPr>
        <w:t>O</w:t>
      </w:r>
      <w:r w:rsidR="00E22BA0" w:rsidRPr="00E22BA0">
        <w:rPr>
          <w:b/>
          <w:bCs/>
          <w:i/>
          <w:iCs/>
          <w:sz w:val="20"/>
          <w:szCs w:val="20"/>
          <w:lang w:val="fr-FR"/>
        </w:rPr>
        <w:t>NG</w:t>
      </w:r>
      <w:r w:rsidRPr="00E22BA0">
        <w:rPr>
          <w:b/>
          <w:bCs/>
          <w:i/>
          <w:iCs/>
          <w:sz w:val="20"/>
          <w:szCs w:val="20"/>
          <w:lang w:val="fr-FR"/>
        </w:rPr>
        <w:t>s</w:t>
      </w:r>
      <w:proofErr w:type="spellEnd"/>
      <w:r w:rsidRPr="00E22BA0">
        <w:rPr>
          <w:b/>
          <w:bCs/>
          <w:i/>
          <w:iCs/>
          <w:sz w:val="20"/>
          <w:szCs w:val="20"/>
          <w:lang w:val="fr-FR"/>
        </w:rPr>
        <w:t xml:space="preserve">, </w:t>
      </w:r>
      <w:r w:rsidR="00E22BA0" w:rsidRPr="00E22BA0">
        <w:rPr>
          <w:b/>
          <w:bCs/>
          <w:i/>
          <w:iCs/>
          <w:sz w:val="20"/>
          <w:szCs w:val="20"/>
          <w:lang w:val="fr-FR"/>
        </w:rPr>
        <w:t>Autres</w:t>
      </w:r>
    </w:p>
    <w:p w14:paraId="1C4F0CEA" w14:textId="77777777" w:rsidR="00E22BA0" w:rsidRPr="00E22BA0" w:rsidRDefault="00E22BA0" w:rsidP="00E22BA0">
      <w:pPr>
        <w:spacing w:after="0" w:line="240" w:lineRule="auto"/>
        <w:ind w:left="851"/>
        <w:rPr>
          <w:rFonts w:cs="Arial"/>
          <w:i/>
          <w:iCs/>
          <w:sz w:val="20"/>
          <w:szCs w:val="20"/>
          <w:highlight w:val="yellow"/>
          <w:lang w:val="fr-FR"/>
        </w:rPr>
      </w:pPr>
    </w:p>
    <w:p w14:paraId="311E4688" w14:textId="7CDDE544" w:rsidR="00B70C80" w:rsidRDefault="00E22BA0" w:rsidP="00E22BA0">
      <w:pPr>
        <w:spacing w:after="0" w:line="240" w:lineRule="auto"/>
        <w:ind w:left="851"/>
        <w:jc w:val="both"/>
        <w:rPr>
          <w:rFonts w:cs="Arial"/>
          <w:i/>
          <w:iCs/>
          <w:sz w:val="20"/>
          <w:szCs w:val="20"/>
          <w:lang w:val="fr-FR"/>
        </w:rPr>
      </w:pPr>
      <w:r w:rsidRPr="00E22BA0">
        <w:rPr>
          <w:rFonts w:cs="Arial"/>
          <w:i/>
          <w:iCs/>
          <w:sz w:val="20"/>
          <w:szCs w:val="20"/>
          <w:lang w:val="fr-FR"/>
        </w:rPr>
        <w:t>Les Parties, y compris leurs représentants des ministères et des autorités de l’environnement et de l’énergie, des organisations intergouvernementales et non gouvernementales et d’autres parties prenantes du secteur de l’énergie sont encouragées à contribuer à la mise en œuvre du plan de travail du Groupe de travail sur l’énergie, notamment en fournissant une assistance financière et technique pour soutenir les activités en cours du Groupe de travail sur l’énergie.</w:t>
      </w:r>
    </w:p>
    <w:p w14:paraId="1C8FA13D" w14:textId="77777777" w:rsidR="00E22BA0" w:rsidRPr="00E22BA0" w:rsidRDefault="00E22BA0" w:rsidP="00E22BA0">
      <w:pPr>
        <w:spacing w:after="0" w:line="240" w:lineRule="auto"/>
        <w:ind w:left="851"/>
        <w:jc w:val="both"/>
        <w:rPr>
          <w:rFonts w:cs="Arial"/>
          <w:i/>
          <w:iCs/>
          <w:sz w:val="20"/>
          <w:szCs w:val="20"/>
          <w:highlight w:val="yellow"/>
          <w:lang w:val="fr-FR"/>
        </w:rPr>
      </w:pPr>
    </w:p>
    <w:p w14:paraId="78092C5C" w14:textId="77777777" w:rsidR="00E22BA0" w:rsidRDefault="006B346B" w:rsidP="00E22BA0">
      <w:pPr>
        <w:spacing w:after="0" w:line="240" w:lineRule="auto"/>
        <w:ind w:left="851"/>
        <w:rPr>
          <w:b/>
          <w:bCs/>
          <w:i/>
          <w:iCs/>
          <w:sz w:val="20"/>
          <w:szCs w:val="20"/>
          <w:lang w:val="fr-FR"/>
        </w:rPr>
      </w:pPr>
      <w:bookmarkStart w:id="1" w:name="13.107"/>
      <w:bookmarkEnd w:id="1"/>
      <w:r w:rsidRPr="00E22BA0">
        <w:rPr>
          <w:b/>
          <w:bCs/>
          <w:i/>
          <w:iCs/>
          <w:sz w:val="20"/>
          <w:szCs w:val="20"/>
          <w:lang w:val="fr-FR"/>
        </w:rPr>
        <w:t xml:space="preserve">13.107 </w:t>
      </w:r>
      <w:r w:rsidR="00E22BA0" w:rsidRPr="00E22BA0">
        <w:rPr>
          <w:b/>
          <w:bCs/>
          <w:i/>
          <w:iCs/>
          <w:sz w:val="20"/>
          <w:szCs w:val="20"/>
          <w:lang w:val="fr-FR"/>
        </w:rPr>
        <w:t>Adressée au Conseil Scientifique, Groupes de travail</w:t>
      </w:r>
    </w:p>
    <w:p w14:paraId="457C876C" w14:textId="77777777" w:rsidR="00E22BA0" w:rsidRDefault="00E22BA0" w:rsidP="00E22BA0">
      <w:pPr>
        <w:spacing w:after="0" w:line="240" w:lineRule="auto"/>
        <w:ind w:left="851"/>
        <w:rPr>
          <w:b/>
          <w:bCs/>
          <w:i/>
          <w:iCs/>
          <w:sz w:val="20"/>
          <w:szCs w:val="20"/>
          <w:lang w:val="fr-FR"/>
        </w:rPr>
      </w:pPr>
    </w:p>
    <w:p w14:paraId="136B712C" w14:textId="18F81144" w:rsidR="0067652A" w:rsidRDefault="00E22BA0" w:rsidP="00E22BA0">
      <w:pPr>
        <w:spacing w:after="0" w:line="240" w:lineRule="auto"/>
        <w:ind w:left="851"/>
        <w:rPr>
          <w:rFonts w:cs="Arial"/>
          <w:i/>
          <w:iCs/>
          <w:sz w:val="20"/>
          <w:szCs w:val="20"/>
          <w:lang w:val="fr-FR"/>
        </w:rPr>
      </w:pPr>
      <w:r w:rsidRPr="00E22BA0">
        <w:rPr>
          <w:rFonts w:cs="Arial"/>
          <w:i/>
          <w:iCs/>
          <w:sz w:val="20"/>
          <w:szCs w:val="20"/>
          <w:lang w:val="fr-FR"/>
        </w:rPr>
        <w:t>Le Groupe de travail sur l’énergie, avec la contribution du Conseil scientifique, s’il y a lieu, et sous réserve des ressources disponibles, est prié de</w:t>
      </w:r>
      <w:r w:rsidR="006B346B" w:rsidRPr="00E22BA0">
        <w:rPr>
          <w:rFonts w:cs="Arial"/>
          <w:i/>
          <w:iCs/>
          <w:sz w:val="20"/>
          <w:szCs w:val="20"/>
          <w:lang w:val="fr-FR"/>
        </w:rPr>
        <w:t xml:space="preserve">: </w:t>
      </w:r>
    </w:p>
    <w:p w14:paraId="490D06AC" w14:textId="77777777" w:rsidR="00E22BA0" w:rsidRPr="00E22BA0" w:rsidRDefault="00E22BA0" w:rsidP="00E22BA0">
      <w:pPr>
        <w:spacing w:after="0" w:line="240" w:lineRule="auto"/>
        <w:ind w:left="851"/>
        <w:rPr>
          <w:rFonts w:cs="Arial"/>
          <w:i/>
          <w:iCs/>
          <w:sz w:val="20"/>
          <w:szCs w:val="20"/>
          <w:lang w:val="fr-FR"/>
        </w:rPr>
      </w:pPr>
    </w:p>
    <w:p w14:paraId="123B9603" w14:textId="77777777" w:rsidR="00E22BA0" w:rsidRPr="00E22BA0" w:rsidRDefault="00E22BA0" w:rsidP="00E22BA0">
      <w:pPr>
        <w:spacing w:after="0" w:line="240" w:lineRule="auto"/>
        <w:ind w:left="1134" w:hanging="283"/>
        <w:jc w:val="both"/>
        <w:rPr>
          <w:rFonts w:cs="Arial"/>
          <w:i/>
          <w:iCs/>
          <w:sz w:val="20"/>
          <w:szCs w:val="20"/>
          <w:lang w:val="fr-FR"/>
        </w:rPr>
      </w:pPr>
      <w:r w:rsidRPr="00E22BA0">
        <w:rPr>
          <w:rFonts w:cs="Arial"/>
          <w:i/>
          <w:iCs/>
          <w:sz w:val="20"/>
          <w:szCs w:val="20"/>
          <w:lang w:val="fr-FR"/>
        </w:rPr>
        <w:t>a) étudier les meilleures pratiques pour normaliser les méthodologies de planification, de gestion et de surveillance des infrastructures d’énergies renouvelables et leur impact sur la biodiversité, ainsi que les mesures d’atténuation efficaces fondées sur des preuves et les méthodes d’évaluation cumulative ;</w:t>
      </w:r>
    </w:p>
    <w:p w14:paraId="12F6B5CD" w14:textId="77777777" w:rsidR="00E22BA0" w:rsidRPr="00E22BA0" w:rsidRDefault="00E22BA0" w:rsidP="00E22BA0">
      <w:pPr>
        <w:spacing w:after="0" w:line="240" w:lineRule="auto"/>
        <w:ind w:left="1134" w:hanging="283"/>
        <w:jc w:val="both"/>
        <w:rPr>
          <w:rFonts w:cs="Arial"/>
          <w:i/>
          <w:iCs/>
          <w:sz w:val="20"/>
          <w:szCs w:val="20"/>
          <w:lang w:val="fr-FR"/>
        </w:rPr>
      </w:pPr>
    </w:p>
    <w:p w14:paraId="1DA9429B" w14:textId="77777777" w:rsidR="00E22BA0" w:rsidRPr="00E22BA0" w:rsidRDefault="00E22BA0" w:rsidP="00E22BA0">
      <w:pPr>
        <w:spacing w:after="0" w:line="240" w:lineRule="auto"/>
        <w:ind w:left="1134" w:hanging="283"/>
        <w:jc w:val="both"/>
        <w:rPr>
          <w:rFonts w:cs="Arial"/>
          <w:i/>
          <w:iCs/>
          <w:sz w:val="20"/>
          <w:szCs w:val="20"/>
          <w:lang w:val="fr-FR"/>
        </w:rPr>
      </w:pPr>
      <w:r w:rsidRPr="00E22BA0">
        <w:rPr>
          <w:rFonts w:cs="Arial"/>
          <w:i/>
          <w:iCs/>
          <w:sz w:val="20"/>
          <w:szCs w:val="20"/>
          <w:lang w:val="fr-FR"/>
        </w:rPr>
        <w:t xml:space="preserve">b) rassembler les meilleures pratiques et suggérer des moyens d’intégrer la diversité biologique dans les politiques nationales relatives à la combinaison d’énergies </w:t>
      </w:r>
      <w:r w:rsidRPr="00E22BA0">
        <w:rPr>
          <w:rFonts w:cs="Arial"/>
          <w:i/>
          <w:iCs/>
          <w:sz w:val="20"/>
          <w:szCs w:val="20"/>
          <w:lang w:val="fr-FR"/>
        </w:rPr>
        <w:lastRenderedPageBreak/>
        <w:t>renouvelables et aux contributions déterminées au niveau national (CDN), conformément à la Décision 13.108 ci-dessous ;</w:t>
      </w:r>
    </w:p>
    <w:p w14:paraId="016CF294" w14:textId="77777777" w:rsidR="00E22BA0" w:rsidRPr="00E22BA0" w:rsidRDefault="00E22BA0" w:rsidP="00E22BA0">
      <w:pPr>
        <w:spacing w:after="0" w:line="240" w:lineRule="auto"/>
        <w:ind w:left="1134" w:hanging="283"/>
        <w:jc w:val="both"/>
        <w:rPr>
          <w:rFonts w:cs="Arial"/>
          <w:i/>
          <w:iCs/>
          <w:sz w:val="20"/>
          <w:szCs w:val="20"/>
          <w:lang w:val="fr-FR"/>
        </w:rPr>
      </w:pPr>
    </w:p>
    <w:p w14:paraId="4BA2C911" w14:textId="1D85F639" w:rsidR="00E22BA0" w:rsidRPr="00E22BA0" w:rsidRDefault="00E22BA0" w:rsidP="00E22BA0">
      <w:pPr>
        <w:spacing w:after="0" w:line="240" w:lineRule="auto"/>
        <w:ind w:left="1134" w:hanging="283"/>
        <w:jc w:val="both"/>
        <w:rPr>
          <w:rFonts w:cs="Arial"/>
          <w:i/>
          <w:iCs/>
          <w:sz w:val="20"/>
          <w:szCs w:val="20"/>
          <w:lang w:val="fr-FR"/>
        </w:rPr>
      </w:pPr>
      <w:r w:rsidRPr="00E22BA0">
        <w:rPr>
          <w:rFonts w:cs="Arial"/>
          <w:i/>
          <w:iCs/>
          <w:sz w:val="20"/>
          <w:szCs w:val="20"/>
          <w:lang w:val="fr-FR"/>
        </w:rPr>
        <w:t xml:space="preserve">c) </w:t>
      </w:r>
      <w:r>
        <w:rPr>
          <w:rFonts w:cs="Arial"/>
          <w:i/>
          <w:iCs/>
          <w:sz w:val="20"/>
          <w:szCs w:val="20"/>
          <w:lang w:val="fr-FR"/>
        </w:rPr>
        <w:tab/>
      </w:r>
      <w:r w:rsidRPr="00E22BA0">
        <w:rPr>
          <w:rFonts w:cs="Arial"/>
          <w:i/>
          <w:iCs/>
          <w:sz w:val="20"/>
          <w:szCs w:val="20"/>
          <w:lang w:val="fr-FR"/>
        </w:rPr>
        <w:t>produire des orientations et des outils d’analyse pour évaluer et atténuer les répercussions cumulées de l’évolution des énergies (renouvelables) et des lignes d’alimentation électriques sur les espèces migratrices, y compris celles situées au-delà des frontières nationales, des voies de migration et des aires de répartition des espèces ; notamment</w:t>
      </w:r>
    </w:p>
    <w:p w14:paraId="3F087EF3" w14:textId="77777777" w:rsidR="00E22BA0" w:rsidRPr="00E22BA0" w:rsidRDefault="00E22BA0" w:rsidP="00E22BA0">
      <w:pPr>
        <w:spacing w:after="0" w:line="240" w:lineRule="auto"/>
        <w:ind w:left="1134"/>
        <w:jc w:val="both"/>
        <w:rPr>
          <w:rFonts w:cs="Arial"/>
          <w:i/>
          <w:iCs/>
          <w:sz w:val="20"/>
          <w:szCs w:val="20"/>
          <w:lang w:val="fr-FR"/>
        </w:rPr>
      </w:pPr>
    </w:p>
    <w:p w14:paraId="43FAF330" w14:textId="77777777" w:rsidR="00E22BA0" w:rsidRPr="00E22BA0" w:rsidRDefault="00E22BA0" w:rsidP="00E22BA0">
      <w:pPr>
        <w:spacing w:after="0" w:line="240" w:lineRule="auto"/>
        <w:ind w:left="1134"/>
        <w:jc w:val="both"/>
        <w:rPr>
          <w:rFonts w:cs="Arial"/>
          <w:i/>
          <w:iCs/>
          <w:sz w:val="20"/>
          <w:szCs w:val="20"/>
          <w:lang w:val="fr-FR"/>
        </w:rPr>
      </w:pPr>
      <w:r w:rsidRPr="00E22BA0">
        <w:rPr>
          <w:rFonts w:cs="Arial"/>
          <w:i/>
          <w:iCs/>
          <w:sz w:val="20"/>
          <w:szCs w:val="20"/>
          <w:lang w:val="fr-FR"/>
        </w:rPr>
        <w:t xml:space="preserve">i. des approches standardisées pour le suivi des projets d’énergie renouvelable après la construction et l’examen d’outils existants, tels que </w:t>
      </w:r>
      <w:proofErr w:type="spellStart"/>
      <w:r w:rsidRPr="00E22BA0">
        <w:rPr>
          <w:rFonts w:cs="Arial"/>
          <w:i/>
          <w:iCs/>
          <w:sz w:val="20"/>
          <w:szCs w:val="20"/>
          <w:lang w:val="fr-FR"/>
        </w:rPr>
        <w:t>GenEst</w:t>
      </w:r>
      <w:proofErr w:type="spellEnd"/>
      <w:r w:rsidRPr="00E22BA0">
        <w:rPr>
          <w:rFonts w:cs="Arial"/>
          <w:i/>
          <w:iCs/>
          <w:sz w:val="20"/>
          <w:szCs w:val="20"/>
          <w:lang w:val="fr-FR"/>
        </w:rPr>
        <w:t>,</w:t>
      </w:r>
    </w:p>
    <w:p w14:paraId="0D505A26" w14:textId="77777777" w:rsidR="00E22BA0" w:rsidRPr="00E22BA0" w:rsidRDefault="00E22BA0" w:rsidP="00E22BA0">
      <w:pPr>
        <w:spacing w:after="0" w:line="240" w:lineRule="auto"/>
        <w:ind w:left="1134"/>
        <w:jc w:val="both"/>
        <w:rPr>
          <w:rFonts w:cs="Arial"/>
          <w:i/>
          <w:iCs/>
          <w:sz w:val="20"/>
          <w:szCs w:val="20"/>
          <w:lang w:val="fr-FR"/>
        </w:rPr>
      </w:pPr>
    </w:p>
    <w:p w14:paraId="5E9F11E2" w14:textId="77777777" w:rsidR="00E22BA0" w:rsidRPr="00E22BA0" w:rsidRDefault="00E22BA0" w:rsidP="00E22BA0">
      <w:pPr>
        <w:spacing w:after="0" w:line="240" w:lineRule="auto"/>
        <w:ind w:left="1134"/>
        <w:jc w:val="both"/>
        <w:rPr>
          <w:rFonts w:cs="Arial"/>
          <w:i/>
          <w:iCs/>
          <w:sz w:val="20"/>
          <w:szCs w:val="20"/>
          <w:lang w:val="fr-FR"/>
        </w:rPr>
      </w:pPr>
      <w:r w:rsidRPr="00E22BA0">
        <w:rPr>
          <w:rFonts w:cs="Arial"/>
          <w:i/>
          <w:iCs/>
          <w:sz w:val="20"/>
          <w:szCs w:val="20"/>
          <w:lang w:val="fr-FR"/>
        </w:rPr>
        <w:t>ii. la compilation des données de mortalité des espèces dans des bases de données nationales et mondiales sur la mortalité,</w:t>
      </w:r>
    </w:p>
    <w:p w14:paraId="177E0024" w14:textId="77777777" w:rsidR="00E22BA0" w:rsidRPr="00E22BA0" w:rsidRDefault="00E22BA0" w:rsidP="00E22BA0">
      <w:pPr>
        <w:spacing w:after="0" w:line="240" w:lineRule="auto"/>
        <w:ind w:left="1134"/>
        <w:jc w:val="both"/>
        <w:rPr>
          <w:rFonts w:cs="Arial"/>
          <w:i/>
          <w:iCs/>
          <w:sz w:val="20"/>
          <w:szCs w:val="20"/>
          <w:lang w:val="fr-FR"/>
        </w:rPr>
      </w:pPr>
    </w:p>
    <w:p w14:paraId="57D83447" w14:textId="77777777" w:rsidR="00E22BA0" w:rsidRPr="00E22BA0" w:rsidRDefault="00E22BA0" w:rsidP="00E22BA0">
      <w:pPr>
        <w:spacing w:after="0" w:line="240" w:lineRule="auto"/>
        <w:ind w:left="1134"/>
        <w:jc w:val="both"/>
        <w:rPr>
          <w:rFonts w:cs="Arial"/>
          <w:i/>
          <w:iCs/>
          <w:sz w:val="20"/>
          <w:szCs w:val="20"/>
          <w:lang w:val="fr-FR"/>
        </w:rPr>
      </w:pPr>
      <w:r w:rsidRPr="00E22BA0">
        <w:rPr>
          <w:rFonts w:cs="Arial"/>
          <w:i/>
          <w:iCs/>
          <w:sz w:val="20"/>
          <w:szCs w:val="20"/>
          <w:lang w:val="fr-FR"/>
        </w:rPr>
        <w:t>iii. l’analyse des méthodes permettant d’établir des impacts cumulatifs dans le cadre d’effets déterminés sur l’échelle spatiale et au niveau de la population, y compris les effets résultant du déplacement d’espèces en raison de la construction et de l’exploitation d’infrastructures énergétiques,</w:t>
      </w:r>
    </w:p>
    <w:p w14:paraId="1C5A6169" w14:textId="77777777" w:rsidR="00E22BA0" w:rsidRPr="00E22BA0" w:rsidRDefault="00E22BA0" w:rsidP="00E22BA0">
      <w:pPr>
        <w:spacing w:after="0" w:line="240" w:lineRule="auto"/>
        <w:ind w:left="1134"/>
        <w:jc w:val="both"/>
        <w:rPr>
          <w:rFonts w:cs="Arial"/>
          <w:i/>
          <w:iCs/>
          <w:sz w:val="20"/>
          <w:szCs w:val="20"/>
          <w:lang w:val="fr-FR"/>
        </w:rPr>
      </w:pPr>
    </w:p>
    <w:p w14:paraId="5257B5E9" w14:textId="77777777" w:rsidR="00E22BA0" w:rsidRPr="00E22BA0" w:rsidRDefault="00E22BA0" w:rsidP="00E22BA0">
      <w:pPr>
        <w:spacing w:after="0" w:line="240" w:lineRule="auto"/>
        <w:ind w:left="1134"/>
        <w:jc w:val="both"/>
        <w:rPr>
          <w:rFonts w:cs="Arial"/>
          <w:i/>
          <w:iCs/>
          <w:sz w:val="20"/>
          <w:szCs w:val="20"/>
          <w:lang w:val="fr-FR"/>
        </w:rPr>
      </w:pPr>
      <w:r w:rsidRPr="00E22BA0">
        <w:rPr>
          <w:rFonts w:cs="Arial"/>
          <w:i/>
          <w:iCs/>
          <w:sz w:val="20"/>
          <w:szCs w:val="20"/>
          <w:lang w:val="fr-FR"/>
        </w:rPr>
        <w:t>iv. le renforcement des procédures nationales de délivrance de licences et d’autorisations pour les infrastructures énergétiques ;</w:t>
      </w:r>
    </w:p>
    <w:p w14:paraId="09EA9167" w14:textId="77777777" w:rsidR="00E22BA0" w:rsidRPr="00E22BA0" w:rsidRDefault="00E22BA0" w:rsidP="00E22BA0">
      <w:pPr>
        <w:spacing w:after="0" w:line="240" w:lineRule="auto"/>
        <w:ind w:left="1134"/>
        <w:jc w:val="both"/>
        <w:rPr>
          <w:rFonts w:cs="Arial"/>
          <w:i/>
          <w:iCs/>
          <w:sz w:val="20"/>
          <w:szCs w:val="20"/>
          <w:lang w:val="fr-FR"/>
        </w:rPr>
      </w:pPr>
    </w:p>
    <w:p w14:paraId="06D8C329" w14:textId="06772DAA" w:rsidR="00E22BA0" w:rsidRPr="00E22BA0" w:rsidRDefault="00E22BA0" w:rsidP="00E22BA0">
      <w:pPr>
        <w:spacing w:after="0" w:line="240" w:lineRule="auto"/>
        <w:ind w:left="1134" w:hanging="283"/>
        <w:jc w:val="both"/>
        <w:rPr>
          <w:rFonts w:cs="Arial"/>
          <w:i/>
          <w:iCs/>
          <w:sz w:val="20"/>
          <w:szCs w:val="20"/>
          <w:lang w:val="fr-FR"/>
        </w:rPr>
      </w:pPr>
      <w:r w:rsidRPr="00E22BA0">
        <w:rPr>
          <w:rFonts w:cs="Arial"/>
          <w:i/>
          <w:iCs/>
          <w:sz w:val="20"/>
          <w:szCs w:val="20"/>
          <w:lang w:val="fr-FR"/>
        </w:rPr>
        <w:t xml:space="preserve">d) </w:t>
      </w:r>
      <w:r>
        <w:rPr>
          <w:rFonts w:cs="Arial"/>
          <w:i/>
          <w:iCs/>
          <w:sz w:val="20"/>
          <w:szCs w:val="20"/>
          <w:lang w:val="fr-FR"/>
        </w:rPr>
        <w:tab/>
      </w:r>
      <w:r w:rsidRPr="00E22BA0">
        <w:rPr>
          <w:rFonts w:cs="Arial"/>
          <w:i/>
          <w:iCs/>
          <w:sz w:val="20"/>
          <w:szCs w:val="20"/>
          <w:lang w:val="fr-FR"/>
        </w:rPr>
        <w:t>mener ces activités en collaboration avec les organisations spécialisées visées dans la Résolution UNEP/CMS/Résolution 7.2 (Rev.COP12) Étude d’impact et espèces migratrices, en s’appuyant sur les principes énoncés dans cette Résolution ;</w:t>
      </w:r>
    </w:p>
    <w:p w14:paraId="44C3ABD9" w14:textId="77777777" w:rsidR="00E22BA0" w:rsidRPr="00E22BA0" w:rsidRDefault="00E22BA0" w:rsidP="00E22BA0">
      <w:pPr>
        <w:spacing w:after="0" w:line="240" w:lineRule="auto"/>
        <w:ind w:left="1134" w:hanging="283"/>
        <w:jc w:val="both"/>
        <w:rPr>
          <w:rFonts w:cs="Arial"/>
          <w:i/>
          <w:iCs/>
          <w:sz w:val="20"/>
          <w:szCs w:val="20"/>
          <w:lang w:val="fr-FR"/>
        </w:rPr>
      </w:pPr>
    </w:p>
    <w:p w14:paraId="653865AC" w14:textId="251F820A" w:rsidR="009F0E48" w:rsidRDefault="00E22BA0" w:rsidP="00E22BA0">
      <w:pPr>
        <w:spacing w:after="0" w:line="240" w:lineRule="auto"/>
        <w:ind w:left="1134" w:hanging="283"/>
        <w:jc w:val="both"/>
        <w:rPr>
          <w:rFonts w:cs="Arial"/>
          <w:i/>
          <w:iCs/>
          <w:sz w:val="20"/>
          <w:szCs w:val="20"/>
          <w:lang w:val="fr-FR"/>
        </w:rPr>
      </w:pPr>
      <w:r w:rsidRPr="00E22BA0">
        <w:rPr>
          <w:rFonts w:cs="Arial"/>
          <w:i/>
          <w:iCs/>
          <w:sz w:val="20"/>
          <w:szCs w:val="20"/>
          <w:lang w:val="fr-FR"/>
        </w:rPr>
        <w:t xml:space="preserve">e) </w:t>
      </w:r>
      <w:r>
        <w:rPr>
          <w:rFonts w:cs="Arial"/>
          <w:i/>
          <w:iCs/>
          <w:sz w:val="20"/>
          <w:szCs w:val="20"/>
          <w:lang w:val="fr-FR"/>
        </w:rPr>
        <w:tab/>
      </w:r>
      <w:r w:rsidRPr="00E22BA0">
        <w:rPr>
          <w:rFonts w:cs="Arial"/>
          <w:i/>
          <w:iCs/>
          <w:sz w:val="20"/>
          <w:szCs w:val="20"/>
          <w:lang w:val="fr-FR"/>
        </w:rPr>
        <w:t>soumettre des rapports à la 14e session de la Conférence des Parties (COP14) sur les activités susmentionnées.</w:t>
      </w:r>
    </w:p>
    <w:p w14:paraId="734C26EC" w14:textId="77777777" w:rsidR="00E22BA0" w:rsidRPr="00E22BA0" w:rsidRDefault="00E22BA0" w:rsidP="00E22BA0">
      <w:pPr>
        <w:spacing w:after="0" w:line="240" w:lineRule="auto"/>
        <w:ind w:left="851"/>
        <w:jc w:val="both"/>
        <w:rPr>
          <w:rFonts w:cs="Arial"/>
          <w:i/>
          <w:iCs/>
          <w:sz w:val="20"/>
          <w:szCs w:val="20"/>
          <w:highlight w:val="yellow"/>
          <w:lang w:val="fr-FR"/>
        </w:rPr>
      </w:pPr>
    </w:p>
    <w:p w14:paraId="644897F5" w14:textId="0296FAE9" w:rsidR="006B346B" w:rsidRPr="00E22BA0" w:rsidRDefault="006B346B" w:rsidP="00E22BA0">
      <w:pPr>
        <w:spacing w:after="0" w:line="240" w:lineRule="auto"/>
        <w:ind w:left="851"/>
        <w:rPr>
          <w:b/>
          <w:bCs/>
          <w:i/>
          <w:iCs/>
          <w:sz w:val="20"/>
          <w:szCs w:val="20"/>
          <w:lang w:val="en-US"/>
        </w:rPr>
      </w:pPr>
      <w:bookmarkStart w:id="2" w:name="13.108"/>
      <w:bookmarkEnd w:id="2"/>
      <w:r w:rsidRPr="00E22BA0">
        <w:rPr>
          <w:b/>
          <w:bCs/>
          <w:i/>
          <w:iCs/>
          <w:sz w:val="20"/>
          <w:szCs w:val="20"/>
          <w:lang w:val="en-US"/>
        </w:rPr>
        <w:t xml:space="preserve">13.108 </w:t>
      </w:r>
      <w:proofErr w:type="spellStart"/>
      <w:r w:rsidR="00E22BA0" w:rsidRPr="00E22BA0">
        <w:rPr>
          <w:b/>
          <w:bCs/>
          <w:i/>
          <w:iCs/>
          <w:sz w:val="20"/>
          <w:szCs w:val="20"/>
          <w:lang w:val="en-US"/>
        </w:rPr>
        <w:t>Adressée</w:t>
      </w:r>
      <w:proofErr w:type="spellEnd"/>
      <w:r w:rsidR="00E22BA0" w:rsidRPr="00E22BA0">
        <w:rPr>
          <w:b/>
          <w:bCs/>
          <w:i/>
          <w:iCs/>
          <w:sz w:val="20"/>
          <w:szCs w:val="20"/>
          <w:lang w:val="en-US"/>
        </w:rPr>
        <w:t xml:space="preserve"> aux</w:t>
      </w:r>
      <w:r w:rsidRPr="00E22BA0">
        <w:rPr>
          <w:b/>
          <w:bCs/>
          <w:i/>
          <w:iCs/>
          <w:sz w:val="20"/>
          <w:szCs w:val="20"/>
          <w:lang w:val="en-US"/>
        </w:rPr>
        <w:t xml:space="preserve"> Parties</w:t>
      </w:r>
    </w:p>
    <w:p w14:paraId="2142AF54" w14:textId="77777777" w:rsidR="00167DA1" w:rsidRDefault="00167DA1" w:rsidP="00167DA1">
      <w:pPr>
        <w:spacing w:after="0" w:line="240" w:lineRule="auto"/>
        <w:ind w:left="851"/>
        <w:jc w:val="both"/>
        <w:rPr>
          <w:rFonts w:cs="Arial"/>
          <w:i/>
          <w:iCs/>
          <w:sz w:val="20"/>
          <w:szCs w:val="20"/>
          <w:lang w:val="fr-FR"/>
        </w:rPr>
      </w:pPr>
    </w:p>
    <w:p w14:paraId="7F40497C" w14:textId="084D870D" w:rsidR="00E22BA0" w:rsidRDefault="00E22BA0" w:rsidP="00167DA1">
      <w:pPr>
        <w:spacing w:after="0" w:line="240" w:lineRule="auto"/>
        <w:ind w:left="851"/>
        <w:jc w:val="both"/>
        <w:rPr>
          <w:rFonts w:cs="Arial"/>
          <w:i/>
          <w:iCs/>
          <w:sz w:val="20"/>
          <w:szCs w:val="20"/>
          <w:lang w:val="fr-FR"/>
        </w:rPr>
      </w:pPr>
      <w:r w:rsidRPr="00E22BA0">
        <w:rPr>
          <w:rFonts w:cs="Arial"/>
          <w:i/>
          <w:iCs/>
          <w:sz w:val="20"/>
          <w:szCs w:val="20"/>
          <w:lang w:val="fr-FR"/>
        </w:rPr>
        <w:t>Les Parties sont :</w:t>
      </w:r>
    </w:p>
    <w:p w14:paraId="1F30FDA7" w14:textId="77777777" w:rsidR="00167DA1" w:rsidRPr="00E22BA0" w:rsidRDefault="00167DA1" w:rsidP="00167DA1">
      <w:pPr>
        <w:spacing w:after="0" w:line="240" w:lineRule="auto"/>
        <w:ind w:left="851"/>
        <w:jc w:val="both"/>
        <w:rPr>
          <w:rFonts w:cs="Arial"/>
          <w:i/>
          <w:iCs/>
          <w:sz w:val="20"/>
          <w:szCs w:val="20"/>
          <w:lang w:val="fr-FR"/>
        </w:rPr>
      </w:pPr>
    </w:p>
    <w:p w14:paraId="605004E5" w14:textId="77777777" w:rsidR="00E22BA0" w:rsidRPr="00E22BA0" w:rsidRDefault="00E22BA0" w:rsidP="00167DA1">
      <w:pPr>
        <w:spacing w:after="0" w:line="240" w:lineRule="auto"/>
        <w:ind w:left="1134" w:hanging="283"/>
        <w:jc w:val="both"/>
        <w:rPr>
          <w:rFonts w:cs="Arial"/>
          <w:i/>
          <w:iCs/>
          <w:sz w:val="20"/>
          <w:szCs w:val="20"/>
          <w:lang w:val="fr-FR"/>
        </w:rPr>
      </w:pPr>
      <w:r w:rsidRPr="00E22BA0">
        <w:rPr>
          <w:rFonts w:cs="Arial"/>
          <w:i/>
          <w:iCs/>
          <w:sz w:val="20"/>
          <w:szCs w:val="20"/>
          <w:lang w:val="fr-FR"/>
        </w:rPr>
        <w:t>a) encouragées à intégrer les considérations relatives à la biodiversité et aux espèces migratrices dans les politiques et plans d’action nationaux en matière d’énergie et de climat, en fournissant des données et des recommandations aux processus gouvernementaux nationaux, pour renforcer les synergies entre la Convention-cadre des Nations Unies sur les changements climatiques (CCNUCC) et la CMS et pour soutenir une combinaison d’énergies renouvelables fondées sur des données probantes dans la conception et la mise en œuvre de politiques relatives aux énergies renouvelables telles que les contributions déterminées au niveau national (CDN) et les plans énergétiques et climatiques nationaux, notamment en intégrant les évaluations environnementales stratégiques et les études de sensibilité des espèces dans le processus décisionnel des cibles climatiques ;</w:t>
      </w:r>
    </w:p>
    <w:p w14:paraId="78D89FED" w14:textId="77777777" w:rsidR="00E22BA0" w:rsidRPr="00E22BA0" w:rsidRDefault="00E22BA0" w:rsidP="00167DA1">
      <w:pPr>
        <w:spacing w:after="0" w:line="240" w:lineRule="auto"/>
        <w:ind w:left="1134" w:hanging="283"/>
        <w:jc w:val="both"/>
        <w:rPr>
          <w:rFonts w:cs="Arial"/>
          <w:i/>
          <w:iCs/>
          <w:sz w:val="20"/>
          <w:szCs w:val="20"/>
          <w:lang w:val="fr-FR"/>
        </w:rPr>
      </w:pPr>
    </w:p>
    <w:p w14:paraId="297C4607" w14:textId="77777777" w:rsidR="00E22BA0" w:rsidRPr="00E22BA0" w:rsidRDefault="00E22BA0" w:rsidP="00167DA1">
      <w:pPr>
        <w:spacing w:after="0" w:line="240" w:lineRule="auto"/>
        <w:ind w:left="1134" w:hanging="283"/>
        <w:jc w:val="both"/>
        <w:rPr>
          <w:rFonts w:cs="Arial"/>
          <w:i/>
          <w:iCs/>
          <w:sz w:val="20"/>
          <w:szCs w:val="20"/>
          <w:lang w:val="fr-FR"/>
        </w:rPr>
      </w:pPr>
      <w:r w:rsidRPr="00E22BA0">
        <w:rPr>
          <w:rFonts w:cs="Arial"/>
          <w:i/>
          <w:iCs/>
          <w:sz w:val="20"/>
          <w:szCs w:val="20"/>
          <w:lang w:val="fr-FR"/>
        </w:rPr>
        <w:t>b) invitées à fournir au Groupe de travail sur l’énergie et au Secrétariat des informations et des indicateurs intégrés aux plans d’action nationaux pour le climat et CDN ;</w:t>
      </w:r>
    </w:p>
    <w:p w14:paraId="1F9748FF" w14:textId="77777777" w:rsidR="00E22BA0" w:rsidRPr="00E22BA0" w:rsidRDefault="00E22BA0" w:rsidP="00167DA1">
      <w:pPr>
        <w:spacing w:after="0" w:line="240" w:lineRule="auto"/>
        <w:ind w:left="1134" w:hanging="283"/>
        <w:jc w:val="both"/>
        <w:rPr>
          <w:rFonts w:cs="Arial"/>
          <w:i/>
          <w:iCs/>
          <w:sz w:val="20"/>
          <w:szCs w:val="20"/>
          <w:lang w:val="fr-FR"/>
        </w:rPr>
      </w:pPr>
    </w:p>
    <w:p w14:paraId="2B2AD689" w14:textId="09D818EF" w:rsidR="005F638F" w:rsidRDefault="00E22BA0" w:rsidP="00167DA1">
      <w:pPr>
        <w:spacing w:after="0" w:line="240" w:lineRule="auto"/>
        <w:ind w:left="1134" w:hanging="283"/>
        <w:jc w:val="both"/>
        <w:rPr>
          <w:rFonts w:eastAsia="Arial" w:cs="Arial"/>
          <w:u w:val="single"/>
          <w:lang w:val="fr-FR"/>
        </w:rPr>
      </w:pPr>
      <w:r w:rsidRPr="00E22BA0">
        <w:rPr>
          <w:rFonts w:cs="Arial"/>
          <w:i/>
          <w:iCs/>
          <w:sz w:val="20"/>
          <w:szCs w:val="20"/>
          <w:lang w:val="fr-FR"/>
        </w:rPr>
        <w:t>c) invitées à soumettre un rapport sur les activités susmentionnées à la COP14 dans leurs rapports nationaux.</w:t>
      </w:r>
      <w:r w:rsidR="005C5033" w:rsidRPr="00E22BA0">
        <w:rPr>
          <w:rFonts w:eastAsia="Arial" w:cs="Arial"/>
          <w:u w:val="single"/>
          <w:lang w:val="fr-FR"/>
        </w:rPr>
        <w:t xml:space="preserve"> </w:t>
      </w:r>
    </w:p>
    <w:p w14:paraId="7F3D761B" w14:textId="77777777" w:rsidR="00167DA1" w:rsidRPr="00E22BA0" w:rsidRDefault="00167DA1" w:rsidP="00167DA1">
      <w:pPr>
        <w:spacing w:after="0" w:line="240" w:lineRule="auto"/>
        <w:ind w:left="1134" w:hanging="283"/>
        <w:jc w:val="both"/>
        <w:rPr>
          <w:rFonts w:eastAsia="Arial" w:cs="Arial"/>
          <w:u w:val="single"/>
          <w:lang w:val="fr-FR"/>
        </w:rPr>
      </w:pPr>
    </w:p>
    <w:p w14:paraId="74459E57" w14:textId="0B74BAE0" w:rsidR="00830B3B" w:rsidRDefault="00830B3B" w:rsidP="005F638F">
      <w:pPr>
        <w:spacing w:after="0" w:line="240" w:lineRule="auto"/>
        <w:jc w:val="both"/>
        <w:rPr>
          <w:rFonts w:eastAsia="Arial" w:cs="Arial"/>
          <w:u w:val="single"/>
          <w:lang w:val="fr-FR"/>
        </w:rPr>
      </w:pPr>
      <w:r>
        <w:rPr>
          <w:rFonts w:eastAsia="Arial" w:cs="Arial"/>
          <w:u w:val="single"/>
          <w:lang w:val="fr-FR"/>
        </w:rPr>
        <w:t xml:space="preserve">Activités visant à mettre en œuvre la Résolution 11.27 (Rev.COP13) </w:t>
      </w:r>
      <w:r>
        <w:rPr>
          <w:rFonts w:eastAsia="Arial" w:cs="Arial"/>
          <w:i/>
          <w:iCs/>
          <w:u w:val="single"/>
          <w:lang w:val="fr-FR"/>
        </w:rPr>
        <w:t>Énergies renouvelables et espèces migratrices</w:t>
      </w:r>
      <w:r>
        <w:rPr>
          <w:rFonts w:eastAsia="Arial" w:cs="Arial"/>
          <w:u w:val="single"/>
          <w:lang w:val="fr-FR"/>
        </w:rPr>
        <w:t xml:space="preserve"> et Décisions 13.106-13.108</w:t>
      </w:r>
    </w:p>
    <w:p w14:paraId="33169254" w14:textId="77777777" w:rsidR="00204F71" w:rsidRPr="005F638F" w:rsidRDefault="00204F71" w:rsidP="005F638F">
      <w:pPr>
        <w:spacing w:after="0" w:line="240" w:lineRule="auto"/>
        <w:jc w:val="both"/>
        <w:rPr>
          <w:rFonts w:eastAsia="Arial" w:cs="Arial"/>
          <w:u w:val="single"/>
          <w:lang w:val="fr-FR"/>
        </w:rPr>
      </w:pPr>
    </w:p>
    <w:p w14:paraId="1C91AAAF" w14:textId="285889DF" w:rsidR="006C1E4A" w:rsidRDefault="00FC2AAD" w:rsidP="006C1E4A">
      <w:pPr>
        <w:pStyle w:val="ListParagraph"/>
        <w:numPr>
          <w:ilvl w:val="0"/>
          <w:numId w:val="6"/>
        </w:numPr>
        <w:spacing w:after="0" w:line="240" w:lineRule="auto"/>
        <w:ind w:left="540" w:hanging="540"/>
        <w:jc w:val="both"/>
        <w:rPr>
          <w:lang w:val="fr-FR"/>
        </w:rPr>
      </w:pPr>
      <w:r>
        <w:rPr>
          <w:lang w:val="fr-FR"/>
        </w:rPr>
        <w:t xml:space="preserve">Au cours de l’intersession actuelle, le </w:t>
      </w:r>
      <w:hyperlink r:id="rId20" w:history="1">
        <w:r>
          <w:rPr>
            <w:rStyle w:val="Hyperlink"/>
            <w:lang w:val="fr-FR"/>
          </w:rPr>
          <w:t>cadre du Plan de travail du Groupe d’étude de l’énergie (ETF)</w:t>
        </w:r>
      </w:hyperlink>
      <w:r>
        <w:rPr>
          <w:rStyle w:val="Hyperlink"/>
          <w:lang w:val="fr-FR"/>
        </w:rPr>
        <w:t xml:space="preserve"> 2021-2024</w:t>
      </w:r>
      <w:r>
        <w:rPr>
          <w:lang w:val="fr-FR"/>
        </w:rPr>
        <w:t xml:space="preserve"> a été défini. L’objectif principal de l’ETF reste d’atténuer les menaces qui pèsent sur les espèces migratrices en promouvant les mesures de protection, la planification et l’engagement des parties prenantes. Le Plan de travail de l’ETF est le document d’orientations de l’ETF, ainsi que l’outil de suivi essentiel pour </w:t>
      </w:r>
      <w:r>
        <w:rPr>
          <w:lang w:val="fr-FR"/>
        </w:rPr>
        <w:lastRenderedPageBreak/>
        <w:t>mesurer les progrès accomplis lors de chacune des réunions annuelles de l’ETF. La mise en œuvre du Plan de travail de l’ETF a été soutenue financièrement par les Gouvernements de la France, de l’Inde et de l’Allemagne.</w:t>
      </w:r>
    </w:p>
    <w:p w14:paraId="55AD47F6" w14:textId="77777777" w:rsidR="006C1E4A" w:rsidRDefault="006C1E4A" w:rsidP="00A020A4">
      <w:pPr>
        <w:pStyle w:val="ListParagraph"/>
        <w:spacing w:after="0" w:line="240" w:lineRule="auto"/>
        <w:ind w:left="540"/>
        <w:jc w:val="both"/>
        <w:rPr>
          <w:lang w:val="fr-FR"/>
        </w:rPr>
      </w:pPr>
    </w:p>
    <w:p w14:paraId="6CDF542F" w14:textId="7E2E7443" w:rsidR="009B36F0" w:rsidRPr="006C1E4A" w:rsidRDefault="0040385B" w:rsidP="006C1E4A">
      <w:pPr>
        <w:pStyle w:val="ListParagraph"/>
        <w:numPr>
          <w:ilvl w:val="0"/>
          <w:numId w:val="6"/>
        </w:numPr>
        <w:spacing w:after="0" w:line="240" w:lineRule="auto"/>
        <w:ind w:left="540" w:hanging="540"/>
        <w:jc w:val="both"/>
        <w:rPr>
          <w:lang w:val="fr-FR"/>
        </w:rPr>
      </w:pPr>
      <w:r>
        <w:rPr>
          <w:lang w:val="fr-FR"/>
        </w:rPr>
        <w:t xml:space="preserve">En mai 2022, un nouvel Accord de coopération technique (PCA) a été signé avec </w:t>
      </w:r>
      <w:proofErr w:type="spellStart"/>
      <w:r>
        <w:rPr>
          <w:lang w:val="fr-FR"/>
        </w:rPr>
        <w:t>BirdLife</w:t>
      </w:r>
      <w:proofErr w:type="spellEnd"/>
      <w:r>
        <w:rPr>
          <w:lang w:val="fr-FR"/>
        </w:rPr>
        <w:t xml:space="preserve"> International pour la coordination du Groupe d’étude de l’énergie. Ce PCA établit un programme d’activités détaillé, lié au Plan de travail de l’ ETF, et des mécanismes de suivi de sa mise en œuvre. </w:t>
      </w:r>
    </w:p>
    <w:p w14:paraId="5AFD1A0E" w14:textId="77777777" w:rsidR="002D6506" w:rsidRDefault="002D6506" w:rsidP="00A020A4">
      <w:pPr>
        <w:pStyle w:val="ListParagraph"/>
        <w:spacing w:after="0" w:line="240" w:lineRule="auto"/>
        <w:ind w:left="540"/>
        <w:jc w:val="both"/>
        <w:rPr>
          <w:lang w:val="fr-FR"/>
        </w:rPr>
      </w:pPr>
    </w:p>
    <w:p w14:paraId="4121274F" w14:textId="66208F88" w:rsidR="002D6506" w:rsidRPr="00A020A4" w:rsidRDefault="00983089" w:rsidP="00BE41BC">
      <w:pPr>
        <w:pStyle w:val="ListParagraph"/>
        <w:numPr>
          <w:ilvl w:val="0"/>
          <w:numId w:val="6"/>
        </w:numPr>
        <w:ind w:left="540" w:hanging="540"/>
        <w:jc w:val="both"/>
        <w:rPr>
          <w:lang w:val="fr-FR"/>
        </w:rPr>
      </w:pPr>
      <w:r>
        <w:rPr>
          <w:lang w:val="fr-FR"/>
        </w:rPr>
        <w:t xml:space="preserve">Les </w:t>
      </w:r>
      <w:hyperlink r:id="rId21" w:history="1">
        <w:r>
          <w:rPr>
            <w:rStyle w:val="Hyperlink"/>
            <w:lang w:val="fr-FR"/>
          </w:rPr>
          <w:t>5</w:t>
        </w:r>
        <w:r>
          <w:rPr>
            <w:rStyle w:val="Hyperlink"/>
            <w:vertAlign w:val="superscript"/>
            <w:lang w:val="fr-FR"/>
          </w:rPr>
          <w:t>ème</w:t>
        </w:r>
      </w:hyperlink>
      <w:r>
        <w:rPr>
          <w:lang w:val="fr-FR"/>
        </w:rPr>
        <w:t xml:space="preserve"> et </w:t>
      </w:r>
      <w:hyperlink r:id="rId22" w:history="1">
        <w:r>
          <w:rPr>
            <w:rStyle w:val="Hyperlink"/>
            <w:lang w:val="fr-FR"/>
          </w:rPr>
          <w:t>6</w:t>
        </w:r>
        <w:r>
          <w:rPr>
            <w:rStyle w:val="Hyperlink"/>
            <w:vertAlign w:val="superscript"/>
            <w:lang w:val="fr-FR"/>
          </w:rPr>
          <w:t>ème</w:t>
        </w:r>
      </w:hyperlink>
      <w:r>
        <w:rPr>
          <w:lang w:val="fr-FR"/>
        </w:rPr>
        <w:t xml:space="preserve"> réunions de l’ETF (ETF5 et ETF6) ont eu lieu en 2020 et 2022. En outre, plusieurs activités en ligne et en présentiel ont été organisées pour réaliser les missions assignées par la CMS. Ces ateliers et webinaires ont abordé tous les domaines thématiques du Plan de travail de l’ETF, qu’il s’agisse de promouvoir de nouvelles lignes directrices, de soutenir l’intégration de la conservation des espèces migratrices dans les politiques des institutions financières internationales ou d’étendre sa portée géographique à des régions peu étudiées (telles que les Amériques). Une description détaillée de toutes les activités réalisées figure à l’annexe 1 du présent document.</w:t>
      </w:r>
    </w:p>
    <w:p w14:paraId="3B707396" w14:textId="77777777" w:rsidR="00823BEA" w:rsidRPr="00A020A4" w:rsidRDefault="00823BEA" w:rsidP="00A020A4">
      <w:pPr>
        <w:pStyle w:val="ListParagraph"/>
        <w:ind w:left="540"/>
        <w:rPr>
          <w:lang w:val="fr-FR"/>
        </w:rPr>
      </w:pPr>
    </w:p>
    <w:p w14:paraId="6E4751FC" w14:textId="0E726EC4" w:rsidR="002D6506" w:rsidRPr="00117A63" w:rsidRDefault="00823BEA" w:rsidP="00A020A4">
      <w:pPr>
        <w:pStyle w:val="ListParagraph"/>
        <w:numPr>
          <w:ilvl w:val="0"/>
          <w:numId w:val="6"/>
        </w:numPr>
        <w:spacing w:after="0" w:line="240" w:lineRule="auto"/>
        <w:ind w:left="540" w:hanging="540"/>
        <w:jc w:val="both"/>
        <w:rPr>
          <w:lang w:val="fr-FR"/>
        </w:rPr>
      </w:pPr>
      <w:r>
        <w:rPr>
          <w:lang w:val="fr-FR"/>
        </w:rPr>
        <w:t xml:space="preserve">Un rapport détaillé sur l’état d’avancement de la mise en œuvre des activités du Plan de travail 2021-2024 de l’ETF est disponible dans le document </w:t>
      </w:r>
      <w:hyperlink r:id="rId23">
        <w:r>
          <w:rPr>
            <w:rStyle w:val="Hyperlink"/>
            <w:lang w:val="fr-FR"/>
          </w:rPr>
          <w:t>ETF6/Doc2</w:t>
        </w:r>
      </w:hyperlink>
      <w:r>
        <w:rPr>
          <w:lang w:val="fr-FR"/>
        </w:rPr>
        <w:t>. Les activités liées à la définition des priorités scientifiques et à la mobilisation des ressources ont été soulignées comme des domaines où des progrès supplémentaires étaient nécessaires. En revanche, les activités liées à la promotion d'une orientation pertinente et à la stimulation de la communication et de l’échange d’informations ont bien progressé.</w:t>
      </w:r>
    </w:p>
    <w:p w14:paraId="55BC78B6" w14:textId="709C295E" w:rsidR="002D6506" w:rsidRPr="00A020A4" w:rsidRDefault="002D6506" w:rsidP="00A020A4">
      <w:pPr>
        <w:pStyle w:val="ListParagraph"/>
        <w:spacing w:after="0" w:line="240" w:lineRule="auto"/>
        <w:ind w:left="540"/>
        <w:jc w:val="both"/>
        <w:rPr>
          <w:lang w:val="fr-FR"/>
        </w:rPr>
      </w:pPr>
    </w:p>
    <w:p w14:paraId="0EA206D0" w14:textId="6C2B4F7C" w:rsidR="00EE7745" w:rsidRPr="00A020A4" w:rsidRDefault="00E700DF" w:rsidP="00E700DF">
      <w:pPr>
        <w:pStyle w:val="ListParagraph"/>
        <w:numPr>
          <w:ilvl w:val="0"/>
          <w:numId w:val="6"/>
        </w:numPr>
        <w:spacing w:after="0" w:line="240" w:lineRule="auto"/>
        <w:ind w:left="540" w:hanging="540"/>
        <w:jc w:val="both"/>
        <w:rPr>
          <w:lang w:val="fr-FR"/>
        </w:rPr>
      </w:pPr>
      <w:r>
        <w:rPr>
          <w:lang w:val="fr-FR"/>
        </w:rPr>
        <w:t xml:space="preserve">En ce qui concerne la Décision 13.107 (a), l’ ETF, par l’intermédiaire de son partenaire de mise en œuvre, de ses membres et des Parties prenantes, a été en mesure de diffuser et de promouvoir plusieurs outils axés sur la gestion et le suivi des impacts des infrastructures d’énergie renouvelable. Au nombre de ces outils, on peut citer </w:t>
      </w:r>
      <w:hyperlink r:id="rId24" w:history="1">
        <w:r>
          <w:rPr>
            <w:rStyle w:val="Hyperlink"/>
            <w:lang w:val="fr-FR"/>
          </w:rPr>
          <w:t>Outil pour les oiseaux planeurs migrateurs</w:t>
        </w:r>
      </w:hyperlink>
      <w:r>
        <w:rPr>
          <w:lang w:val="fr-FR"/>
        </w:rPr>
        <w:t xml:space="preserve"> et </w:t>
      </w:r>
      <w:hyperlink r:id="rId25" w:history="1">
        <w:r>
          <w:rPr>
            <w:rStyle w:val="Hyperlink"/>
            <w:lang w:val="fr-FR"/>
          </w:rPr>
          <w:t>AVISTEP</w:t>
        </w:r>
      </w:hyperlink>
      <w:r>
        <w:rPr>
          <w:lang w:val="fr-FR"/>
        </w:rPr>
        <w:t xml:space="preserve">, lancés en 2022 par </w:t>
      </w:r>
      <w:proofErr w:type="spellStart"/>
      <w:r>
        <w:rPr>
          <w:lang w:val="fr-FR"/>
        </w:rPr>
        <w:t>BirdLife</w:t>
      </w:r>
      <w:proofErr w:type="spellEnd"/>
      <w:r>
        <w:rPr>
          <w:lang w:val="fr-FR"/>
        </w:rPr>
        <w:t xml:space="preserve"> International et présentés lors de divers webinaires de l’ETF. Une liste complète des orientations techniques données dans le cadre de l’ETF est disponible sur le </w:t>
      </w:r>
      <w:hyperlink r:id="rId26" w:history="1">
        <w:r>
          <w:rPr>
            <w:rStyle w:val="Hyperlink"/>
            <w:lang w:val="fr-FR"/>
          </w:rPr>
          <w:t>site Web de l’ETF</w:t>
        </w:r>
      </w:hyperlink>
      <w:r>
        <w:rPr>
          <w:lang w:val="fr-FR"/>
        </w:rPr>
        <w:t xml:space="preserve"> dans la section « Ressources ». </w:t>
      </w:r>
    </w:p>
    <w:p w14:paraId="792AE4F4" w14:textId="77777777" w:rsidR="00EE7745" w:rsidRDefault="00EE7745" w:rsidP="00A020A4">
      <w:pPr>
        <w:pStyle w:val="ListParagraph"/>
        <w:spacing w:after="0" w:line="240" w:lineRule="auto"/>
        <w:ind w:left="540"/>
        <w:jc w:val="both"/>
        <w:rPr>
          <w:lang w:val="fr-FR"/>
        </w:rPr>
      </w:pPr>
    </w:p>
    <w:p w14:paraId="700EE8C8" w14:textId="2D882DCD" w:rsidR="00EE7745" w:rsidRPr="00EE7745" w:rsidRDefault="003A6318" w:rsidP="00A020A4">
      <w:pPr>
        <w:pStyle w:val="ListParagraph"/>
        <w:numPr>
          <w:ilvl w:val="0"/>
          <w:numId w:val="6"/>
        </w:numPr>
        <w:spacing w:after="0" w:line="240" w:lineRule="auto"/>
        <w:ind w:left="540" w:hanging="540"/>
        <w:jc w:val="both"/>
        <w:rPr>
          <w:lang w:val="fr-FR"/>
        </w:rPr>
      </w:pPr>
      <w:r>
        <w:rPr>
          <w:lang w:val="fr-FR"/>
        </w:rPr>
        <w:t xml:space="preserve">En ce qui concerne la collaboration avec les institutions financières internationales, l’ETF a soutenu – virtuellement et en personne – plusieurs consultations sur les politiques et les mesures de protection mises à jour de la Banque européenne pour la reconstruction et le développement, la Banque européenne d’investissement, la Banque </w:t>
      </w:r>
      <w:proofErr w:type="spellStart"/>
      <w:r>
        <w:rPr>
          <w:lang w:val="fr-FR"/>
        </w:rPr>
        <w:t>inter-américaine</w:t>
      </w:r>
      <w:proofErr w:type="spellEnd"/>
      <w:r>
        <w:rPr>
          <w:lang w:val="fr-FR"/>
        </w:rPr>
        <w:t xml:space="preserve"> de développement, les Principes de l’Équateur EP4 et la Banque asiatique d’investissement pour les infrastructures. </w:t>
      </w:r>
    </w:p>
    <w:p w14:paraId="663A63CF" w14:textId="070542A9" w:rsidR="006E6152" w:rsidRPr="00A020A4" w:rsidRDefault="006E6152" w:rsidP="00A020A4">
      <w:pPr>
        <w:pStyle w:val="ListParagraph"/>
        <w:spacing w:after="0" w:line="240" w:lineRule="auto"/>
        <w:ind w:left="540"/>
        <w:jc w:val="both"/>
        <w:rPr>
          <w:lang w:val="fr-FR"/>
        </w:rPr>
      </w:pPr>
    </w:p>
    <w:p w14:paraId="7BBA0344" w14:textId="000E94B2" w:rsidR="00CC1983" w:rsidRPr="00E429EE" w:rsidRDefault="009C545D" w:rsidP="00CC1983">
      <w:pPr>
        <w:pStyle w:val="ListParagraph"/>
        <w:numPr>
          <w:ilvl w:val="0"/>
          <w:numId w:val="6"/>
        </w:numPr>
        <w:spacing w:after="0" w:line="240" w:lineRule="auto"/>
        <w:ind w:left="540" w:hanging="540"/>
        <w:jc w:val="both"/>
        <w:rPr>
          <w:lang w:val="fr-FR"/>
        </w:rPr>
      </w:pPr>
      <w:r>
        <w:rPr>
          <w:lang w:val="fr-FR"/>
        </w:rPr>
        <w:t xml:space="preserve">Au cours de la période intersessions actuelle, le nombre de membres de l’ETF a augmenté, avec 24 nouveaux membres et observateurs, dont des Parties de la CMS, des institutions financières internationales, des organisations de recherche et des </w:t>
      </w:r>
      <w:proofErr w:type="spellStart"/>
      <w:r>
        <w:rPr>
          <w:lang w:val="fr-FR"/>
        </w:rPr>
        <w:t>ONG.Une</w:t>
      </w:r>
      <w:proofErr w:type="spellEnd"/>
      <w:r>
        <w:rPr>
          <w:lang w:val="fr-FR"/>
        </w:rPr>
        <w:t xml:space="preserve"> liste des membres et des observateurs mise à jour en permanence est disponible sur le </w:t>
      </w:r>
      <w:hyperlink r:id="rId27" w:history="1">
        <w:r>
          <w:rPr>
            <w:rStyle w:val="Hyperlink"/>
            <w:lang w:val="fr-FR"/>
          </w:rPr>
          <w:t>site Web du Groupe d’étude de l’énergie</w:t>
        </w:r>
      </w:hyperlink>
      <w:r>
        <w:rPr>
          <w:lang w:val="fr-FR"/>
        </w:rPr>
        <w:t xml:space="preserve"> (</w:t>
      </w:r>
      <w:hyperlink r:id="rId28">
        <w:r>
          <w:rPr>
            <w:rStyle w:val="Hyperlink"/>
            <w:lang w:val="fr-FR"/>
          </w:rPr>
          <w:t>listes des membres et des observateurs de l’ETF</w:t>
        </w:r>
      </w:hyperlink>
      <w:r>
        <w:rPr>
          <w:lang w:val="fr-FR"/>
        </w:rPr>
        <w:t xml:space="preserve">). </w:t>
      </w:r>
    </w:p>
    <w:p w14:paraId="52064BDB" w14:textId="77777777" w:rsidR="00663279" w:rsidRPr="00663279" w:rsidRDefault="00663279" w:rsidP="00A020A4">
      <w:pPr>
        <w:spacing w:after="0" w:line="240" w:lineRule="auto"/>
        <w:jc w:val="both"/>
        <w:rPr>
          <w:lang w:val="fr-FR"/>
        </w:rPr>
      </w:pPr>
    </w:p>
    <w:p w14:paraId="3C67EC18" w14:textId="5E7319A9" w:rsidR="0008089C" w:rsidRPr="00204F71" w:rsidRDefault="007F6B8E" w:rsidP="00A03770">
      <w:pPr>
        <w:pStyle w:val="ListParagraph"/>
        <w:numPr>
          <w:ilvl w:val="0"/>
          <w:numId w:val="6"/>
        </w:numPr>
        <w:spacing w:after="0" w:line="240" w:lineRule="auto"/>
        <w:ind w:left="540" w:hanging="540"/>
        <w:jc w:val="both"/>
        <w:rPr>
          <w:lang w:val="fr-FR"/>
        </w:rPr>
      </w:pPr>
      <w:r>
        <w:rPr>
          <w:lang w:val="fr-FR"/>
        </w:rPr>
        <w:t xml:space="preserve">L’ETF a continué à faciliter la coopération entre la CMS et les accords conclus sous ses auspices tels que l’Accord sur la conservation des oiseaux d’eau migrateurs d’Afrique-Eurasie (AEWA), l’Accord sur la conservation des populations de chauves-souris en Europe (EUROBATS), l’Accord sur la conservation des petits cétacés de la mer Baltique, du nord-est de l’Atlantique et des mers d’Irlande et du Nord (ASCOBANS), l’Accord sur la conservation des cétacés de la mer Noire, de la Méditerranée et de la zone atlantique </w:t>
      </w:r>
      <w:r>
        <w:rPr>
          <w:lang w:val="fr-FR"/>
        </w:rPr>
        <w:lastRenderedPageBreak/>
        <w:t>adjacente (ACCOBAMS) et le Mémorandum d'entente sur la conservation des oiseaux de proie migrateurs d'Afrique et d'Eurasie (</w:t>
      </w:r>
      <w:proofErr w:type="spellStart"/>
      <w:r>
        <w:rPr>
          <w:lang w:val="fr-FR"/>
        </w:rPr>
        <w:t>MdE</w:t>
      </w:r>
      <w:proofErr w:type="spellEnd"/>
      <w:r>
        <w:rPr>
          <w:lang w:val="fr-FR"/>
        </w:rPr>
        <w:t xml:space="preserve"> Rapaces). Les Secrétariats, les organes techniques et les groupes de travail concernés ont continué à coopérer et ont entrepris des travaux pertinents sur l’impact des lignes électriques, des éoliennes et d’autres technologies d’énergie renouvelable sur les espèces migratrices, comme en témoignent diverses orientations produites dans le cadre de l’ETF.</w:t>
      </w:r>
    </w:p>
    <w:p w14:paraId="660B5411" w14:textId="77777777" w:rsidR="00204F71" w:rsidRPr="0008089C" w:rsidRDefault="00204F71" w:rsidP="00204F71">
      <w:pPr>
        <w:pStyle w:val="ListParagraph"/>
        <w:spacing w:after="0" w:line="240" w:lineRule="auto"/>
        <w:ind w:left="540"/>
        <w:jc w:val="both"/>
        <w:rPr>
          <w:lang w:val="fr-FR"/>
        </w:rPr>
      </w:pPr>
    </w:p>
    <w:p w14:paraId="23E0C073" w14:textId="2CC2A5BD" w:rsidR="00663279" w:rsidRDefault="00663279" w:rsidP="00663279">
      <w:pPr>
        <w:pStyle w:val="ListParagraph"/>
        <w:numPr>
          <w:ilvl w:val="0"/>
          <w:numId w:val="6"/>
        </w:numPr>
        <w:spacing w:after="0" w:line="240" w:lineRule="auto"/>
        <w:ind w:left="540" w:hanging="540"/>
        <w:jc w:val="both"/>
        <w:rPr>
          <w:lang w:val="fr-FR"/>
        </w:rPr>
      </w:pPr>
      <w:r>
        <w:rPr>
          <w:lang w:val="fr-FR"/>
        </w:rPr>
        <w:t xml:space="preserve">Le Groupe de travail technique (TWG) de l’ ETF a tenu sa première réunion en février 2021 et a rendu compte de sa composition mise à jour et des progrès accomplis par rapport à ses priorités de recherche lors de </w:t>
      </w:r>
      <w:hyperlink r:id="rId29" w:history="1">
        <w:r>
          <w:rPr>
            <w:rStyle w:val="Hyperlink"/>
            <w:lang w:val="fr-FR"/>
          </w:rPr>
          <w:t>l’ETF6</w:t>
        </w:r>
      </w:hyperlink>
      <w:r>
        <w:rPr>
          <w:lang w:val="fr-FR"/>
        </w:rPr>
        <w:t>. Le TWG a fait état de peu de progrès par rapport à ces priorités, principalement en raison du manque de ressources financières.</w:t>
      </w:r>
    </w:p>
    <w:p w14:paraId="3FF79EAA" w14:textId="4E547FCA" w:rsidR="00663279" w:rsidRDefault="00663279" w:rsidP="00663279">
      <w:pPr>
        <w:pStyle w:val="ListParagraph"/>
        <w:numPr>
          <w:ilvl w:val="0"/>
          <w:numId w:val="6"/>
        </w:numPr>
        <w:spacing w:after="0" w:line="240" w:lineRule="auto"/>
        <w:ind w:left="540" w:hanging="540"/>
        <w:jc w:val="both"/>
        <w:rPr>
          <w:lang w:val="fr-FR"/>
        </w:rPr>
      </w:pPr>
      <w:r>
        <w:rPr>
          <w:lang w:val="fr-FR"/>
        </w:rPr>
        <w:t xml:space="preserve">Le groupe de travail de l’ETF sur les lignes électriques a convoqué sa première réunion en février 2021 et a également rendu compte de sa composition mise à jour et de ses résultats lors de </w:t>
      </w:r>
      <w:hyperlink r:id="rId30" w:history="1">
        <w:r>
          <w:rPr>
            <w:rStyle w:val="Hyperlink"/>
            <w:lang w:val="fr-FR"/>
          </w:rPr>
          <w:t>l’ETF6</w:t>
        </w:r>
      </w:hyperlink>
      <w:r>
        <w:rPr>
          <w:lang w:val="fr-FR"/>
        </w:rPr>
        <w:t xml:space="preserve">. </w:t>
      </w:r>
    </w:p>
    <w:p w14:paraId="6F78FF43" w14:textId="77777777" w:rsidR="00663279" w:rsidRPr="00EC4F98" w:rsidRDefault="00663279" w:rsidP="00663279">
      <w:pPr>
        <w:spacing w:after="0" w:line="240" w:lineRule="auto"/>
        <w:jc w:val="both"/>
        <w:rPr>
          <w:lang w:val="fr-FR"/>
        </w:rPr>
      </w:pPr>
    </w:p>
    <w:p w14:paraId="0FE5AC92" w14:textId="4AEF6A51" w:rsidR="00663279" w:rsidRDefault="00663279" w:rsidP="00663279">
      <w:pPr>
        <w:pStyle w:val="ListParagraph"/>
        <w:numPr>
          <w:ilvl w:val="0"/>
          <w:numId w:val="6"/>
        </w:numPr>
        <w:spacing w:after="0" w:line="240" w:lineRule="auto"/>
        <w:ind w:left="540" w:hanging="540"/>
        <w:jc w:val="both"/>
        <w:rPr>
          <w:lang w:val="fr-FR"/>
        </w:rPr>
      </w:pPr>
      <w:r>
        <w:rPr>
          <w:lang w:val="fr-FR"/>
        </w:rPr>
        <w:t xml:space="preserve">En ce qui concerne la Décision 13.107 (b) - (e) et comme discuté lors d'un webinaire de l’ETF organisé en mars 2023, les membres et les observateurs de l’ETF ont noté que la collecte des données de mortalité des espèces dans les bases de données mondiales était une tâche très complexe que l’ETF pouvait mener de sa propre initiative et a recommandé des orientations plus claires à définir par une nouvelle décision.  </w:t>
      </w:r>
    </w:p>
    <w:p w14:paraId="012D2E2C" w14:textId="57580A31" w:rsidR="0028761A" w:rsidRDefault="0028761A" w:rsidP="00167DA1">
      <w:pPr>
        <w:pStyle w:val="ListParagraph"/>
        <w:spacing w:after="0" w:line="240" w:lineRule="auto"/>
        <w:ind w:left="360"/>
        <w:contextualSpacing w:val="0"/>
        <w:rPr>
          <w:lang w:val="fr-FR"/>
        </w:rPr>
      </w:pPr>
    </w:p>
    <w:p w14:paraId="52FE0CCA" w14:textId="6298B0FD" w:rsidR="00246A7C" w:rsidRPr="00CD0FE9" w:rsidRDefault="004E4CB5" w:rsidP="00167DA1">
      <w:pPr>
        <w:spacing w:after="0" w:line="240" w:lineRule="auto"/>
        <w:jc w:val="both"/>
        <w:rPr>
          <w:rFonts w:cs="Arial"/>
          <w:u w:val="single"/>
          <w:lang w:val="fr-FR"/>
        </w:rPr>
      </w:pPr>
      <w:r>
        <w:rPr>
          <w:rFonts w:cs="Arial"/>
          <w:u w:val="single"/>
          <w:lang w:val="fr-FR"/>
        </w:rPr>
        <w:t>Discussion et analyse</w:t>
      </w:r>
    </w:p>
    <w:p w14:paraId="6C0D40C8" w14:textId="77777777" w:rsidR="00246A7C" w:rsidRDefault="00246A7C" w:rsidP="00246A7C">
      <w:pPr>
        <w:spacing w:after="0" w:line="240" w:lineRule="auto"/>
        <w:jc w:val="both"/>
        <w:rPr>
          <w:lang w:val="fr-FR"/>
        </w:rPr>
      </w:pPr>
    </w:p>
    <w:p w14:paraId="4664B5E6" w14:textId="62D1C2AA" w:rsidR="00117A63" w:rsidRPr="00A020A4" w:rsidRDefault="00117A63" w:rsidP="00117A63">
      <w:pPr>
        <w:pStyle w:val="ListParagraph"/>
        <w:numPr>
          <w:ilvl w:val="0"/>
          <w:numId w:val="6"/>
        </w:numPr>
        <w:spacing w:after="0" w:line="240" w:lineRule="auto"/>
        <w:ind w:left="540" w:hanging="540"/>
        <w:jc w:val="both"/>
        <w:rPr>
          <w:lang w:val="fr-FR"/>
        </w:rPr>
      </w:pPr>
      <w:r>
        <w:rPr>
          <w:lang w:val="fr-FR"/>
        </w:rPr>
        <w:t>L’ETF met en œuvre avec succès son plan de travail, augmente le nombre de ses membres et s’adresse à de nouvelles parties prenantes et à de nouveaux alliés. À titre d'exemple, l’ETF a participé à la plupart des forums sur les énergies renouvelables et la conservation, tels que la COP27 de la Convention-cadre des Nations unies sur les changements climatiques (CCNUCC). À ce jour, l’ETF passe de son objectif initial sur les oiseaux migrateurs dans la région Afrique-Eurasie à un programme multi-taxons qui inclut les oiseaux, les espèces de chauves-souris, les mammifères marins et terrestres et leurs interactions avec les infrastructures d’énergie renouvelable. Les orientations techniques de l’ETF désignent également des lignes électriques et des parcs éoliens à la cartographie de la sensibilité et à d'autres sources d’énergie renouvelable telles que les technologies solaires ou hydroélectriques.</w:t>
      </w:r>
    </w:p>
    <w:p w14:paraId="1EC63B1E" w14:textId="77777777" w:rsidR="00EC7C63" w:rsidRPr="00B1350F" w:rsidRDefault="00EC7C63" w:rsidP="00A020A4">
      <w:pPr>
        <w:pStyle w:val="ListParagraph"/>
        <w:spacing w:after="0" w:line="240" w:lineRule="auto"/>
        <w:ind w:left="540"/>
        <w:jc w:val="both"/>
        <w:rPr>
          <w:lang w:val="fr-FR"/>
        </w:rPr>
      </w:pPr>
    </w:p>
    <w:p w14:paraId="57235313" w14:textId="358C28D8" w:rsidR="00246A7C" w:rsidRDefault="00213602" w:rsidP="00246A7C">
      <w:pPr>
        <w:pStyle w:val="ListParagraph"/>
        <w:numPr>
          <w:ilvl w:val="0"/>
          <w:numId w:val="6"/>
        </w:numPr>
        <w:spacing w:after="0" w:line="240" w:lineRule="auto"/>
        <w:ind w:left="540" w:hanging="540"/>
        <w:jc w:val="both"/>
        <w:rPr>
          <w:lang w:val="fr-FR"/>
        </w:rPr>
      </w:pPr>
      <w:r>
        <w:rPr>
          <w:lang w:val="fr-FR"/>
        </w:rPr>
        <w:t xml:space="preserve">La mise en œuvre du plan de travail de l’ ETF progresse, avec une attention renouvelée sur les principales zones géographiques où, auparavant, l’ETF s’était peu engagée (telles que les voies de migration américaines et asiatiques), l’élaboration de documents stratégiques qui doivent faciliter la collaboration avec les institutions financières internationales, un programme de petites subventions qui sera lancé par </w:t>
      </w:r>
      <w:proofErr w:type="spellStart"/>
      <w:r>
        <w:rPr>
          <w:lang w:val="fr-FR"/>
        </w:rPr>
        <w:t>BirdLife</w:t>
      </w:r>
      <w:proofErr w:type="spellEnd"/>
      <w:r>
        <w:rPr>
          <w:lang w:val="fr-FR"/>
        </w:rPr>
        <w:t xml:space="preserve"> International au deuxième semestre 2023, et la production et l’adoption d’une nouvelle orientation dans des domaines tels que l’énergie solaire et éolienne au large des côtes. </w:t>
      </w:r>
    </w:p>
    <w:p w14:paraId="06D972CB" w14:textId="77777777" w:rsidR="00397287" w:rsidRDefault="00397287" w:rsidP="00397287">
      <w:pPr>
        <w:pStyle w:val="ListParagraph"/>
        <w:spacing w:after="0" w:line="240" w:lineRule="auto"/>
        <w:ind w:left="540"/>
        <w:jc w:val="both"/>
        <w:rPr>
          <w:lang w:val="fr-FR"/>
        </w:rPr>
      </w:pPr>
    </w:p>
    <w:p w14:paraId="606D4F76" w14:textId="452C32E1" w:rsidR="00246A7C" w:rsidRDefault="556CC695" w:rsidP="00246A7C">
      <w:pPr>
        <w:pStyle w:val="ListParagraph"/>
        <w:numPr>
          <w:ilvl w:val="0"/>
          <w:numId w:val="6"/>
        </w:numPr>
        <w:spacing w:after="0" w:line="240" w:lineRule="auto"/>
        <w:ind w:left="540" w:hanging="540"/>
        <w:jc w:val="both"/>
        <w:rPr>
          <w:lang w:val="fr-FR"/>
        </w:rPr>
      </w:pPr>
      <w:r>
        <w:rPr>
          <w:lang w:val="fr-FR"/>
        </w:rPr>
        <w:t xml:space="preserve">Lors de l’ETF6, les membres ont souligné la nécessité de collaborer avec le secteur des entreprises et les institutions financières internationales pour intégrer la protection des espèces migratrices dans les politiques et les mesures de protection du secteur. Les membres et les observateurs ont également souligné la nécessité d’encourager la communauté internationale des donateurs à intégrer le financement lié à la transition vers les énergies renouvelables. Enfin, ils ont demandé une évaluation de l’impact des infrastructures liées à l’énergie, telles que l’extraction de lithium ou la production de panneaux photovoltaïques. Il est prévu que l’ETF produise des orientations dans ces domaines au cours de la prochaine période intersessions </w:t>
      </w:r>
    </w:p>
    <w:p w14:paraId="68B2C91C" w14:textId="77777777" w:rsidR="00594ABF" w:rsidRPr="00594ABF" w:rsidRDefault="00594ABF" w:rsidP="00594ABF">
      <w:pPr>
        <w:pStyle w:val="ListParagraph"/>
        <w:rPr>
          <w:lang w:val="fr-FR"/>
        </w:rPr>
      </w:pPr>
    </w:p>
    <w:p w14:paraId="793105A7" w14:textId="11261D31" w:rsidR="00594ABF" w:rsidRDefault="002F3BBB" w:rsidP="00246A7C">
      <w:pPr>
        <w:pStyle w:val="ListParagraph"/>
        <w:numPr>
          <w:ilvl w:val="0"/>
          <w:numId w:val="6"/>
        </w:numPr>
        <w:spacing w:after="0" w:line="240" w:lineRule="auto"/>
        <w:ind w:left="540" w:hanging="540"/>
        <w:jc w:val="both"/>
        <w:rPr>
          <w:lang w:val="fr-FR"/>
        </w:rPr>
      </w:pPr>
      <w:r>
        <w:rPr>
          <w:lang w:val="fr-FR"/>
        </w:rPr>
        <w:lastRenderedPageBreak/>
        <w:t>Bien que, depuis sa création, l’ETF se soit concentrée sur les oiseaux migrateurs, son mandat</w:t>
      </w:r>
      <w:r>
        <w:rPr>
          <w:rStyle w:val="FootnoteReference"/>
          <w:lang w:val="fr-FR"/>
        </w:rPr>
        <w:footnoteReference w:id="2"/>
      </w:r>
      <w:r>
        <w:rPr>
          <w:lang w:val="fr-FR"/>
        </w:rPr>
        <w:t xml:space="preserve"> indique que l’ ETF couvrira tous les taxons migrateurs identifiés par la CMS et les instruments établis sous ses auspices, et que le calendrier et l’étendue des extensions taxonomiques seront décidés par les membres de l’ETF, en fonction des fonds disponibles. Lors du webinaire de l’ETF en octobre 2022, des représentants de l’ASCOBANS ont fait une présentation sur la construction d’éoliennes au large des côtes et son impact sur les cétacés, notant le développement rapide du secteur pour atteindre les objectifs en matière d’énergie renouvelable. Une nouvelle décision est donc proposée pour étendre la portée de l’ETF aux cétacés.</w:t>
      </w:r>
    </w:p>
    <w:p w14:paraId="46A25D9A" w14:textId="77777777" w:rsidR="005A718B" w:rsidRPr="005A718B" w:rsidRDefault="005A718B" w:rsidP="00D0610F">
      <w:pPr>
        <w:pStyle w:val="ListParagraph"/>
        <w:rPr>
          <w:lang w:val="fr-FR"/>
        </w:rPr>
      </w:pPr>
    </w:p>
    <w:p w14:paraId="517D152E" w14:textId="0619458D" w:rsidR="005A718B" w:rsidRDefault="00F95028" w:rsidP="00246A7C">
      <w:pPr>
        <w:pStyle w:val="ListParagraph"/>
        <w:numPr>
          <w:ilvl w:val="0"/>
          <w:numId w:val="6"/>
        </w:numPr>
        <w:spacing w:after="0" w:line="240" w:lineRule="auto"/>
        <w:ind w:left="540" w:hanging="540"/>
        <w:jc w:val="both"/>
        <w:rPr>
          <w:lang w:val="fr-FR"/>
        </w:rPr>
      </w:pPr>
      <w:r>
        <w:rPr>
          <w:lang w:val="fr-FR"/>
        </w:rPr>
        <w:t xml:space="preserve">Comme le prévoient les </w:t>
      </w:r>
      <w:hyperlink r:id="rId31" w:history="1">
        <w:r>
          <w:rPr>
            <w:rStyle w:val="Hyperlink"/>
            <w:i/>
            <w:iCs/>
            <w:lang w:val="fr-FR"/>
          </w:rPr>
          <w:t>Décisions 13.130-13.134  Développement des infrastructures et espèces migratrices</w:t>
        </w:r>
      </w:hyperlink>
      <w:r>
        <w:rPr>
          <w:lang w:val="fr-FR"/>
        </w:rPr>
        <w:t>, le Comité de session du Conseil scientifique a créé un groupe de travail multipartite lors de sa 5</w:t>
      </w:r>
      <w:r>
        <w:rPr>
          <w:vertAlign w:val="superscript"/>
          <w:lang w:val="fr-FR"/>
        </w:rPr>
        <w:t>ème</w:t>
      </w:r>
      <w:r>
        <w:rPr>
          <w:lang w:val="fr-FR"/>
        </w:rPr>
        <w:t xml:space="preserve"> réunion (</w:t>
      </w:r>
      <w:hyperlink r:id="rId32" w:history="1">
        <w:r>
          <w:rPr>
            <w:rStyle w:val="Hyperlink"/>
            <w:lang w:val="fr-FR"/>
          </w:rPr>
          <w:t>UNEP/CMS/ScC-SC5/</w:t>
        </w:r>
        <w:proofErr w:type="spellStart"/>
        <w:r>
          <w:rPr>
            <w:rStyle w:val="Hyperlink"/>
            <w:lang w:val="fr-FR"/>
          </w:rPr>
          <w:t>Outcome</w:t>
        </w:r>
        <w:proofErr w:type="spellEnd"/>
        <w:r>
          <w:rPr>
            <w:rStyle w:val="Hyperlink"/>
            <w:lang w:val="fr-FR"/>
          </w:rPr>
          <w:t xml:space="preserve"> 13</w:t>
        </w:r>
      </w:hyperlink>
      <w:r>
        <w:rPr>
          <w:lang w:val="fr-FR"/>
        </w:rPr>
        <w:t xml:space="preserve">). Le groupe de travail a été chargé </w:t>
      </w:r>
      <w:r w:rsidR="00C91C62">
        <w:rPr>
          <w:lang w:val="fr-FR"/>
        </w:rPr>
        <w:t>d’examiner</w:t>
      </w:r>
      <w:r>
        <w:rPr>
          <w:lang w:val="fr-FR"/>
        </w:rPr>
        <w:t xml:space="preserve"> les informations disponibles concernant le développement des infrastructures linéaires et les impacts potentiels sur les espèces migratrices, en identifiant les domaines où une assistance supplémentaire est nécessaire en vue d'améliorer la mise en œuvre de la Résolution 7.2 (Rev.COP12) </w:t>
      </w:r>
      <w:r>
        <w:rPr>
          <w:i/>
          <w:iCs/>
          <w:lang w:val="fr-FR"/>
        </w:rPr>
        <w:t>Évaluation d'impact et espèces migratrices</w:t>
      </w:r>
      <w:r>
        <w:rPr>
          <w:lang w:val="fr-FR"/>
        </w:rPr>
        <w:t xml:space="preserve"> et fournir des recommandations sur l’orientation future des travaux sur ce sujet dans le cadre de la CMS. Les recommandations du groupe de travail, contenues dans l’Annexe 2 du document </w:t>
      </w:r>
      <w:hyperlink r:id="rId33" w:history="1">
        <w:r>
          <w:rPr>
            <w:rStyle w:val="Hyperlink"/>
            <w:lang w:val="fr-FR"/>
          </w:rPr>
          <w:t>UNEP/CMS/LI-IWG/Report</w:t>
        </w:r>
      </w:hyperlink>
      <w:r>
        <w:rPr>
          <w:lang w:val="fr-FR"/>
        </w:rPr>
        <w:t xml:space="preserve"> seront sujettes à discussion par le Comité de session du Conseil scientifique lors de sa 6</w:t>
      </w:r>
      <w:r>
        <w:rPr>
          <w:vertAlign w:val="superscript"/>
          <w:lang w:val="fr-FR"/>
        </w:rPr>
        <w:t>ème</w:t>
      </w:r>
      <w:r>
        <w:rPr>
          <w:lang w:val="fr-FR"/>
        </w:rPr>
        <w:t xml:space="preserve"> réunion. </w:t>
      </w:r>
    </w:p>
    <w:p w14:paraId="7524F4F2" w14:textId="77777777" w:rsidR="00661875" w:rsidRPr="00CD0FE9" w:rsidRDefault="00661875" w:rsidP="00661875">
      <w:pPr>
        <w:spacing w:after="0" w:line="240" w:lineRule="auto"/>
        <w:jc w:val="both"/>
        <w:rPr>
          <w:rFonts w:cs="Arial"/>
          <w:lang w:val="fr-FR"/>
        </w:rPr>
      </w:pPr>
    </w:p>
    <w:p w14:paraId="25D5D96F" w14:textId="77777777" w:rsidR="00661875" w:rsidRPr="00CD0FE9" w:rsidRDefault="00661875" w:rsidP="00661875">
      <w:pPr>
        <w:spacing w:after="0" w:line="240" w:lineRule="auto"/>
        <w:rPr>
          <w:rFonts w:cs="Arial"/>
          <w:lang w:val="fr-FR"/>
        </w:rPr>
      </w:pPr>
      <w:r>
        <w:rPr>
          <w:rFonts w:cs="Arial"/>
          <w:u w:val="single"/>
          <w:lang w:val="fr-FR"/>
        </w:rPr>
        <w:t>Actions recommandées</w:t>
      </w:r>
    </w:p>
    <w:p w14:paraId="180331FF" w14:textId="77777777" w:rsidR="00661875" w:rsidRPr="00CD0FE9" w:rsidRDefault="00661875" w:rsidP="00661875">
      <w:pPr>
        <w:spacing w:after="0" w:line="240" w:lineRule="auto"/>
        <w:rPr>
          <w:rFonts w:cs="Arial"/>
          <w:lang w:val="fr-FR"/>
        </w:rPr>
      </w:pPr>
    </w:p>
    <w:p w14:paraId="67424D11" w14:textId="7083C63E" w:rsidR="00661875" w:rsidRPr="00167DA1" w:rsidRDefault="00661875" w:rsidP="00167DA1">
      <w:pPr>
        <w:pStyle w:val="ListParagraph"/>
        <w:widowControl w:val="0"/>
        <w:numPr>
          <w:ilvl w:val="0"/>
          <w:numId w:val="6"/>
        </w:numPr>
        <w:autoSpaceDE w:val="0"/>
        <w:autoSpaceDN w:val="0"/>
        <w:adjustRightInd w:val="0"/>
        <w:spacing w:after="0" w:line="240" w:lineRule="auto"/>
        <w:ind w:left="567" w:hanging="567"/>
        <w:jc w:val="both"/>
        <w:rPr>
          <w:rFonts w:cs="Arial"/>
          <w:lang w:val="fr-FR"/>
        </w:rPr>
      </w:pPr>
      <w:r w:rsidRPr="00167DA1">
        <w:rPr>
          <w:rFonts w:cs="Arial"/>
          <w:lang w:val="fr-FR" w:eastAsia="en-GB"/>
        </w:rPr>
        <w:t>Il est recommandé à la Conférence des Parties</w:t>
      </w:r>
      <w:r w:rsidRPr="00167DA1">
        <w:rPr>
          <w:rFonts w:cs="Arial"/>
          <w:lang w:val="fr-FR"/>
        </w:rPr>
        <w:t xml:space="preserve"> :</w:t>
      </w:r>
      <w:r w:rsidRPr="00167DA1">
        <w:rPr>
          <w:rFonts w:cs="Arial"/>
          <w:i/>
          <w:color w:val="0000FF"/>
          <w:lang w:val="fr-FR"/>
        </w:rPr>
        <w:t xml:space="preserve"> </w:t>
      </w:r>
    </w:p>
    <w:p w14:paraId="267A2529" w14:textId="65752E97" w:rsidR="00352923" w:rsidRPr="00D20FC6" w:rsidRDefault="00352923" w:rsidP="00352923">
      <w:pPr>
        <w:pStyle w:val="Secondnumbering"/>
        <w:numPr>
          <w:ilvl w:val="0"/>
          <w:numId w:val="0"/>
        </w:numPr>
        <w:rPr>
          <w:lang w:val="fr-FR"/>
        </w:rPr>
      </w:pPr>
    </w:p>
    <w:p w14:paraId="4C3252AC" w14:textId="2DD506B6" w:rsidR="003D3DEC" w:rsidRDefault="008C6CA6" w:rsidP="00167DA1">
      <w:pPr>
        <w:pStyle w:val="Secondnumbering"/>
        <w:numPr>
          <w:ilvl w:val="1"/>
          <w:numId w:val="13"/>
        </w:numPr>
        <w:ind w:left="1134" w:hanging="567"/>
        <w:rPr>
          <w:lang w:val="fr-FR"/>
        </w:rPr>
      </w:pPr>
      <w:r>
        <w:rPr>
          <w:lang w:val="fr-FR"/>
        </w:rPr>
        <w:t>de prendre note de la liste détaillée des activités menées par l’ETF figurant à l’Annexe 1 du présent document ;</w:t>
      </w:r>
    </w:p>
    <w:p w14:paraId="0667737F" w14:textId="77777777" w:rsidR="00BE2B29" w:rsidRPr="003D3DEC" w:rsidRDefault="00BE2B29" w:rsidP="00167DA1">
      <w:pPr>
        <w:pStyle w:val="Secondnumbering"/>
        <w:numPr>
          <w:ilvl w:val="0"/>
          <w:numId w:val="0"/>
        </w:numPr>
        <w:ind w:left="1134" w:hanging="567"/>
        <w:rPr>
          <w:lang w:val="fr-FR"/>
        </w:rPr>
      </w:pPr>
    </w:p>
    <w:p w14:paraId="6F65035F" w14:textId="3BEB6FF7" w:rsidR="0018519A" w:rsidRPr="00F349CD" w:rsidRDefault="008C6CA6" w:rsidP="00167DA1">
      <w:pPr>
        <w:pStyle w:val="Secondnumbering"/>
        <w:numPr>
          <w:ilvl w:val="1"/>
          <w:numId w:val="13"/>
        </w:numPr>
        <w:ind w:left="1134" w:hanging="567"/>
        <w:rPr>
          <w:lang w:val="fr-FR"/>
        </w:rPr>
      </w:pPr>
      <w:r>
        <w:rPr>
          <w:rFonts w:cs="Arial"/>
          <w:lang w:val="fr-FR"/>
        </w:rPr>
        <w:t>d'adopter le</w:t>
      </w:r>
      <w:r w:rsidR="00167DA1">
        <w:rPr>
          <w:rFonts w:cs="Arial"/>
          <w:lang w:val="fr-FR"/>
        </w:rPr>
        <w:t>s</w:t>
      </w:r>
      <w:r>
        <w:rPr>
          <w:rFonts w:cs="Arial"/>
          <w:lang w:val="fr-FR"/>
        </w:rPr>
        <w:t xml:space="preserve"> projets de décision</w:t>
      </w:r>
      <w:r w:rsidR="00167DA1">
        <w:rPr>
          <w:rFonts w:cs="Arial"/>
          <w:lang w:val="fr-FR"/>
        </w:rPr>
        <w:t>s</w:t>
      </w:r>
      <w:r>
        <w:rPr>
          <w:rFonts w:cs="Arial"/>
          <w:lang w:val="fr-FR"/>
        </w:rPr>
        <w:t xml:space="preserve"> figurant à l'</w:t>
      </w:r>
      <w:r w:rsidR="00167DA1">
        <w:rPr>
          <w:rFonts w:cs="Arial"/>
          <w:lang w:val="fr-FR"/>
        </w:rPr>
        <w:t>A</w:t>
      </w:r>
      <w:r>
        <w:rPr>
          <w:rFonts w:cs="Arial"/>
          <w:lang w:val="fr-FR"/>
        </w:rPr>
        <w:t>nnexe 2 du présent document ;</w:t>
      </w:r>
    </w:p>
    <w:p w14:paraId="2C0CD301" w14:textId="77777777" w:rsidR="00F349CD" w:rsidRDefault="00F349CD" w:rsidP="00167DA1">
      <w:pPr>
        <w:pStyle w:val="ListParagraph"/>
        <w:spacing w:after="0"/>
        <w:ind w:left="1134" w:hanging="567"/>
        <w:rPr>
          <w:lang w:val="fr-FR"/>
        </w:rPr>
      </w:pPr>
    </w:p>
    <w:p w14:paraId="22AB98AC" w14:textId="520D8C95" w:rsidR="00F349CD" w:rsidRPr="00D20FC6" w:rsidRDefault="00DC6E56" w:rsidP="00167DA1">
      <w:pPr>
        <w:pStyle w:val="Secondnumbering"/>
        <w:numPr>
          <w:ilvl w:val="1"/>
          <w:numId w:val="13"/>
        </w:numPr>
        <w:ind w:left="1134" w:hanging="567"/>
        <w:rPr>
          <w:lang w:val="fr-FR"/>
        </w:rPr>
      </w:pPr>
      <w:r>
        <w:rPr>
          <w:lang w:val="fr-FR"/>
        </w:rPr>
        <w:t>de supprimer les Décisions 13.106 à 13.108</w:t>
      </w:r>
    </w:p>
    <w:p w14:paraId="2ADB697D" w14:textId="77777777" w:rsidR="002A012C" w:rsidRPr="00695AAD" w:rsidRDefault="002A012C" w:rsidP="002A012C">
      <w:pPr>
        <w:pStyle w:val="Secondnumbering"/>
        <w:numPr>
          <w:ilvl w:val="0"/>
          <w:numId w:val="0"/>
        </w:numPr>
        <w:ind w:left="1134"/>
        <w:rPr>
          <w:lang w:val="fr-FR"/>
        </w:rPr>
      </w:pPr>
    </w:p>
    <w:p w14:paraId="5E7835BB" w14:textId="77777777" w:rsidR="00DD07FD" w:rsidRPr="00BC34DC" w:rsidRDefault="00DD07FD" w:rsidP="00831DC2">
      <w:pPr>
        <w:pStyle w:val="Secondnumbering"/>
        <w:numPr>
          <w:ilvl w:val="0"/>
          <w:numId w:val="0"/>
        </w:numPr>
        <w:rPr>
          <w:sz w:val="18"/>
          <w:szCs w:val="18"/>
          <w:lang w:val="fr-FR"/>
        </w:rPr>
      </w:pPr>
    </w:p>
    <w:p w14:paraId="3185A6A5" w14:textId="52332DDF" w:rsidR="00BC34DC" w:rsidRDefault="00BC34DC" w:rsidP="00BC34DC">
      <w:pPr>
        <w:tabs>
          <w:tab w:val="left" w:pos="3694"/>
        </w:tabs>
        <w:rPr>
          <w:lang w:val="fr-FR"/>
        </w:rPr>
      </w:pPr>
    </w:p>
    <w:p w14:paraId="683D566A" w14:textId="7545BB89" w:rsidR="00BC34DC" w:rsidRPr="00BC34DC" w:rsidRDefault="00BC34DC" w:rsidP="00BC34DC">
      <w:pPr>
        <w:tabs>
          <w:tab w:val="left" w:pos="3694"/>
        </w:tabs>
        <w:rPr>
          <w:lang w:val="fr-FR"/>
        </w:rPr>
        <w:sectPr w:rsidR="00BC34DC" w:rsidRPr="00BC34DC" w:rsidSect="00200C3D">
          <w:headerReference w:type="even" r:id="rId34"/>
          <w:headerReference w:type="default" r:id="rId35"/>
          <w:footerReference w:type="default" r:id="rId36"/>
          <w:headerReference w:type="first" r:id="rId37"/>
          <w:footerReference w:type="first" r:id="rId38"/>
          <w:pgSz w:w="11906" w:h="16838" w:code="9"/>
          <w:pgMar w:top="1440" w:right="1440" w:bottom="1440" w:left="1440" w:header="720" w:footer="720" w:gutter="0"/>
          <w:pgNumType w:start="2"/>
          <w:cols w:space="720"/>
          <w:titlePg/>
          <w:docGrid w:linePitch="360"/>
        </w:sectPr>
      </w:pPr>
    </w:p>
    <w:p w14:paraId="14291FF7" w14:textId="3D6637B8" w:rsidR="00DD07FD" w:rsidRPr="00CD0FE9" w:rsidRDefault="00DD07FD" w:rsidP="00DD07FD">
      <w:pPr>
        <w:spacing w:after="0" w:line="240" w:lineRule="auto"/>
        <w:jc w:val="right"/>
        <w:rPr>
          <w:rFonts w:cs="Arial"/>
          <w:b/>
          <w:bCs/>
          <w:caps/>
          <w:lang w:val="fr-FR"/>
        </w:rPr>
      </w:pPr>
      <w:r>
        <w:rPr>
          <w:rFonts w:cs="Arial"/>
          <w:b/>
          <w:caps/>
          <w:lang w:val="fr-FR"/>
        </w:rPr>
        <w:lastRenderedPageBreak/>
        <w:t>Annexe 1</w:t>
      </w:r>
    </w:p>
    <w:p w14:paraId="08BBF916" w14:textId="77777777" w:rsidR="00DD07FD" w:rsidRPr="00CD0FE9" w:rsidRDefault="00DD07FD" w:rsidP="00DD07FD">
      <w:pPr>
        <w:spacing w:after="0" w:line="240" w:lineRule="auto"/>
        <w:rPr>
          <w:rFonts w:cs="Arial"/>
          <w:lang w:val="fr-FR"/>
        </w:rPr>
      </w:pPr>
    </w:p>
    <w:p w14:paraId="1E34694C" w14:textId="77777777" w:rsidR="00797FCF" w:rsidRDefault="00797FCF" w:rsidP="00167DA1">
      <w:pPr>
        <w:spacing w:after="0" w:line="240" w:lineRule="auto"/>
        <w:rPr>
          <w:rFonts w:cs="Arial"/>
          <w:lang w:val="fr-FR"/>
        </w:rPr>
      </w:pPr>
    </w:p>
    <w:p w14:paraId="091B1BE7" w14:textId="2AD3BC4D" w:rsidR="00797FCF" w:rsidRDefault="00797FCF" w:rsidP="00DD07FD">
      <w:pPr>
        <w:spacing w:after="0" w:line="240" w:lineRule="auto"/>
        <w:jc w:val="center"/>
        <w:rPr>
          <w:rFonts w:cs="Arial"/>
          <w:lang w:val="fr-FR"/>
        </w:rPr>
      </w:pPr>
      <w:r>
        <w:rPr>
          <w:rFonts w:cs="Arial"/>
          <w:lang w:val="fr-FR"/>
        </w:rPr>
        <w:t xml:space="preserve">ACTIVITÉS MENÉES PAR L’ETF </w:t>
      </w:r>
    </w:p>
    <w:p w14:paraId="7BF6B536" w14:textId="77777777" w:rsidR="00797FCF" w:rsidRDefault="00797FCF" w:rsidP="00167DA1">
      <w:pPr>
        <w:spacing w:after="0" w:line="240" w:lineRule="auto"/>
        <w:rPr>
          <w:rFonts w:cs="Arial"/>
          <w:lang w:val="fr-FR"/>
        </w:rPr>
      </w:pPr>
    </w:p>
    <w:p w14:paraId="4AA3A2DC" w14:textId="77777777" w:rsidR="00797FCF" w:rsidRDefault="00797FCF" w:rsidP="00A020A4">
      <w:pPr>
        <w:spacing w:after="0" w:line="240" w:lineRule="auto"/>
        <w:rPr>
          <w:rFonts w:cs="Arial"/>
          <w:lang w:val="fr-FR"/>
        </w:rPr>
      </w:pPr>
    </w:p>
    <w:p w14:paraId="12F9F79F" w14:textId="7A1FF78C" w:rsidR="00797FCF" w:rsidRPr="00797FCF" w:rsidRDefault="00797FCF" w:rsidP="00A020A4">
      <w:pPr>
        <w:spacing w:after="0" w:line="240" w:lineRule="auto"/>
        <w:jc w:val="both"/>
        <w:rPr>
          <w:lang w:val="fr-FR"/>
        </w:rPr>
      </w:pPr>
    </w:p>
    <w:p w14:paraId="1A9D56B2" w14:textId="011CF3B5" w:rsidR="00797FCF" w:rsidRPr="00BE50F6" w:rsidRDefault="00797FCF" w:rsidP="00A020A4">
      <w:pPr>
        <w:pStyle w:val="ListParagraph"/>
        <w:numPr>
          <w:ilvl w:val="1"/>
          <w:numId w:val="20"/>
        </w:numPr>
        <w:ind w:left="360"/>
        <w:rPr>
          <w:lang w:val="fr-FR"/>
        </w:rPr>
      </w:pPr>
      <w:r>
        <w:rPr>
          <w:lang w:val="fr-FR"/>
        </w:rPr>
        <w:t>Documents de communication de l’ETF, outils de cartographie spatiale et publications des membres et observateurs de l’ETF : </w:t>
      </w:r>
    </w:p>
    <w:p w14:paraId="2113AC87" w14:textId="35B7FF1D" w:rsidR="00797FCF" w:rsidRPr="00BE50F6" w:rsidRDefault="00167DA1" w:rsidP="00A020A4">
      <w:pPr>
        <w:pStyle w:val="ListParagraph"/>
        <w:numPr>
          <w:ilvl w:val="2"/>
          <w:numId w:val="20"/>
        </w:numPr>
        <w:ind w:left="1080"/>
        <w:rPr>
          <w:lang w:val="fr-FR"/>
        </w:rPr>
      </w:pPr>
      <w:hyperlink r:id="rId39" w:tgtFrame="_blank" w:history="1">
        <w:r w:rsidR="0088662A">
          <w:rPr>
            <w:rStyle w:val="Hyperlink"/>
            <w:lang w:val="fr-FR"/>
          </w:rPr>
          <w:t>Le projet LIFE BTP, « Biodiversité intégrée dans les territoires et les politiques</w:t>
        </w:r>
      </w:hyperlink>
      <w:r w:rsidR="0088662A">
        <w:rPr>
          <w:lang w:val="fr-FR"/>
        </w:rPr>
        <w:t xml:space="preserve"> » </w:t>
      </w:r>
    </w:p>
    <w:p w14:paraId="0ACE83EC" w14:textId="77777777" w:rsidR="00797FCF" w:rsidRPr="00BE50F6" w:rsidRDefault="00167DA1" w:rsidP="00A020A4">
      <w:pPr>
        <w:pStyle w:val="ListParagraph"/>
        <w:numPr>
          <w:ilvl w:val="2"/>
          <w:numId w:val="20"/>
        </w:numPr>
        <w:ind w:left="1080"/>
        <w:jc w:val="both"/>
        <w:rPr>
          <w:lang w:val="fr-FR"/>
        </w:rPr>
      </w:pPr>
      <w:hyperlink r:id="rId40" w:tgtFrame="_blank" w:history="1">
        <w:r w:rsidR="0088662A">
          <w:rPr>
            <w:rStyle w:val="Hyperlink"/>
            <w:lang w:val="fr-FR"/>
          </w:rPr>
          <w:t>Atténuer les impacts des projets d’énergie solaire et éolienne sur la biodiversité : principales considérations à l’intention des développeurs de projets</w:t>
        </w:r>
      </w:hyperlink>
      <w:r w:rsidR="0088662A">
        <w:rPr>
          <w:lang w:val="fr-FR"/>
        </w:rPr>
        <w:t> </w:t>
      </w:r>
    </w:p>
    <w:p w14:paraId="2FA7B626" w14:textId="77777777" w:rsidR="00797FCF" w:rsidRPr="00BE50F6" w:rsidRDefault="00167DA1" w:rsidP="00A020A4">
      <w:pPr>
        <w:pStyle w:val="ListParagraph"/>
        <w:numPr>
          <w:ilvl w:val="2"/>
          <w:numId w:val="20"/>
        </w:numPr>
        <w:ind w:left="1080"/>
        <w:jc w:val="both"/>
        <w:rPr>
          <w:lang w:val="fr-FR"/>
        </w:rPr>
      </w:pPr>
      <w:hyperlink r:id="rId41" w:tgtFrame="_blank" w:history="1">
        <w:r w:rsidR="0088662A">
          <w:rPr>
            <w:rStyle w:val="Hyperlink"/>
            <w:lang w:val="fr-FR"/>
          </w:rPr>
          <w:t>Guide rapide pour prévenir l’électrocution des oiseaux</w:t>
        </w:r>
      </w:hyperlink>
      <w:r w:rsidR="0088662A">
        <w:rPr>
          <w:lang w:val="fr-FR"/>
        </w:rPr>
        <w:t> </w:t>
      </w:r>
    </w:p>
    <w:p w14:paraId="5003993C" w14:textId="77777777" w:rsidR="00797FCF" w:rsidRPr="00BE50F6" w:rsidRDefault="00167DA1" w:rsidP="00A020A4">
      <w:pPr>
        <w:pStyle w:val="ListParagraph"/>
        <w:numPr>
          <w:ilvl w:val="2"/>
          <w:numId w:val="20"/>
        </w:numPr>
        <w:ind w:left="1080"/>
        <w:jc w:val="both"/>
        <w:rPr>
          <w:lang w:val="fr-FR"/>
        </w:rPr>
      </w:pPr>
      <w:hyperlink r:id="rId42" w:tgtFrame="_blank" w:history="1">
        <w:r w:rsidR="0088662A">
          <w:rPr>
            <w:rStyle w:val="Hyperlink"/>
            <w:lang w:val="fr-FR"/>
          </w:rPr>
          <w:t>Faune et flore et lignes électriques : lignes directrices pour la prévention et l’atténuation de la mortalité de la faune et de la flore associée aux réseaux de distribution d’électricité</w:t>
        </w:r>
      </w:hyperlink>
      <w:r w:rsidR="0088662A">
        <w:rPr>
          <w:lang w:val="fr-FR"/>
        </w:rPr>
        <w:t> </w:t>
      </w:r>
    </w:p>
    <w:p w14:paraId="351A6CF0" w14:textId="5BA188E8" w:rsidR="00797FCF" w:rsidRPr="00A01E0D" w:rsidRDefault="00167DA1" w:rsidP="00A020A4">
      <w:pPr>
        <w:pStyle w:val="ListParagraph"/>
        <w:numPr>
          <w:ilvl w:val="2"/>
          <w:numId w:val="20"/>
        </w:numPr>
        <w:ind w:left="1080"/>
        <w:jc w:val="both"/>
        <w:rPr>
          <w:lang w:val="fr-FR"/>
        </w:rPr>
      </w:pPr>
      <w:hyperlink r:id="rId43" w:tgtFrame="_blank" w:history="1">
        <w:r w:rsidR="0088662A">
          <w:rPr>
            <w:rStyle w:val="Hyperlink"/>
            <w:lang w:val="fr-FR"/>
          </w:rPr>
          <w:t>AVISTEP</w:t>
        </w:r>
      </w:hyperlink>
      <w:r w:rsidR="0088662A">
        <w:rPr>
          <w:lang w:val="fr-FR"/>
        </w:rPr>
        <w:t xml:space="preserve"> – outil de sensibilité aviaire pour la planification énergétique</w:t>
      </w:r>
    </w:p>
    <w:p w14:paraId="51D1FA5E" w14:textId="750EF5BE" w:rsidR="00797FCF" w:rsidRPr="00A01E0D" w:rsidRDefault="00167DA1" w:rsidP="00797FCF">
      <w:pPr>
        <w:pStyle w:val="ListParagraph"/>
        <w:numPr>
          <w:ilvl w:val="2"/>
          <w:numId w:val="20"/>
        </w:numPr>
        <w:ind w:left="1080"/>
        <w:jc w:val="both"/>
        <w:rPr>
          <w:lang w:val="fr-FR"/>
        </w:rPr>
      </w:pPr>
      <w:hyperlink r:id="rId44" w:tgtFrame="_blank" w:history="1">
        <w:proofErr w:type="spellStart"/>
        <w:r w:rsidR="0088662A">
          <w:rPr>
            <w:rStyle w:val="Hyperlink"/>
            <w:lang w:val="fr-FR"/>
          </w:rPr>
          <w:t>TransMit</w:t>
        </w:r>
        <w:proofErr w:type="spellEnd"/>
      </w:hyperlink>
      <w:r w:rsidR="0088662A">
        <w:rPr>
          <w:lang w:val="fr-FR"/>
        </w:rPr>
        <w:t>.– boîte à outils fondée sur des données probantes pour atténuer la mortalité aviaire liée aux lignes électriques</w:t>
      </w:r>
    </w:p>
    <w:p w14:paraId="36D6878D" w14:textId="77777777" w:rsidR="00EC7C63" w:rsidRPr="00A01E0D" w:rsidRDefault="00EC7C63" w:rsidP="00A020A4">
      <w:pPr>
        <w:pStyle w:val="ListParagraph"/>
        <w:ind w:left="1080"/>
        <w:jc w:val="both"/>
        <w:rPr>
          <w:lang w:val="fr-FR"/>
        </w:rPr>
      </w:pPr>
    </w:p>
    <w:p w14:paraId="401AF398" w14:textId="258BCF8D" w:rsidR="00797FCF" w:rsidRPr="00F35C42" w:rsidRDefault="00797FCF" w:rsidP="00A020A4">
      <w:pPr>
        <w:pStyle w:val="ListParagraph"/>
        <w:numPr>
          <w:ilvl w:val="1"/>
          <w:numId w:val="20"/>
        </w:numPr>
        <w:ind w:left="360"/>
        <w:rPr>
          <w:lang w:val="fr-FR"/>
        </w:rPr>
      </w:pPr>
      <w:r>
        <w:rPr>
          <w:lang w:val="fr-FR"/>
        </w:rPr>
        <w:t>Fiches d'information et projets d’étude du Groupe d’étude de l’énergie :  </w:t>
      </w:r>
    </w:p>
    <w:p w14:paraId="64FFF23F" w14:textId="5202BFAD" w:rsidR="00797FCF" w:rsidRPr="00B1350F" w:rsidRDefault="00167DA1" w:rsidP="00A020A4">
      <w:pPr>
        <w:pStyle w:val="ListParagraph"/>
        <w:numPr>
          <w:ilvl w:val="2"/>
          <w:numId w:val="20"/>
        </w:numPr>
        <w:ind w:left="1080"/>
        <w:rPr>
          <w:lang w:val="fr-FR"/>
        </w:rPr>
      </w:pPr>
      <w:hyperlink r:id="rId45" w:history="1">
        <w:r w:rsidR="0088662A">
          <w:rPr>
            <w:rStyle w:val="Hyperlink"/>
            <w:lang w:val="fr-FR"/>
          </w:rPr>
          <w:t>Protection des espèces dans la planification énergétique</w:t>
        </w:r>
      </w:hyperlink>
      <w:r w:rsidR="0088662A">
        <w:rPr>
          <w:lang w:val="fr-FR"/>
        </w:rPr>
        <w:t> </w:t>
      </w:r>
    </w:p>
    <w:p w14:paraId="49FD4788" w14:textId="6321CBCF" w:rsidR="00797FCF" w:rsidRPr="00F35C42" w:rsidRDefault="00167DA1" w:rsidP="00A020A4">
      <w:pPr>
        <w:pStyle w:val="ListParagraph"/>
        <w:numPr>
          <w:ilvl w:val="2"/>
          <w:numId w:val="20"/>
        </w:numPr>
        <w:ind w:left="1080"/>
        <w:rPr>
          <w:lang w:val="fr-FR"/>
        </w:rPr>
      </w:pPr>
      <w:hyperlink r:id="rId46" w:tgtFrame="_blank" w:history="1">
        <w:r w:rsidR="0088662A">
          <w:rPr>
            <w:rStyle w:val="Hyperlink"/>
            <w:lang w:val="fr-FR"/>
          </w:rPr>
          <w:t>Vers des lignes électriques respectueuses des oiseaux en Égypte</w:t>
        </w:r>
      </w:hyperlink>
      <w:r w:rsidR="0088662A">
        <w:rPr>
          <w:lang w:val="fr-FR"/>
        </w:rPr>
        <w:t>  </w:t>
      </w:r>
    </w:p>
    <w:p w14:paraId="14AE14C9" w14:textId="4B8E4E47" w:rsidR="00797FCF" w:rsidRPr="00F35C42" w:rsidRDefault="00167DA1" w:rsidP="00A020A4">
      <w:pPr>
        <w:pStyle w:val="ListParagraph"/>
        <w:numPr>
          <w:ilvl w:val="2"/>
          <w:numId w:val="20"/>
        </w:numPr>
        <w:ind w:left="1080"/>
        <w:rPr>
          <w:lang w:val="fr-FR"/>
        </w:rPr>
      </w:pPr>
      <w:hyperlink r:id="rId47" w:tgtFrame="_blank" w:history="1">
        <w:r w:rsidR="0088662A">
          <w:rPr>
            <w:rStyle w:val="Hyperlink"/>
            <w:lang w:val="fr-FR"/>
          </w:rPr>
          <w:t>Planification régionale des parcs éoliens en Jordanie</w:t>
        </w:r>
      </w:hyperlink>
      <w:r w:rsidR="0088662A">
        <w:rPr>
          <w:lang w:val="fr-FR"/>
        </w:rPr>
        <w:t>  </w:t>
      </w:r>
    </w:p>
    <w:p w14:paraId="75601777" w14:textId="153B7ABC" w:rsidR="00797FCF" w:rsidRPr="00F35C42" w:rsidRDefault="00167DA1" w:rsidP="00A020A4">
      <w:pPr>
        <w:pStyle w:val="ListParagraph"/>
        <w:numPr>
          <w:ilvl w:val="2"/>
          <w:numId w:val="20"/>
        </w:numPr>
        <w:ind w:left="1080"/>
        <w:rPr>
          <w:lang w:val="fr-FR"/>
        </w:rPr>
      </w:pPr>
      <w:hyperlink r:id="rId48" w:tgtFrame="_blank" w:history="1">
        <w:r w:rsidR="0088662A">
          <w:rPr>
            <w:rStyle w:val="Hyperlink"/>
            <w:lang w:val="fr-FR"/>
          </w:rPr>
          <w:t>Évaluation environnementale stratégique au Kenya</w:t>
        </w:r>
      </w:hyperlink>
      <w:r w:rsidR="0088662A">
        <w:rPr>
          <w:lang w:val="fr-FR"/>
        </w:rPr>
        <w:t>  </w:t>
      </w:r>
    </w:p>
    <w:p w14:paraId="02713622" w14:textId="7CF118DE" w:rsidR="00797FCF" w:rsidRPr="00F35C42" w:rsidRDefault="00167DA1" w:rsidP="00A020A4">
      <w:pPr>
        <w:pStyle w:val="ListParagraph"/>
        <w:numPr>
          <w:ilvl w:val="2"/>
          <w:numId w:val="20"/>
        </w:numPr>
        <w:ind w:left="1080"/>
        <w:rPr>
          <w:lang w:val="fr-FR"/>
        </w:rPr>
      </w:pPr>
      <w:hyperlink r:id="rId49" w:tgtFrame="_blank" w:history="1">
        <w:r w:rsidR="0088662A">
          <w:rPr>
            <w:rStyle w:val="Hyperlink"/>
            <w:lang w:val="fr-FR"/>
          </w:rPr>
          <w:t>Intégration des lignes directrices en matière de bonnes pratiques pour l’évaluation et le suivi des impacts sur les oiseaux dans les installations éoliennes en Afrique du Sud</w:t>
        </w:r>
      </w:hyperlink>
      <w:r w:rsidR="0088662A">
        <w:rPr>
          <w:lang w:val="fr-FR"/>
        </w:rPr>
        <w:t>  </w:t>
      </w:r>
    </w:p>
    <w:p w14:paraId="4C365A3E" w14:textId="77858D04" w:rsidR="00797FCF" w:rsidRPr="00F35C42" w:rsidRDefault="00167DA1" w:rsidP="00A020A4">
      <w:pPr>
        <w:pStyle w:val="ListParagraph"/>
        <w:numPr>
          <w:ilvl w:val="2"/>
          <w:numId w:val="20"/>
        </w:numPr>
        <w:ind w:left="1080"/>
        <w:rPr>
          <w:lang w:val="fr-FR"/>
        </w:rPr>
      </w:pPr>
      <w:hyperlink r:id="rId50" w:tgtFrame="_blank" w:history="1">
        <w:r w:rsidR="0088662A">
          <w:rPr>
            <w:rStyle w:val="Hyperlink"/>
            <w:lang w:val="fr-FR"/>
          </w:rPr>
          <w:t>Combler le fossé entre la science et la mise en œuvre en Afrique du Sud</w:t>
        </w:r>
      </w:hyperlink>
      <w:r w:rsidR="0088662A">
        <w:rPr>
          <w:lang w:val="fr-FR"/>
        </w:rPr>
        <w:t> </w:t>
      </w:r>
    </w:p>
    <w:p w14:paraId="5C30D697" w14:textId="20862D1E" w:rsidR="00797FCF" w:rsidRPr="00F35C42" w:rsidRDefault="00167DA1" w:rsidP="00A020A4">
      <w:pPr>
        <w:pStyle w:val="ListParagraph"/>
        <w:numPr>
          <w:ilvl w:val="2"/>
          <w:numId w:val="20"/>
        </w:numPr>
        <w:ind w:left="1080"/>
        <w:rPr>
          <w:lang w:val="fr-FR"/>
        </w:rPr>
      </w:pPr>
      <w:hyperlink r:id="rId51" w:tgtFrame="_blank" w:history="1">
        <w:r w:rsidR="0088662A">
          <w:rPr>
            <w:rStyle w:val="Hyperlink"/>
            <w:lang w:val="fr-FR"/>
          </w:rPr>
          <w:t>Modernisation des lignes électriques pour les faucons sacres en Mongolie</w:t>
        </w:r>
      </w:hyperlink>
      <w:r w:rsidR="0088662A">
        <w:rPr>
          <w:lang w:val="fr-FR"/>
        </w:rPr>
        <w:t> </w:t>
      </w:r>
    </w:p>
    <w:p w14:paraId="58A53612" w14:textId="11B0172D" w:rsidR="00797FCF" w:rsidRDefault="00167DA1" w:rsidP="00797FCF">
      <w:pPr>
        <w:pStyle w:val="ListParagraph"/>
        <w:numPr>
          <w:ilvl w:val="2"/>
          <w:numId w:val="20"/>
        </w:numPr>
        <w:ind w:left="1080"/>
        <w:rPr>
          <w:lang w:val="fr-FR"/>
        </w:rPr>
      </w:pPr>
      <w:hyperlink r:id="rId52" w:tgtFrame="_blank" w:history="1">
        <w:r w:rsidR="0088662A">
          <w:rPr>
            <w:rStyle w:val="Hyperlink"/>
            <w:lang w:val="fr-FR"/>
          </w:rPr>
          <w:t>Portail de signalement des lignes électriques et des oiseaux - Allemagne</w:t>
        </w:r>
      </w:hyperlink>
      <w:r w:rsidR="0088662A">
        <w:rPr>
          <w:lang w:val="fr-FR"/>
        </w:rPr>
        <w:t> </w:t>
      </w:r>
    </w:p>
    <w:p w14:paraId="2AFD0D97" w14:textId="77777777" w:rsidR="00EC7C63" w:rsidRPr="00F35C42" w:rsidRDefault="00EC7C63" w:rsidP="00A020A4">
      <w:pPr>
        <w:pStyle w:val="ListParagraph"/>
        <w:ind w:left="1080"/>
        <w:rPr>
          <w:lang w:val="fr-FR"/>
        </w:rPr>
      </w:pPr>
    </w:p>
    <w:p w14:paraId="55183ADD" w14:textId="24D4772C" w:rsidR="00797FCF" w:rsidRPr="00F35C42" w:rsidRDefault="00797FCF" w:rsidP="00167DA1">
      <w:pPr>
        <w:pStyle w:val="ListParagraph"/>
        <w:numPr>
          <w:ilvl w:val="1"/>
          <w:numId w:val="20"/>
        </w:numPr>
        <w:ind w:left="360"/>
        <w:jc w:val="both"/>
        <w:rPr>
          <w:lang w:val="fr-FR"/>
        </w:rPr>
      </w:pPr>
      <w:r>
        <w:rPr>
          <w:lang w:val="fr-FR"/>
        </w:rPr>
        <w:t>Réunions intermédiaires de l’ETF en avril 2021, décembre 2021 et décembre 2022 </w:t>
      </w:r>
    </w:p>
    <w:p w14:paraId="1D970076" w14:textId="7EE21050" w:rsidR="00797FCF" w:rsidRPr="00F35C42" w:rsidRDefault="00EC7C63" w:rsidP="00167DA1">
      <w:pPr>
        <w:pStyle w:val="ListParagraph"/>
        <w:numPr>
          <w:ilvl w:val="1"/>
          <w:numId w:val="20"/>
        </w:numPr>
        <w:ind w:left="360"/>
        <w:jc w:val="both"/>
        <w:rPr>
          <w:lang w:val="fr-FR"/>
        </w:rPr>
      </w:pPr>
      <w:r>
        <w:rPr>
          <w:lang w:val="fr-FR"/>
        </w:rPr>
        <w:t>Atelier en avril 2020 organisé par l’Union internationale pour la conservation de la nature et des ressources naturelles (UICN) et le Conseil de la biodiversité axé sur l'examen des nouvelles lignes directrices de l'UICN sur l'atténuation des impacts sur la biodiversité associés aux infrastructures d’énergie solaire et éolienne </w:t>
      </w:r>
    </w:p>
    <w:p w14:paraId="44F96FFB" w14:textId="049F5FE7" w:rsidR="00797FCF" w:rsidRPr="00F35C42" w:rsidRDefault="002370F2" w:rsidP="00A020A4">
      <w:pPr>
        <w:pStyle w:val="ListParagraph"/>
        <w:numPr>
          <w:ilvl w:val="1"/>
          <w:numId w:val="20"/>
        </w:numPr>
        <w:ind w:left="360"/>
        <w:rPr>
          <w:lang w:val="fr-FR"/>
        </w:rPr>
      </w:pPr>
      <w:r>
        <w:rPr>
          <w:lang w:val="fr-FR"/>
        </w:rPr>
        <w:t>Webinaires/présentations organisés par l’ETF : </w:t>
      </w:r>
    </w:p>
    <w:p w14:paraId="3049C41B" w14:textId="6FE4BE29" w:rsidR="00797FCF" w:rsidRPr="00F35C42" w:rsidRDefault="00797FCF" w:rsidP="00A020A4">
      <w:pPr>
        <w:pStyle w:val="ListParagraph"/>
        <w:numPr>
          <w:ilvl w:val="2"/>
          <w:numId w:val="20"/>
        </w:numPr>
        <w:ind w:left="1080"/>
        <w:rPr>
          <w:lang w:val="fr-FR"/>
        </w:rPr>
      </w:pPr>
      <w:r>
        <w:rPr>
          <w:lang w:val="fr-FR"/>
        </w:rPr>
        <w:t xml:space="preserve">Novembre 2020, « agenda des énergies renouvelables sensibles à la nature » </w:t>
      </w:r>
    </w:p>
    <w:p w14:paraId="18F50412" w14:textId="70CE0855" w:rsidR="00797FCF" w:rsidRPr="00F35C42" w:rsidRDefault="00797FCF" w:rsidP="00A020A4">
      <w:pPr>
        <w:pStyle w:val="ListParagraph"/>
        <w:numPr>
          <w:ilvl w:val="2"/>
          <w:numId w:val="20"/>
        </w:numPr>
        <w:ind w:left="1080"/>
        <w:rPr>
          <w:lang w:val="fr-FR"/>
        </w:rPr>
      </w:pPr>
      <w:r>
        <w:rPr>
          <w:lang w:val="fr-FR"/>
        </w:rPr>
        <w:t xml:space="preserve">Décembre 2020, « </w:t>
      </w:r>
      <w:hyperlink r:id="rId53" w:tgtFrame="_blank" w:history="1">
        <w:r>
          <w:rPr>
            <w:rStyle w:val="Hyperlink"/>
            <w:lang w:val="fr-FR"/>
          </w:rPr>
          <w:t>L’énergie renouvelable au cœur de la nature : le Groupe d’étude de l’énergie</w:t>
        </w:r>
      </w:hyperlink>
      <w:r>
        <w:rPr>
          <w:lang w:val="fr-FR"/>
        </w:rPr>
        <w:t xml:space="preserve"> »</w:t>
      </w:r>
    </w:p>
    <w:p w14:paraId="0AA9EC3A" w14:textId="4A795AEF" w:rsidR="00797FCF" w:rsidRPr="00F35C42" w:rsidRDefault="00797FCF" w:rsidP="00A020A4">
      <w:pPr>
        <w:pStyle w:val="ListParagraph"/>
        <w:numPr>
          <w:ilvl w:val="2"/>
          <w:numId w:val="20"/>
        </w:numPr>
        <w:ind w:left="1080"/>
        <w:rPr>
          <w:lang w:val="fr-FR"/>
        </w:rPr>
      </w:pPr>
      <w:r>
        <w:rPr>
          <w:lang w:val="fr-FR"/>
        </w:rPr>
        <w:t>Septembre 2021, l’Union internationale pour la conservation de la nature (UICN) a organisé une conférence intitulée « Énergies renouvelables et biodiversité : mise en place de la hiérarchie des atténuations » </w:t>
      </w:r>
    </w:p>
    <w:p w14:paraId="33D81DB3" w14:textId="5197312A" w:rsidR="00797FCF" w:rsidRPr="00F35C42" w:rsidRDefault="00797FCF" w:rsidP="00A020A4">
      <w:pPr>
        <w:pStyle w:val="ListParagraph"/>
        <w:numPr>
          <w:ilvl w:val="2"/>
          <w:numId w:val="20"/>
        </w:numPr>
        <w:ind w:left="1080"/>
        <w:rPr>
          <w:lang w:val="fr-FR"/>
        </w:rPr>
      </w:pPr>
      <w:r>
        <w:rPr>
          <w:lang w:val="fr-FR"/>
        </w:rPr>
        <w:t xml:space="preserve">Septembre 2021, Semaine du climat, New York, webinaire, « </w:t>
      </w:r>
      <w:hyperlink r:id="rId54" w:tgtFrame="_blank" w:history="1">
        <w:r>
          <w:rPr>
            <w:rStyle w:val="Hyperlink"/>
            <w:lang w:val="fr-FR"/>
          </w:rPr>
          <w:t>Atteindre les objectifs mondiaux en matière de climat, de nature et de développement durable grâce à une transition vers les énergies renouvelables sensibles à la nature</w:t>
        </w:r>
      </w:hyperlink>
      <w:r>
        <w:rPr>
          <w:lang w:val="fr-FR"/>
        </w:rPr>
        <w:t xml:space="preserve"> »</w:t>
      </w:r>
    </w:p>
    <w:p w14:paraId="04F83173" w14:textId="77777777" w:rsidR="00797FCF" w:rsidRPr="00F35C42" w:rsidRDefault="00797FCF" w:rsidP="00A020A4">
      <w:pPr>
        <w:pStyle w:val="ListParagraph"/>
        <w:numPr>
          <w:ilvl w:val="2"/>
          <w:numId w:val="20"/>
        </w:numPr>
        <w:ind w:left="1080"/>
        <w:rPr>
          <w:lang w:val="fr-FR"/>
        </w:rPr>
      </w:pPr>
      <w:r>
        <w:rPr>
          <w:lang w:val="fr-FR"/>
        </w:rPr>
        <w:t>Novembre 2021, 12</w:t>
      </w:r>
      <w:r>
        <w:rPr>
          <w:vertAlign w:val="superscript"/>
          <w:lang w:val="fr-FR"/>
        </w:rPr>
        <w:t>ème</w:t>
      </w:r>
      <w:r>
        <w:rPr>
          <w:lang w:val="fr-FR"/>
        </w:rPr>
        <w:t xml:space="preserve"> Conférence MAVIR sur la conservation des oiseaux, « </w:t>
      </w:r>
      <w:hyperlink r:id="rId55" w:tgtFrame="_blank" w:history="1">
        <w:r>
          <w:rPr>
            <w:rStyle w:val="Hyperlink"/>
            <w:lang w:val="fr-FR"/>
          </w:rPr>
          <w:t>Synergies pour les infrastructures énergétiques et la conservation des espèces migratrices : nécessité d’une coopération et d’une innovation multipartites »</w:t>
        </w:r>
      </w:hyperlink>
      <w:r>
        <w:rPr>
          <w:lang w:val="fr-FR"/>
        </w:rPr>
        <w:t> </w:t>
      </w:r>
    </w:p>
    <w:p w14:paraId="408DBEF3" w14:textId="66AF8EA6" w:rsidR="00797FCF" w:rsidRPr="00F35C42" w:rsidRDefault="00797FCF" w:rsidP="00A020A4">
      <w:pPr>
        <w:pStyle w:val="ListParagraph"/>
        <w:numPr>
          <w:ilvl w:val="2"/>
          <w:numId w:val="20"/>
        </w:numPr>
        <w:ind w:left="1080"/>
        <w:rPr>
          <w:lang w:val="fr-FR"/>
        </w:rPr>
      </w:pPr>
      <w:r>
        <w:rPr>
          <w:lang w:val="fr-FR"/>
        </w:rPr>
        <w:lastRenderedPageBreak/>
        <w:t xml:space="preserve">Octobre à novembre 2021, Convention-cadre des Nations unies sur les changements climatiques (CCNUCC) COP26, « </w:t>
      </w:r>
      <w:hyperlink r:id="rId56" w:tgtFrame="_blank" w:history="1">
        <w:r>
          <w:rPr>
            <w:rStyle w:val="Hyperlink"/>
            <w:lang w:val="fr-FR"/>
          </w:rPr>
          <w:t>L’énergie renouvelable au cœur de la nature</w:t>
        </w:r>
      </w:hyperlink>
      <w:r>
        <w:rPr>
          <w:lang w:val="fr-FR"/>
        </w:rPr>
        <w:t xml:space="preserve"> »</w:t>
      </w:r>
    </w:p>
    <w:p w14:paraId="18E356A2" w14:textId="40623C61" w:rsidR="00797FCF" w:rsidRPr="00F35C42" w:rsidRDefault="00797FCF" w:rsidP="00A020A4">
      <w:pPr>
        <w:pStyle w:val="ListParagraph"/>
        <w:numPr>
          <w:ilvl w:val="2"/>
          <w:numId w:val="20"/>
        </w:numPr>
        <w:ind w:left="1080"/>
        <w:rPr>
          <w:lang w:val="fr-FR"/>
        </w:rPr>
      </w:pPr>
      <w:r>
        <w:rPr>
          <w:lang w:val="fr-FR"/>
        </w:rPr>
        <w:t>Février 2022, Dialogue de la Fondation chinoise pour la conservation de la biodiversité et le développement vert sur les énergies renouvelables sensibles à la biodiversité</w:t>
      </w:r>
    </w:p>
    <w:p w14:paraId="647F3CF9" w14:textId="2D8084BC" w:rsidR="00797FCF" w:rsidRPr="00F35C42" w:rsidRDefault="00797FCF" w:rsidP="00A020A4">
      <w:pPr>
        <w:pStyle w:val="ListParagraph"/>
        <w:numPr>
          <w:ilvl w:val="2"/>
          <w:numId w:val="20"/>
        </w:numPr>
        <w:ind w:left="1080"/>
        <w:rPr>
          <w:lang w:val="fr-FR"/>
        </w:rPr>
      </w:pPr>
      <w:r>
        <w:rPr>
          <w:lang w:val="fr-FR"/>
        </w:rPr>
        <w:t xml:space="preserve">Mars 2022, Semaine régionale du climat au Moyen-Orient et en Afrique du Nord de la CCNUCC, « </w:t>
      </w:r>
      <w:hyperlink r:id="rId57" w:tgtFrame="_blank" w:history="1">
        <w:r>
          <w:rPr>
            <w:rStyle w:val="Hyperlink"/>
            <w:lang w:val="fr-FR"/>
          </w:rPr>
          <w:t>Déploiement d'énergies renouvelables sensibles à la nature dans la région MENA : succès, défis et opportunités</w:t>
        </w:r>
      </w:hyperlink>
      <w:r>
        <w:rPr>
          <w:lang w:val="fr-FR"/>
        </w:rPr>
        <w:t xml:space="preserve"> » </w:t>
      </w:r>
    </w:p>
    <w:p w14:paraId="0052F82C" w14:textId="5AA976B3" w:rsidR="00797FCF" w:rsidRPr="00F35C42" w:rsidRDefault="00797FCF" w:rsidP="00A020A4">
      <w:pPr>
        <w:pStyle w:val="ListParagraph"/>
        <w:numPr>
          <w:ilvl w:val="2"/>
          <w:numId w:val="20"/>
        </w:numPr>
        <w:ind w:left="1080"/>
        <w:rPr>
          <w:lang w:val="fr-FR"/>
        </w:rPr>
      </w:pPr>
      <w:r>
        <w:rPr>
          <w:lang w:val="fr-FR"/>
        </w:rPr>
        <w:t>Avril 2022, 6</w:t>
      </w:r>
      <w:r>
        <w:rPr>
          <w:vertAlign w:val="superscript"/>
          <w:lang w:val="fr-FR"/>
        </w:rPr>
        <w:t>ème</w:t>
      </w:r>
      <w:r>
        <w:rPr>
          <w:lang w:val="fr-FR"/>
        </w:rPr>
        <w:t xml:space="preserve"> Conférence sur l'énergie éolienne et les impacts sur la faune et la flore, « Synergies pour les infrastructures énergétiques et la conservation des espèces migratrices : Gouvernance par la collaboration multipartite »</w:t>
      </w:r>
    </w:p>
    <w:p w14:paraId="0A07700D" w14:textId="27F3159D" w:rsidR="00797FCF" w:rsidRPr="00F35C42" w:rsidRDefault="00797FCF" w:rsidP="00A020A4">
      <w:pPr>
        <w:pStyle w:val="ListParagraph"/>
        <w:numPr>
          <w:ilvl w:val="2"/>
          <w:numId w:val="20"/>
        </w:numPr>
        <w:ind w:left="1080"/>
        <w:rPr>
          <w:lang w:val="fr-FR"/>
        </w:rPr>
      </w:pPr>
      <w:r>
        <w:rPr>
          <w:lang w:val="fr-FR"/>
        </w:rPr>
        <w:t>Juin 2022, Événement parallèle SBs56 de la CCNUCC, « Solutions transformatrices et sensibles à la nature pour l’adaptation et les énergies renouvelables que nous voulons pour l’Afrique » </w:t>
      </w:r>
    </w:p>
    <w:p w14:paraId="5A6261D0" w14:textId="12C14F92" w:rsidR="00797FCF" w:rsidRPr="00F35C42" w:rsidRDefault="00797FCF" w:rsidP="00A020A4">
      <w:pPr>
        <w:pStyle w:val="ListParagraph"/>
        <w:numPr>
          <w:ilvl w:val="2"/>
          <w:numId w:val="20"/>
        </w:numPr>
        <w:ind w:left="1080"/>
        <w:rPr>
          <w:lang w:val="fr-FR"/>
        </w:rPr>
      </w:pPr>
      <w:r>
        <w:rPr>
          <w:lang w:val="fr-FR"/>
        </w:rPr>
        <w:t>Juillet 2022, Événement FMO de la Banque néerlandaise de développement, « Synergies pour les infrastructures énergétiques et la conservation des espèces migratrices : Gouvernance par la collaboration multipartite » </w:t>
      </w:r>
    </w:p>
    <w:p w14:paraId="0B4F4E89" w14:textId="750C5280" w:rsidR="00797FCF" w:rsidRPr="00F35C42" w:rsidRDefault="00797FCF" w:rsidP="00A020A4">
      <w:pPr>
        <w:pStyle w:val="ListParagraph"/>
        <w:numPr>
          <w:ilvl w:val="2"/>
          <w:numId w:val="20"/>
        </w:numPr>
        <w:ind w:left="1080"/>
        <w:rPr>
          <w:lang w:val="fr-FR"/>
        </w:rPr>
      </w:pPr>
      <w:r>
        <w:rPr>
          <w:lang w:val="fr-FR"/>
        </w:rPr>
        <w:t>Août 2022, Conférence sur les oiseaux et l'énergie, « Groupe d’étude de l’énergie de la CMS : une plateforme mondiale » </w:t>
      </w:r>
    </w:p>
    <w:p w14:paraId="7C848A20" w14:textId="172E2280" w:rsidR="00797FCF" w:rsidRPr="00F35C42" w:rsidRDefault="00797FCF" w:rsidP="00A020A4">
      <w:pPr>
        <w:pStyle w:val="ListParagraph"/>
        <w:numPr>
          <w:ilvl w:val="2"/>
          <w:numId w:val="20"/>
        </w:numPr>
        <w:ind w:left="1080"/>
        <w:rPr>
          <w:lang w:val="fr-FR"/>
        </w:rPr>
      </w:pPr>
      <w:r>
        <w:rPr>
          <w:lang w:val="fr-FR"/>
        </w:rPr>
        <w:t>Octobre 2022, Énergie sûre : Conférence sur les voies de migration sur l'énergie et les oiseaux, « Synergies pour les infrastructures énergétiques et la conservation des espèces migratrices : la gouvernance par la collaboration multipartite » </w:t>
      </w:r>
    </w:p>
    <w:p w14:paraId="03B3DBD9" w14:textId="05D594B1" w:rsidR="00797FCF" w:rsidRDefault="00797FCF" w:rsidP="00A020A4">
      <w:pPr>
        <w:pStyle w:val="ListParagraph"/>
        <w:numPr>
          <w:ilvl w:val="2"/>
          <w:numId w:val="20"/>
        </w:numPr>
        <w:ind w:left="1080"/>
        <w:rPr>
          <w:lang w:val="fr-FR"/>
        </w:rPr>
      </w:pPr>
      <w:r>
        <w:rPr>
          <w:lang w:val="fr-FR"/>
        </w:rPr>
        <w:t>Octobre 2022, webinaire en ligne de l’ ETF, « L’éolien au large des côtes : nouveaux développements et enseignements »</w:t>
      </w:r>
    </w:p>
    <w:p w14:paraId="2605CECD" w14:textId="0483CFB7" w:rsidR="00797FCF" w:rsidRDefault="00797FCF" w:rsidP="00A020A4">
      <w:pPr>
        <w:pStyle w:val="ListParagraph"/>
        <w:numPr>
          <w:ilvl w:val="2"/>
          <w:numId w:val="20"/>
        </w:numPr>
        <w:ind w:left="1080"/>
        <w:rPr>
          <w:lang w:val="fr-FR"/>
        </w:rPr>
      </w:pPr>
      <w:r>
        <w:rPr>
          <w:lang w:val="fr-FR"/>
        </w:rPr>
        <w:t>Novembre 2022, COP27 de la CCNUCC, quatre événements parallèles sur les énergies renouvelables et la biodiversité </w:t>
      </w:r>
    </w:p>
    <w:p w14:paraId="47DB6670" w14:textId="77777777" w:rsidR="00797FCF" w:rsidRPr="00F35C42" w:rsidRDefault="00797FCF" w:rsidP="00A020A4">
      <w:pPr>
        <w:pStyle w:val="ListParagraph"/>
        <w:ind w:left="397"/>
        <w:rPr>
          <w:lang w:val="fr-FR"/>
        </w:rPr>
      </w:pPr>
    </w:p>
    <w:p w14:paraId="629C644A" w14:textId="77777777" w:rsidR="00B3789A" w:rsidRDefault="00B3789A" w:rsidP="00DD07FD">
      <w:pPr>
        <w:spacing w:after="0" w:line="240" w:lineRule="auto"/>
        <w:jc w:val="center"/>
        <w:rPr>
          <w:rFonts w:cs="Arial"/>
          <w:lang w:val="fr-FR"/>
        </w:rPr>
        <w:sectPr w:rsidR="00B3789A" w:rsidSect="00EC4F04">
          <w:headerReference w:type="even" r:id="rId58"/>
          <w:headerReference w:type="default" r:id="rId59"/>
          <w:footerReference w:type="default" r:id="rId60"/>
          <w:headerReference w:type="first" r:id="rId61"/>
          <w:footerReference w:type="first" r:id="rId62"/>
          <w:pgSz w:w="11906" w:h="16838" w:code="9"/>
          <w:pgMar w:top="1440" w:right="1440" w:bottom="1440" w:left="1440" w:header="720" w:footer="720" w:gutter="0"/>
          <w:cols w:space="720"/>
          <w:titlePg/>
          <w:docGrid w:linePitch="360"/>
        </w:sectPr>
      </w:pPr>
    </w:p>
    <w:p w14:paraId="20C0E765" w14:textId="1155E14C" w:rsidR="002370F2" w:rsidRPr="00CD0FE9" w:rsidRDefault="002370F2" w:rsidP="002370F2">
      <w:pPr>
        <w:spacing w:after="0" w:line="240" w:lineRule="auto"/>
        <w:jc w:val="right"/>
        <w:rPr>
          <w:rFonts w:cs="Arial"/>
          <w:b/>
          <w:bCs/>
          <w:caps/>
          <w:lang w:val="fr-FR"/>
        </w:rPr>
      </w:pPr>
      <w:r>
        <w:rPr>
          <w:rFonts w:cs="Arial"/>
          <w:b/>
          <w:caps/>
          <w:lang w:val="fr-FR"/>
        </w:rPr>
        <w:lastRenderedPageBreak/>
        <w:t>Annexe 2</w:t>
      </w:r>
    </w:p>
    <w:p w14:paraId="0AF773E8" w14:textId="77777777" w:rsidR="00797FCF" w:rsidRDefault="00797FCF" w:rsidP="00167DA1">
      <w:pPr>
        <w:spacing w:after="0" w:line="240" w:lineRule="auto"/>
        <w:rPr>
          <w:rFonts w:cs="Arial"/>
          <w:lang w:val="fr-FR"/>
        </w:rPr>
      </w:pPr>
    </w:p>
    <w:p w14:paraId="398FED21" w14:textId="434891CF" w:rsidR="00DD07FD" w:rsidRDefault="00DD07FD" w:rsidP="00DD07FD">
      <w:pPr>
        <w:spacing w:after="0" w:line="240" w:lineRule="auto"/>
        <w:jc w:val="center"/>
        <w:rPr>
          <w:rFonts w:cs="Arial"/>
          <w:lang w:val="fr-FR"/>
        </w:rPr>
      </w:pPr>
      <w:r>
        <w:rPr>
          <w:rFonts w:cs="Arial"/>
          <w:lang w:val="fr-FR"/>
        </w:rPr>
        <w:t>PROJETS DE DÉCISION</w:t>
      </w:r>
      <w:r w:rsidR="00167DA1">
        <w:rPr>
          <w:rFonts w:cs="Arial"/>
          <w:lang w:val="fr-FR"/>
        </w:rPr>
        <w:t>S</w:t>
      </w:r>
    </w:p>
    <w:p w14:paraId="605F4AD2" w14:textId="77777777" w:rsidR="008C2EA1" w:rsidRDefault="008C2EA1" w:rsidP="00DD07FD">
      <w:pPr>
        <w:spacing w:after="0" w:line="240" w:lineRule="auto"/>
        <w:jc w:val="center"/>
        <w:rPr>
          <w:rFonts w:cs="Arial"/>
          <w:lang w:val="fr-FR"/>
        </w:rPr>
      </w:pPr>
    </w:p>
    <w:p w14:paraId="2D562B10" w14:textId="44E0D265" w:rsidR="00B25BA3" w:rsidRPr="00B25BA3" w:rsidRDefault="00B25BA3" w:rsidP="00B25BA3">
      <w:pPr>
        <w:jc w:val="center"/>
        <w:rPr>
          <w:b/>
          <w:bCs/>
          <w:lang w:val="fr-FR"/>
        </w:rPr>
      </w:pPr>
      <w:r>
        <w:rPr>
          <w:b/>
          <w:bCs/>
          <w:lang w:val="fr-FR"/>
        </w:rPr>
        <w:t>ÉNERGIES RENOUVELABLES ET ESPÈCES MIGRATRICES</w:t>
      </w:r>
    </w:p>
    <w:p w14:paraId="3610FD44" w14:textId="44D0F4BE" w:rsidR="00BE0EA7" w:rsidRDefault="00BE0EA7" w:rsidP="00DD07FD">
      <w:pPr>
        <w:spacing w:after="0" w:line="240" w:lineRule="auto"/>
        <w:jc w:val="center"/>
        <w:rPr>
          <w:rFonts w:cs="Arial"/>
          <w:lang w:val="fr-FR"/>
        </w:rPr>
      </w:pPr>
    </w:p>
    <w:p w14:paraId="503DE3D0" w14:textId="77777777" w:rsidR="00684AE2" w:rsidRDefault="00684AE2" w:rsidP="00167DA1">
      <w:pPr>
        <w:spacing w:after="0" w:line="240" w:lineRule="auto"/>
        <w:ind w:left="851" w:hanging="851"/>
        <w:jc w:val="both"/>
        <w:rPr>
          <w:rFonts w:cs="Arial"/>
          <w:lang w:val="fr-FR"/>
        </w:rPr>
      </w:pPr>
    </w:p>
    <w:p w14:paraId="13DAAC81" w14:textId="4801006E" w:rsidR="00684AE2" w:rsidRPr="00AC35F9" w:rsidRDefault="00AC35F9" w:rsidP="00167DA1">
      <w:pPr>
        <w:spacing w:after="0" w:line="240" w:lineRule="auto"/>
        <w:jc w:val="both"/>
        <w:rPr>
          <w:b/>
          <w:bCs/>
          <w:i/>
          <w:iCs/>
          <w:lang w:val="fr-FR"/>
        </w:rPr>
      </w:pPr>
      <w:r>
        <w:rPr>
          <w:b/>
          <w:bCs/>
          <w:i/>
          <w:iCs/>
          <w:lang w:val="fr-FR"/>
        </w:rPr>
        <w:t>Adressée aux Parties</w:t>
      </w:r>
    </w:p>
    <w:p w14:paraId="34B6D474" w14:textId="77777777" w:rsidR="00AC35F9" w:rsidRDefault="00AC35F9" w:rsidP="00167DA1">
      <w:pPr>
        <w:spacing w:after="0" w:line="240" w:lineRule="auto"/>
        <w:ind w:left="851" w:hanging="851"/>
        <w:jc w:val="both"/>
        <w:rPr>
          <w:rFonts w:cs="Arial"/>
          <w:lang w:val="fr-FR"/>
        </w:rPr>
      </w:pPr>
    </w:p>
    <w:p w14:paraId="3D578B5E" w14:textId="1E216B8D" w:rsidR="00845F94" w:rsidRDefault="00684AE2" w:rsidP="00167DA1">
      <w:pPr>
        <w:spacing w:after="0" w:line="240" w:lineRule="auto"/>
        <w:ind w:left="851" w:hanging="851"/>
        <w:jc w:val="both"/>
        <w:rPr>
          <w:rFonts w:cs="Arial"/>
          <w:lang w:val="fr-FR"/>
        </w:rPr>
      </w:pPr>
      <w:r>
        <w:rPr>
          <w:rFonts w:cs="Arial"/>
          <w:lang w:val="fr-FR"/>
        </w:rPr>
        <w:t>14.AA</w:t>
      </w:r>
      <w:r>
        <w:rPr>
          <w:rFonts w:cs="Arial"/>
          <w:lang w:val="fr-FR"/>
        </w:rPr>
        <w:tab/>
        <w:t xml:space="preserve">Les Parties sont : </w:t>
      </w:r>
    </w:p>
    <w:p w14:paraId="6FCC0E92" w14:textId="77777777" w:rsidR="00845F94" w:rsidRDefault="00845F94" w:rsidP="00167DA1">
      <w:pPr>
        <w:spacing w:after="0" w:line="240" w:lineRule="auto"/>
        <w:ind w:left="851" w:hanging="57"/>
        <w:jc w:val="both"/>
        <w:rPr>
          <w:rFonts w:cs="Arial"/>
          <w:lang w:val="fr-FR"/>
        </w:rPr>
      </w:pPr>
    </w:p>
    <w:p w14:paraId="65D6F909" w14:textId="25EEADEC" w:rsidR="00AA4516" w:rsidRDefault="005C7A02" w:rsidP="00167DA1">
      <w:pPr>
        <w:pStyle w:val="ListParagraph"/>
        <w:numPr>
          <w:ilvl w:val="0"/>
          <w:numId w:val="19"/>
        </w:numPr>
        <w:spacing w:after="0" w:line="240" w:lineRule="auto"/>
        <w:ind w:left="1260" w:hanging="409"/>
        <w:contextualSpacing w:val="0"/>
        <w:jc w:val="both"/>
        <w:rPr>
          <w:lang w:val="fr-FR"/>
        </w:rPr>
      </w:pPr>
      <w:r>
        <w:rPr>
          <w:lang w:val="fr-FR"/>
        </w:rPr>
        <w:t>priées d’intégrer les considérations relatives à la biodiversité et aux espèces migratrices dans les politiques et les plans d’action nationaux en matière d’énergie et de climat, ainsi que dans la législation et les réglementations sur l’emplacement des nouvelles infrastructures énergétiques ;</w:t>
      </w:r>
    </w:p>
    <w:p w14:paraId="7174EF8C" w14:textId="77777777" w:rsidR="00167DA1" w:rsidRPr="00AA4516" w:rsidRDefault="00167DA1" w:rsidP="00167DA1">
      <w:pPr>
        <w:pStyle w:val="ListParagraph"/>
        <w:spacing w:after="0" w:line="240" w:lineRule="auto"/>
        <w:ind w:left="1260"/>
        <w:contextualSpacing w:val="0"/>
        <w:jc w:val="both"/>
        <w:rPr>
          <w:lang w:val="fr-FR"/>
        </w:rPr>
      </w:pPr>
    </w:p>
    <w:p w14:paraId="5E15E7A2" w14:textId="562274EC" w:rsidR="00D1693D" w:rsidRDefault="007061F4" w:rsidP="00167DA1">
      <w:pPr>
        <w:pStyle w:val="ListParagraph"/>
        <w:numPr>
          <w:ilvl w:val="0"/>
          <w:numId w:val="19"/>
        </w:numPr>
        <w:spacing w:after="0" w:line="240" w:lineRule="auto"/>
        <w:ind w:left="1260"/>
        <w:contextualSpacing w:val="0"/>
        <w:jc w:val="both"/>
        <w:rPr>
          <w:lang w:val="fr-FR"/>
        </w:rPr>
      </w:pPr>
      <w:r>
        <w:rPr>
          <w:lang w:val="fr-FR"/>
        </w:rPr>
        <w:t xml:space="preserve">encouragées à soutenir un bouquet d’énergies renouvelables fondé sur des données probantes lors de la conception et de la mise en œuvre de politiques en matière d’énergies renouvelables telles que les Contributions déterminées au niveau national (CDN) et les Plans nationaux sur l'énergie et le climat, et à intégrer les évaluations environnementales stratégiques et la cartographie de la sensibilité des espèces dans les processus de prise de décision concernant les objectifs climatiques ; </w:t>
      </w:r>
    </w:p>
    <w:p w14:paraId="3BCF4EDA" w14:textId="77777777" w:rsidR="00167DA1" w:rsidRPr="007F55DA" w:rsidRDefault="00167DA1" w:rsidP="00167DA1">
      <w:pPr>
        <w:pStyle w:val="ListParagraph"/>
        <w:spacing w:after="0" w:line="240" w:lineRule="auto"/>
        <w:ind w:left="1260"/>
        <w:contextualSpacing w:val="0"/>
        <w:jc w:val="both"/>
        <w:rPr>
          <w:lang w:val="fr-FR"/>
        </w:rPr>
      </w:pPr>
    </w:p>
    <w:p w14:paraId="37B790FC" w14:textId="5FA4B70B" w:rsidR="00AA4516" w:rsidRDefault="00AC35F9" w:rsidP="00167DA1">
      <w:pPr>
        <w:pStyle w:val="ListParagraph"/>
        <w:numPr>
          <w:ilvl w:val="0"/>
          <w:numId w:val="19"/>
        </w:numPr>
        <w:spacing w:after="0" w:line="240" w:lineRule="auto"/>
        <w:ind w:left="1260"/>
        <w:contextualSpacing w:val="0"/>
        <w:jc w:val="both"/>
        <w:rPr>
          <w:lang w:val="fr-FR"/>
        </w:rPr>
      </w:pPr>
      <w:r>
        <w:rPr>
          <w:lang w:val="fr-FR"/>
        </w:rPr>
        <w:t xml:space="preserve">invitées à fournir au groupe d’étude de l’énergie et au Secrétariat les informations et les indicateurs qui ont été intégrés dans les plans d'action nationaux pour le climat et les CDN ; </w:t>
      </w:r>
    </w:p>
    <w:p w14:paraId="721709C6" w14:textId="77777777" w:rsidR="00167DA1" w:rsidRPr="007F55DA" w:rsidRDefault="00167DA1" w:rsidP="00167DA1">
      <w:pPr>
        <w:pStyle w:val="ListParagraph"/>
        <w:spacing w:after="0" w:line="240" w:lineRule="auto"/>
        <w:ind w:left="1260"/>
        <w:contextualSpacing w:val="0"/>
        <w:jc w:val="both"/>
        <w:rPr>
          <w:lang w:val="fr-FR"/>
        </w:rPr>
      </w:pPr>
    </w:p>
    <w:p w14:paraId="45A60F5F" w14:textId="60A413A0" w:rsidR="00BC6D24" w:rsidRDefault="00AC35F9" w:rsidP="00167DA1">
      <w:pPr>
        <w:pStyle w:val="ListParagraph"/>
        <w:numPr>
          <w:ilvl w:val="0"/>
          <w:numId w:val="19"/>
        </w:numPr>
        <w:spacing w:after="0" w:line="240" w:lineRule="auto"/>
        <w:ind w:left="1260"/>
        <w:contextualSpacing w:val="0"/>
        <w:jc w:val="both"/>
        <w:rPr>
          <w:lang w:val="fr-FR"/>
        </w:rPr>
      </w:pPr>
      <w:r>
        <w:rPr>
          <w:lang w:val="fr-FR"/>
        </w:rPr>
        <w:t xml:space="preserve">priées de faire état, dans leurs rapports nationaux, des progrès accomplis dans la mise en œuvre de la Résolution 11.27 (Rev.COP13) </w:t>
      </w:r>
      <w:r>
        <w:rPr>
          <w:i/>
          <w:lang w:val="fr-FR"/>
        </w:rPr>
        <w:t>Énergie renouvelable et espèces migratrices</w:t>
      </w:r>
      <w:r>
        <w:rPr>
          <w:lang w:val="fr-FR"/>
        </w:rPr>
        <w:t>, notamment, le suivi de l’efficacité des mesures prises, à la 15</w:t>
      </w:r>
      <w:r>
        <w:rPr>
          <w:vertAlign w:val="superscript"/>
          <w:lang w:val="fr-FR"/>
        </w:rPr>
        <w:t>e</w:t>
      </w:r>
      <w:r>
        <w:rPr>
          <w:lang w:val="fr-FR"/>
        </w:rPr>
        <w:t xml:space="preserve"> réunion de la Conférence des Parties (COP15).</w:t>
      </w:r>
    </w:p>
    <w:p w14:paraId="194EB446" w14:textId="77777777" w:rsidR="00167DA1" w:rsidRDefault="00167DA1" w:rsidP="00167DA1">
      <w:pPr>
        <w:spacing w:after="0" w:line="240" w:lineRule="auto"/>
        <w:jc w:val="both"/>
        <w:rPr>
          <w:b/>
          <w:bCs/>
          <w:i/>
          <w:iCs/>
          <w:lang w:val="fr-FR"/>
        </w:rPr>
      </w:pPr>
    </w:p>
    <w:p w14:paraId="2C6DB74C" w14:textId="77777777" w:rsidR="00167DA1" w:rsidRDefault="00167DA1" w:rsidP="00167DA1">
      <w:pPr>
        <w:spacing w:after="0" w:line="240" w:lineRule="auto"/>
        <w:jc w:val="both"/>
        <w:rPr>
          <w:b/>
          <w:bCs/>
          <w:i/>
          <w:iCs/>
          <w:lang w:val="fr-FR"/>
        </w:rPr>
      </w:pPr>
    </w:p>
    <w:p w14:paraId="57623D68" w14:textId="7B66A8FC" w:rsidR="00BC6D24" w:rsidRDefault="00BC6D24" w:rsidP="00167DA1">
      <w:pPr>
        <w:spacing w:after="0" w:line="240" w:lineRule="auto"/>
        <w:jc w:val="both"/>
        <w:rPr>
          <w:b/>
          <w:bCs/>
          <w:i/>
          <w:iCs/>
          <w:lang w:val="fr-FR"/>
        </w:rPr>
      </w:pPr>
      <w:r>
        <w:rPr>
          <w:b/>
          <w:bCs/>
          <w:i/>
          <w:iCs/>
          <w:lang w:val="fr-FR"/>
        </w:rPr>
        <w:t>Adressée aux Parties, organisations intergouvernementales et non gouvernementales, et autres</w:t>
      </w:r>
    </w:p>
    <w:p w14:paraId="72A51A36" w14:textId="77777777" w:rsidR="00167DA1" w:rsidRDefault="00167DA1" w:rsidP="00167DA1">
      <w:pPr>
        <w:spacing w:after="0" w:line="240" w:lineRule="auto"/>
        <w:ind w:left="851" w:hanging="851"/>
        <w:jc w:val="both"/>
        <w:rPr>
          <w:rFonts w:cs="Arial"/>
          <w:lang w:val="fr-FR"/>
        </w:rPr>
      </w:pPr>
    </w:p>
    <w:p w14:paraId="6EDAAD4C" w14:textId="081D99E2" w:rsidR="00BC6D24" w:rsidRDefault="00BC6D24" w:rsidP="00167DA1">
      <w:pPr>
        <w:spacing w:after="0" w:line="240" w:lineRule="auto"/>
        <w:ind w:left="851" w:hanging="851"/>
        <w:jc w:val="both"/>
        <w:rPr>
          <w:rFonts w:cs="Arial"/>
          <w:lang w:val="fr-FR"/>
        </w:rPr>
      </w:pPr>
      <w:r>
        <w:rPr>
          <w:rFonts w:cs="Arial"/>
          <w:lang w:val="fr-FR"/>
        </w:rPr>
        <w:t>14.BB</w:t>
      </w:r>
      <w:r>
        <w:rPr>
          <w:rFonts w:cs="Arial"/>
          <w:lang w:val="fr-FR"/>
        </w:rPr>
        <w:tab/>
        <w:t>Les Parties, notamment leurs représentants des ministères et autorités chargés de l’environnement et de l’énergie, les organisations intergouvernementales et non gouvernementales et les autres Parties prenantes du secteur de l’énergie sont encouragées à soutenir la mise en œuvre du Plan de travail du Groupe d’étude de l’énergie et les activités en cours du Groupe d’étude de l’énergie.</w:t>
      </w:r>
    </w:p>
    <w:p w14:paraId="40DADA7F" w14:textId="77777777" w:rsidR="00BC6D24" w:rsidRDefault="00BC6D24" w:rsidP="00167DA1">
      <w:pPr>
        <w:spacing w:after="0" w:line="240" w:lineRule="auto"/>
        <w:jc w:val="both"/>
        <w:rPr>
          <w:b/>
          <w:bCs/>
          <w:i/>
          <w:iCs/>
          <w:lang w:val="fr-FR"/>
        </w:rPr>
      </w:pPr>
    </w:p>
    <w:p w14:paraId="6004DB31" w14:textId="77777777" w:rsidR="00167DA1" w:rsidRDefault="00167DA1" w:rsidP="00167DA1">
      <w:pPr>
        <w:spacing w:after="0" w:line="240" w:lineRule="auto"/>
        <w:jc w:val="both"/>
        <w:rPr>
          <w:b/>
          <w:bCs/>
          <w:i/>
          <w:iCs/>
          <w:lang w:val="fr-FR"/>
        </w:rPr>
      </w:pPr>
    </w:p>
    <w:p w14:paraId="07637B08" w14:textId="4A5F1D3D" w:rsidR="00B6773D" w:rsidRDefault="00110F8E" w:rsidP="00167DA1">
      <w:pPr>
        <w:spacing w:after="0" w:line="240" w:lineRule="auto"/>
        <w:jc w:val="both"/>
        <w:rPr>
          <w:b/>
          <w:bCs/>
          <w:i/>
          <w:iCs/>
          <w:lang w:val="fr-FR"/>
        </w:rPr>
      </w:pPr>
      <w:r>
        <w:rPr>
          <w:b/>
          <w:bCs/>
          <w:i/>
          <w:iCs/>
          <w:lang w:val="fr-FR"/>
        </w:rPr>
        <w:t>Adressé</w:t>
      </w:r>
      <w:r w:rsidR="00167DA1">
        <w:rPr>
          <w:b/>
          <w:bCs/>
          <w:i/>
          <w:iCs/>
          <w:lang w:val="fr-FR"/>
        </w:rPr>
        <w:t>e</w:t>
      </w:r>
      <w:r>
        <w:rPr>
          <w:b/>
          <w:bCs/>
          <w:i/>
          <w:iCs/>
          <w:lang w:val="fr-FR"/>
        </w:rPr>
        <w:t xml:space="preserve"> au Groupe d’étude de l’énergie</w:t>
      </w:r>
    </w:p>
    <w:p w14:paraId="50C9F388" w14:textId="77777777" w:rsidR="00167DA1" w:rsidRPr="00237418" w:rsidRDefault="00167DA1" w:rsidP="00167DA1">
      <w:pPr>
        <w:spacing w:after="0" w:line="240" w:lineRule="auto"/>
        <w:jc w:val="both"/>
        <w:rPr>
          <w:b/>
          <w:bCs/>
          <w:i/>
          <w:iCs/>
          <w:lang w:val="fr-FR"/>
        </w:rPr>
      </w:pPr>
    </w:p>
    <w:p w14:paraId="47637F78" w14:textId="6E908CA8" w:rsidR="00B441B2" w:rsidRDefault="00687AFF" w:rsidP="00167DA1">
      <w:pPr>
        <w:spacing w:after="0" w:line="240" w:lineRule="auto"/>
        <w:ind w:left="851" w:hanging="851"/>
        <w:jc w:val="both"/>
        <w:rPr>
          <w:lang w:val="fr-FR"/>
        </w:rPr>
      </w:pPr>
      <w:r>
        <w:rPr>
          <w:lang w:val="fr-FR"/>
        </w:rPr>
        <w:t>14. CC</w:t>
      </w:r>
      <w:r>
        <w:rPr>
          <w:lang w:val="fr-FR"/>
        </w:rPr>
        <w:tab/>
        <w:t xml:space="preserve">Le Groupe d’étude de l’énergie est prié, sous réserve de la disponibilité des ressources : </w:t>
      </w:r>
    </w:p>
    <w:p w14:paraId="068AAC4E" w14:textId="77777777" w:rsidR="00167DA1" w:rsidRDefault="00167DA1" w:rsidP="00167DA1">
      <w:pPr>
        <w:spacing w:after="0" w:line="240" w:lineRule="auto"/>
        <w:ind w:left="993" w:hanging="993"/>
        <w:jc w:val="both"/>
        <w:rPr>
          <w:lang w:val="fr-FR"/>
        </w:rPr>
      </w:pPr>
    </w:p>
    <w:p w14:paraId="611947B4" w14:textId="1D0F2D2F" w:rsidR="00DE00CF" w:rsidRDefault="00FD719B" w:rsidP="00167DA1">
      <w:pPr>
        <w:pStyle w:val="ListParagraph"/>
        <w:numPr>
          <w:ilvl w:val="0"/>
          <w:numId w:val="21"/>
        </w:numPr>
        <w:spacing w:after="0" w:line="240" w:lineRule="auto"/>
        <w:ind w:left="1418" w:hanging="567"/>
        <w:contextualSpacing w:val="0"/>
        <w:jc w:val="both"/>
        <w:rPr>
          <w:lang w:val="fr-FR"/>
        </w:rPr>
      </w:pPr>
      <w:r>
        <w:rPr>
          <w:lang w:val="fr-FR"/>
        </w:rPr>
        <w:t xml:space="preserve">d’examiner les outils et fournir des orientations pour évaluer et atténuer les impacts des énergies renouvelables et des développements de lignes électriques sur les espèces migratrices le long des voies de migration et dans l’ensemble des aires de répartition des espèces, notamment, dans les zones situées au-delà de la juridiction nationale ; cela comprend des approches </w:t>
      </w:r>
      <w:r>
        <w:rPr>
          <w:lang w:val="fr-FR"/>
        </w:rPr>
        <w:lastRenderedPageBreak/>
        <w:t>normalisées pour la surveillance post-construction des projets d’énergie renouvelable, et un examen des outils existants, tels que l’AVISTEP ;</w:t>
      </w:r>
    </w:p>
    <w:p w14:paraId="6B55828E" w14:textId="77777777" w:rsidR="00993FBD" w:rsidRDefault="00993FBD" w:rsidP="00167DA1">
      <w:pPr>
        <w:pStyle w:val="ListParagraph"/>
        <w:spacing w:after="0" w:line="240" w:lineRule="auto"/>
        <w:ind w:left="1418" w:hanging="567"/>
        <w:contextualSpacing w:val="0"/>
        <w:jc w:val="both"/>
        <w:rPr>
          <w:lang w:val="fr-FR"/>
        </w:rPr>
      </w:pPr>
    </w:p>
    <w:p w14:paraId="53F37BE3" w14:textId="42647F70" w:rsidR="00EE27DE" w:rsidRDefault="00FD719B" w:rsidP="00167DA1">
      <w:pPr>
        <w:pStyle w:val="ListParagraph"/>
        <w:numPr>
          <w:ilvl w:val="0"/>
          <w:numId w:val="21"/>
        </w:numPr>
        <w:spacing w:after="0" w:line="240" w:lineRule="auto"/>
        <w:ind w:left="1418" w:hanging="567"/>
        <w:contextualSpacing w:val="0"/>
        <w:jc w:val="both"/>
        <w:rPr>
          <w:lang w:val="fr-FR"/>
        </w:rPr>
      </w:pPr>
      <w:r>
        <w:rPr>
          <w:lang w:val="fr-FR"/>
        </w:rPr>
        <w:t xml:space="preserve">de produire des orientations sur le format et la portée d’une base de données sur la mortalité des espèces inscrites à l’Annexe I de la CMS causée par le développement des énergies renouvelables ; </w:t>
      </w:r>
    </w:p>
    <w:p w14:paraId="0A75ADD6" w14:textId="77777777" w:rsidR="00186CDD" w:rsidRDefault="00186CDD" w:rsidP="00167DA1">
      <w:pPr>
        <w:pStyle w:val="ListParagraph"/>
        <w:spacing w:after="0" w:line="240" w:lineRule="auto"/>
        <w:ind w:left="1418" w:hanging="567"/>
        <w:contextualSpacing w:val="0"/>
        <w:jc w:val="both"/>
        <w:rPr>
          <w:lang w:val="fr-FR"/>
        </w:rPr>
      </w:pPr>
    </w:p>
    <w:p w14:paraId="3E498CDD" w14:textId="4F0EDA62" w:rsidR="00B3789A" w:rsidRPr="00B3789A" w:rsidRDefault="00FD719B" w:rsidP="00167DA1">
      <w:pPr>
        <w:pStyle w:val="ListParagraph"/>
        <w:numPr>
          <w:ilvl w:val="0"/>
          <w:numId w:val="21"/>
        </w:numPr>
        <w:spacing w:after="0" w:line="240" w:lineRule="auto"/>
        <w:ind w:left="1418" w:hanging="567"/>
        <w:contextualSpacing w:val="0"/>
        <w:jc w:val="both"/>
        <w:rPr>
          <w:lang w:val="fr-FR"/>
        </w:rPr>
      </w:pPr>
      <w:r>
        <w:rPr>
          <w:lang w:val="fr-FR"/>
        </w:rPr>
        <w:t xml:space="preserve">de coordonner la collecte des données sur la mortalité des oiseaux et des chauves-souris avec d’autres groupes d’étude de la CMS travaillant sur des initiatives similaires, tels que le Groupe d’étude sur le faucon sacre de la CMS, le Groupe d’étude intergouvernemental de la CMS sur l’abattage, le prélèvement et le commerce illégaux d’oiseaux migrateurs en Méditerranée (MIKT) et le Groupe d’étude intergouvernemental de la CMS </w:t>
      </w:r>
      <w:r>
        <w:rPr>
          <w:bCs/>
          <w:iCs/>
          <w:lang w:val="fr-FR"/>
        </w:rPr>
        <w:t>Asie-Pacifique sur la prise illégale d’oiseaux migrateurs ;</w:t>
      </w:r>
    </w:p>
    <w:p w14:paraId="3B65C055" w14:textId="77777777" w:rsidR="00B3789A" w:rsidRPr="00B3789A" w:rsidRDefault="00B3789A" w:rsidP="00167DA1">
      <w:pPr>
        <w:spacing w:after="0" w:line="240" w:lineRule="auto"/>
        <w:ind w:left="1418" w:hanging="567"/>
        <w:jc w:val="both"/>
        <w:rPr>
          <w:lang w:val="fr-FR"/>
        </w:rPr>
      </w:pPr>
    </w:p>
    <w:p w14:paraId="5EAA3E79" w14:textId="3FCC4038" w:rsidR="00B44534" w:rsidRPr="00B3789A" w:rsidRDefault="00FD719B" w:rsidP="00167DA1">
      <w:pPr>
        <w:pStyle w:val="ListParagraph"/>
        <w:numPr>
          <w:ilvl w:val="0"/>
          <w:numId w:val="21"/>
        </w:numPr>
        <w:spacing w:after="0" w:line="240" w:lineRule="auto"/>
        <w:ind w:left="1418" w:hanging="567"/>
        <w:contextualSpacing w:val="0"/>
        <w:jc w:val="both"/>
        <w:rPr>
          <w:lang w:val="fr-FR"/>
        </w:rPr>
      </w:pPr>
      <w:r w:rsidRPr="00B3789A">
        <w:rPr>
          <w:lang w:val="fr-FR"/>
        </w:rPr>
        <w:t>d’élargir la portée de l’ETF afin d’y inclure les impacts sur les cétacés des énergies renouvelables au large des côtes ;</w:t>
      </w:r>
    </w:p>
    <w:p w14:paraId="7D38CAC2" w14:textId="77777777" w:rsidR="008757B0" w:rsidRPr="00E05B8D" w:rsidRDefault="008757B0" w:rsidP="00167DA1">
      <w:pPr>
        <w:pStyle w:val="ListParagraph"/>
        <w:spacing w:after="0" w:line="240" w:lineRule="auto"/>
        <w:ind w:left="1418" w:hanging="567"/>
        <w:contextualSpacing w:val="0"/>
        <w:jc w:val="both"/>
        <w:rPr>
          <w:lang w:val="fr-FR"/>
        </w:rPr>
      </w:pPr>
    </w:p>
    <w:p w14:paraId="0DF85CCF" w14:textId="62D0EDE7" w:rsidR="008B0F25" w:rsidRDefault="008B0F25" w:rsidP="00167DA1">
      <w:pPr>
        <w:pStyle w:val="ListParagraph"/>
        <w:numPr>
          <w:ilvl w:val="0"/>
          <w:numId w:val="21"/>
        </w:numPr>
        <w:spacing w:after="0" w:line="240" w:lineRule="auto"/>
        <w:contextualSpacing w:val="0"/>
        <w:jc w:val="both"/>
        <w:rPr>
          <w:lang w:val="fr-FR"/>
        </w:rPr>
      </w:pPr>
      <w:r>
        <w:rPr>
          <w:lang w:val="fr-FR"/>
        </w:rPr>
        <w:t xml:space="preserve">de collaborer avec des entreprises et du secteur financier international en vue de soutenir l’intégration des meilleures pratiques et la conservation des espèces migratrices dans les politiques et les mesures de protection du secteur </w:t>
      </w:r>
    </w:p>
    <w:p w14:paraId="2FD2EB9D" w14:textId="77777777" w:rsidR="00B3789A" w:rsidRPr="00B3789A" w:rsidRDefault="00B3789A" w:rsidP="00167DA1">
      <w:pPr>
        <w:spacing w:after="0" w:line="240" w:lineRule="auto"/>
        <w:jc w:val="both"/>
        <w:rPr>
          <w:lang w:val="fr-FR"/>
        </w:rPr>
      </w:pPr>
    </w:p>
    <w:p w14:paraId="2319B655" w14:textId="208C1DC7" w:rsidR="008B0F25" w:rsidRDefault="008B0F25" w:rsidP="00167DA1">
      <w:pPr>
        <w:pStyle w:val="ListParagraph"/>
        <w:numPr>
          <w:ilvl w:val="0"/>
          <w:numId w:val="21"/>
        </w:numPr>
        <w:spacing w:after="0" w:line="240" w:lineRule="auto"/>
        <w:contextualSpacing w:val="0"/>
        <w:jc w:val="both"/>
        <w:rPr>
          <w:lang w:val="fr-FR"/>
        </w:rPr>
      </w:pPr>
      <w:r>
        <w:rPr>
          <w:lang w:val="fr-FR"/>
        </w:rPr>
        <w:t>d’encourager la communauté internationale des donateurs à intégrer la biodiversité dans les stratégies de financement liées à la transition vers les énergies renouvelables.</w:t>
      </w:r>
    </w:p>
    <w:p w14:paraId="7FBB8C04" w14:textId="77777777" w:rsidR="00FF1BB9" w:rsidRDefault="00FF1BB9" w:rsidP="00167DA1">
      <w:pPr>
        <w:spacing w:after="0" w:line="240" w:lineRule="auto"/>
        <w:jc w:val="both"/>
        <w:rPr>
          <w:lang w:val="fr-FR"/>
        </w:rPr>
      </w:pPr>
    </w:p>
    <w:p w14:paraId="3C13B978" w14:textId="77777777" w:rsidR="00167DA1" w:rsidRDefault="00167DA1" w:rsidP="00167DA1">
      <w:pPr>
        <w:spacing w:after="0" w:line="240" w:lineRule="auto"/>
        <w:jc w:val="both"/>
        <w:rPr>
          <w:lang w:val="fr-FR"/>
        </w:rPr>
      </w:pPr>
    </w:p>
    <w:p w14:paraId="272D4E01" w14:textId="5BBF063C" w:rsidR="00FF1BB9" w:rsidRPr="007022A1" w:rsidRDefault="00FF1BB9" w:rsidP="00167DA1">
      <w:pPr>
        <w:spacing w:after="0" w:line="240" w:lineRule="auto"/>
        <w:jc w:val="both"/>
        <w:rPr>
          <w:rFonts w:cs="Arial"/>
          <w:b/>
          <w:i/>
          <w:lang w:val="fr-FR"/>
        </w:rPr>
      </w:pPr>
      <w:r>
        <w:rPr>
          <w:rFonts w:cs="Arial"/>
          <w:b/>
          <w:i/>
          <w:lang w:val="fr-FR"/>
        </w:rPr>
        <w:t>Adressé</w:t>
      </w:r>
      <w:r w:rsidR="00167DA1">
        <w:rPr>
          <w:rFonts w:cs="Arial"/>
          <w:b/>
          <w:i/>
          <w:lang w:val="fr-FR"/>
        </w:rPr>
        <w:t>e</w:t>
      </w:r>
      <w:r>
        <w:rPr>
          <w:rFonts w:cs="Arial"/>
          <w:b/>
          <w:i/>
          <w:lang w:val="fr-FR"/>
        </w:rPr>
        <w:t xml:space="preserve"> au Secrétariat</w:t>
      </w:r>
    </w:p>
    <w:p w14:paraId="58CD53A6" w14:textId="77777777" w:rsidR="00831DC2" w:rsidRDefault="00831DC2" w:rsidP="00167DA1">
      <w:pPr>
        <w:pStyle w:val="Secondnumbering"/>
        <w:numPr>
          <w:ilvl w:val="0"/>
          <w:numId w:val="0"/>
        </w:numPr>
        <w:jc w:val="both"/>
        <w:rPr>
          <w:lang w:val="fr-FR"/>
        </w:rPr>
      </w:pPr>
    </w:p>
    <w:p w14:paraId="7955C02B" w14:textId="128F07C3" w:rsidR="007022A1" w:rsidRDefault="007022A1" w:rsidP="00167DA1">
      <w:pPr>
        <w:spacing w:after="0" w:line="240" w:lineRule="auto"/>
        <w:ind w:left="851" w:hanging="851"/>
        <w:jc w:val="both"/>
        <w:rPr>
          <w:lang w:val="fr-FR"/>
        </w:rPr>
      </w:pPr>
      <w:r>
        <w:rPr>
          <w:lang w:val="fr-FR"/>
        </w:rPr>
        <w:t xml:space="preserve">14. DD </w:t>
      </w:r>
      <w:r w:rsidR="00167DA1">
        <w:rPr>
          <w:lang w:val="fr-FR"/>
        </w:rPr>
        <w:tab/>
      </w:r>
      <w:r>
        <w:rPr>
          <w:lang w:val="fr-FR"/>
        </w:rPr>
        <w:t>Le Secrétariat, sous réserve de la disponibilité des ressources :</w:t>
      </w:r>
    </w:p>
    <w:p w14:paraId="27110A1B" w14:textId="77777777" w:rsidR="00167DA1" w:rsidRDefault="00167DA1" w:rsidP="00167DA1">
      <w:pPr>
        <w:spacing w:after="0" w:line="240" w:lineRule="auto"/>
        <w:ind w:left="851" w:hanging="851"/>
        <w:jc w:val="both"/>
        <w:rPr>
          <w:lang w:val="fr-FR"/>
        </w:rPr>
      </w:pPr>
    </w:p>
    <w:p w14:paraId="0964F85E" w14:textId="10F2BFA2" w:rsidR="00FA030D" w:rsidRDefault="00BD38F9" w:rsidP="00167DA1">
      <w:pPr>
        <w:pStyle w:val="ListParagraph"/>
        <w:numPr>
          <w:ilvl w:val="0"/>
          <w:numId w:val="22"/>
        </w:numPr>
        <w:spacing w:after="0" w:line="240" w:lineRule="auto"/>
        <w:ind w:left="1418" w:hanging="567"/>
        <w:contextualSpacing w:val="0"/>
        <w:jc w:val="both"/>
        <w:rPr>
          <w:lang w:val="fr-FR"/>
        </w:rPr>
      </w:pPr>
      <w:r>
        <w:rPr>
          <w:lang w:val="fr-FR"/>
        </w:rPr>
        <w:t>inclut dans sa stratégie de communication les orientations et les outils produits par l’ETF, ainsi que la collaboration avec les institutions financière internationales et l’ensemble des agents du secteur des énergies renouvelables ;</w:t>
      </w:r>
    </w:p>
    <w:p w14:paraId="74E3261F" w14:textId="77777777" w:rsidR="004E01D3" w:rsidRDefault="004E01D3" w:rsidP="00167DA1">
      <w:pPr>
        <w:pStyle w:val="ListParagraph"/>
        <w:spacing w:after="0" w:line="240" w:lineRule="auto"/>
        <w:ind w:left="1418" w:hanging="567"/>
        <w:contextualSpacing w:val="0"/>
        <w:jc w:val="both"/>
        <w:rPr>
          <w:lang w:val="fr-FR"/>
        </w:rPr>
      </w:pPr>
    </w:p>
    <w:p w14:paraId="13996367" w14:textId="4F7CD94C" w:rsidR="00150604" w:rsidRDefault="00150604" w:rsidP="00167DA1">
      <w:pPr>
        <w:pStyle w:val="ListParagraph"/>
        <w:numPr>
          <w:ilvl w:val="0"/>
          <w:numId w:val="22"/>
        </w:numPr>
        <w:spacing w:after="0" w:line="240" w:lineRule="auto"/>
        <w:ind w:left="1418" w:hanging="567"/>
        <w:contextualSpacing w:val="0"/>
        <w:jc w:val="both"/>
        <w:rPr>
          <w:lang w:val="fr-FR"/>
        </w:rPr>
      </w:pPr>
      <w:r>
        <w:rPr>
          <w:lang w:val="fr-FR"/>
        </w:rPr>
        <w:t>soutient l’ETF et veille à ce que le nombre de ses membres augmente et que sa portée soit régulièrement revue pour faire face à toutes les menaces potentielles des infrastructures d’énergie renouvelable pour les espèces migratrices ;</w:t>
      </w:r>
    </w:p>
    <w:p w14:paraId="6D4CB9DA" w14:textId="77777777" w:rsidR="00CA265E" w:rsidRDefault="00CA265E" w:rsidP="00167DA1">
      <w:pPr>
        <w:pStyle w:val="ListParagraph"/>
        <w:spacing w:after="0" w:line="240" w:lineRule="auto"/>
        <w:ind w:left="1418" w:hanging="567"/>
        <w:contextualSpacing w:val="0"/>
        <w:jc w:val="both"/>
        <w:rPr>
          <w:lang w:val="fr-FR"/>
        </w:rPr>
      </w:pPr>
    </w:p>
    <w:p w14:paraId="3AD83CA2" w14:textId="1DC7D62E" w:rsidR="00771D86" w:rsidRDefault="00F26803" w:rsidP="00167DA1">
      <w:pPr>
        <w:pStyle w:val="ListParagraph"/>
        <w:numPr>
          <w:ilvl w:val="0"/>
          <w:numId w:val="22"/>
        </w:numPr>
        <w:spacing w:after="0" w:line="240" w:lineRule="auto"/>
        <w:ind w:left="1418" w:hanging="567"/>
        <w:contextualSpacing w:val="0"/>
        <w:jc w:val="both"/>
        <w:rPr>
          <w:lang w:val="fr-FR"/>
        </w:rPr>
      </w:pPr>
      <w:r>
        <w:rPr>
          <w:lang w:val="fr-FR"/>
        </w:rPr>
        <w:t>recherche des partenariats avec la Convention-cadre des Nations Unies sur les changements climatiques (CCNUCC) et d'autres entités concernées, afin d'étendre le rôle et la sensibilisation de l’ ETF et la mise en œuvre de mesures de protection, d’outils d’aménagement du territoire et d’orientations pour éviter les impacts négatifs des infrastructures d’énergie renouvelable sur les espèces migratrices ;</w:t>
      </w:r>
    </w:p>
    <w:p w14:paraId="0327D6C0" w14:textId="77777777" w:rsidR="00771D86" w:rsidRPr="00771D86" w:rsidRDefault="00771D86" w:rsidP="00167DA1">
      <w:pPr>
        <w:pStyle w:val="ListParagraph"/>
        <w:spacing w:after="0" w:line="240" w:lineRule="auto"/>
        <w:ind w:left="1418" w:hanging="567"/>
        <w:contextualSpacing w:val="0"/>
        <w:jc w:val="both"/>
        <w:rPr>
          <w:lang w:val="fr-FR"/>
        </w:rPr>
      </w:pPr>
    </w:p>
    <w:p w14:paraId="121C4132" w14:textId="6E934303" w:rsidR="00FA030D" w:rsidRPr="007C2CC3" w:rsidRDefault="002A13CA" w:rsidP="00167DA1">
      <w:pPr>
        <w:pStyle w:val="ListParagraph"/>
        <w:numPr>
          <w:ilvl w:val="0"/>
          <w:numId w:val="22"/>
        </w:numPr>
        <w:spacing w:after="0" w:line="240" w:lineRule="auto"/>
        <w:ind w:left="1418" w:hanging="567"/>
        <w:contextualSpacing w:val="0"/>
        <w:jc w:val="both"/>
        <w:rPr>
          <w:lang w:val="fr-FR"/>
        </w:rPr>
      </w:pPr>
      <w:r>
        <w:rPr>
          <w:lang w:val="fr-FR"/>
        </w:rPr>
        <w:t>soutient l’organisation d’ateliers de l’ETF pour sensibiliser et renforcer les capacités des représentants gouvernementaux qui travaillent dans les domaines des énergies renouvelables et des espèces migratrices.</w:t>
      </w:r>
    </w:p>
    <w:sectPr w:rsidR="00FA030D" w:rsidRPr="007C2CC3" w:rsidSect="00EC4F04">
      <w:headerReference w:type="first" r:id="rId63"/>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3D3DF" w14:textId="77777777" w:rsidR="00A9293F" w:rsidRDefault="00A9293F" w:rsidP="002E0DE9">
      <w:pPr>
        <w:spacing w:after="0" w:line="240" w:lineRule="auto"/>
        <w:rPr>
          <w:lang w:val="fr-FR"/>
        </w:rPr>
      </w:pPr>
      <w:r>
        <w:rPr>
          <w:lang w:val="fr-FR"/>
        </w:rPr>
        <w:separator/>
      </w:r>
    </w:p>
  </w:endnote>
  <w:endnote w:type="continuationSeparator" w:id="0">
    <w:p w14:paraId="2E670455" w14:textId="77777777" w:rsidR="00A9293F" w:rsidRDefault="00A9293F" w:rsidP="002E0DE9">
      <w:pPr>
        <w:spacing w:after="0" w:line="240" w:lineRule="auto"/>
        <w:rPr>
          <w:lang w:val="fr-FR"/>
        </w:rPr>
      </w:pPr>
      <w:r>
        <w:rPr>
          <w:lang w:val="fr-FR"/>
        </w:rPr>
        <w:continuationSeparator/>
      </w:r>
    </w:p>
  </w:endnote>
  <w:endnote w:type="continuationNotice" w:id="1">
    <w:p w14:paraId="35522BC3" w14:textId="77777777" w:rsidR="00A9293F" w:rsidRDefault="00A9293F">
      <w:pPr>
        <w:spacing w:after="0" w:line="240" w:lineRule="auto"/>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77777777" w:rsidR="002E0DE9" w:rsidRPr="002E0DE9" w:rsidRDefault="002E0DE9">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w:t>
    </w:r>
    <w:r>
      <w:rPr>
        <w:sz w:val="18"/>
        <w:szCs w:val="18"/>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A438450" w14:paraId="1FBF81CE" w14:textId="77777777" w:rsidTr="4A438450">
      <w:trPr>
        <w:trHeight w:val="300"/>
      </w:trPr>
      <w:tc>
        <w:tcPr>
          <w:tcW w:w="3210" w:type="dxa"/>
        </w:tcPr>
        <w:p w14:paraId="34578B4C" w14:textId="33091332" w:rsidR="4A438450" w:rsidRDefault="4A438450" w:rsidP="4A438450">
          <w:pPr>
            <w:pStyle w:val="Header"/>
            <w:ind w:left="-115"/>
          </w:pPr>
        </w:p>
      </w:tc>
      <w:tc>
        <w:tcPr>
          <w:tcW w:w="3210" w:type="dxa"/>
        </w:tcPr>
        <w:p w14:paraId="228C3E18" w14:textId="72A67594" w:rsidR="4A438450" w:rsidRDefault="4A438450" w:rsidP="4A438450">
          <w:pPr>
            <w:pStyle w:val="Header"/>
            <w:jc w:val="center"/>
          </w:pPr>
        </w:p>
      </w:tc>
      <w:tc>
        <w:tcPr>
          <w:tcW w:w="3210" w:type="dxa"/>
        </w:tcPr>
        <w:p w14:paraId="43722023" w14:textId="1269DDE3" w:rsidR="4A438450" w:rsidRDefault="4A438450" w:rsidP="4A438450">
          <w:pPr>
            <w:pStyle w:val="Header"/>
            <w:ind w:right="-115"/>
            <w:jc w:val="right"/>
          </w:pPr>
        </w:p>
      </w:tc>
    </w:tr>
  </w:tbl>
  <w:p w14:paraId="3214DCAA" w14:textId="37FC7D89" w:rsidR="4A438450" w:rsidRDefault="4A438450" w:rsidP="4A4384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229197"/>
      <w:docPartObj>
        <w:docPartGallery w:val="Page Numbers (Bottom of Page)"/>
        <w:docPartUnique/>
      </w:docPartObj>
    </w:sdtPr>
    <w:sdtEndPr>
      <w:rPr>
        <w:noProof/>
        <w:sz w:val="18"/>
        <w:szCs w:val="18"/>
      </w:rPr>
    </w:sdtEndPr>
    <w:sdtContent>
      <w:p w14:paraId="2E2C6493" w14:textId="5471E4C9" w:rsidR="4A438450" w:rsidRPr="00200C3D" w:rsidRDefault="00200C3D" w:rsidP="00167DA1">
        <w:pPr>
          <w:pStyle w:val="Footer"/>
          <w:jc w:val="center"/>
          <w:rPr>
            <w:sz w:val="18"/>
            <w:szCs w:val="18"/>
          </w:rPr>
        </w:pPr>
        <w:r w:rsidRPr="00200C3D">
          <w:rPr>
            <w:sz w:val="18"/>
            <w:szCs w:val="18"/>
          </w:rPr>
          <w:fldChar w:fldCharType="begin"/>
        </w:r>
        <w:r w:rsidRPr="00200C3D">
          <w:rPr>
            <w:sz w:val="18"/>
            <w:szCs w:val="18"/>
          </w:rPr>
          <w:instrText xml:space="preserve"> PAGE   \* MERGEFORMAT </w:instrText>
        </w:r>
        <w:r w:rsidRPr="00200C3D">
          <w:rPr>
            <w:sz w:val="18"/>
            <w:szCs w:val="18"/>
          </w:rPr>
          <w:fldChar w:fldCharType="separate"/>
        </w:r>
        <w:r w:rsidRPr="00200C3D">
          <w:rPr>
            <w:noProof/>
            <w:sz w:val="18"/>
            <w:szCs w:val="18"/>
          </w:rPr>
          <w:t>2</w:t>
        </w:r>
        <w:r w:rsidRPr="00200C3D">
          <w:rPr>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70CF" w14:textId="77777777" w:rsidR="00200C3D" w:rsidRPr="00503850" w:rsidRDefault="00200C3D">
    <w:pPr>
      <w:pStyle w:val="Footer"/>
      <w:tabs>
        <w:tab w:val="clear" w:pos="4680"/>
        <w:tab w:val="clear" w:pos="9360"/>
      </w:tabs>
      <w:jc w:val="center"/>
      <w:rPr>
        <w:caps/>
        <w:noProof/>
        <w:sz w:val="18"/>
        <w:szCs w:val="18"/>
      </w:rPr>
    </w:pPr>
    <w:r w:rsidRPr="00503850">
      <w:rPr>
        <w:caps/>
        <w:sz w:val="18"/>
        <w:szCs w:val="18"/>
      </w:rPr>
      <w:fldChar w:fldCharType="begin"/>
    </w:r>
    <w:r w:rsidRPr="00503850">
      <w:rPr>
        <w:caps/>
        <w:sz w:val="18"/>
        <w:szCs w:val="18"/>
      </w:rPr>
      <w:instrText xml:space="preserve"> PAGE   \* MERGEFORMAT </w:instrText>
    </w:r>
    <w:r w:rsidRPr="00503850">
      <w:rPr>
        <w:caps/>
        <w:sz w:val="18"/>
        <w:szCs w:val="18"/>
      </w:rPr>
      <w:fldChar w:fldCharType="separate"/>
    </w:r>
    <w:r w:rsidRPr="00503850">
      <w:rPr>
        <w:caps/>
        <w:noProof/>
        <w:sz w:val="18"/>
        <w:szCs w:val="18"/>
      </w:rPr>
      <w:t>2</w:t>
    </w:r>
    <w:r w:rsidRPr="00503850">
      <w:rPr>
        <w:caps/>
        <w:noProof/>
        <w:sz w:val="18"/>
        <w:szCs w:val="18"/>
      </w:rPr>
      <w:fldChar w:fldCharType="end"/>
    </w:r>
  </w:p>
  <w:p w14:paraId="580C62C2" w14:textId="55D962D7" w:rsidR="4A438450" w:rsidRDefault="4A438450" w:rsidP="4A43845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E8B5" w14:textId="2F91ACD8" w:rsidR="4A438450" w:rsidRDefault="4A438450" w:rsidP="4A43845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007526"/>
      <w:docPartObj>
        <w:docPartGallery w:val="Page Numbers (Bottom of Page)"/>
        <w:docPartUnique/>
      </w:docPartObj>
    </w:sdtPr>
    <w:sdtEndPr>
      <w:rPr>
        <w:noProof/>
      </w:rPr>
    </w:sdtEndPr>
    <w:sdtContent>
      <w:p w14:paraId="43D4550C" w14:textId="4FAA43FF" w:rsidR="4A438450" w:rsidRDefault="00B3789A" w:rsidP="00B3789A">
        <w:pPr>
          <w:pStyle w:val="Footer"/>
          <w:jc w:val="center"/>
        </w:pPr>
        <w:r w:rsidRPr="00B3789A">
          <w:rPr>
            <w:sz w:val="18"/>
            <w:szCs w:val="18"/>
          </w:rPr>
          <w:fldChar w:fldCharType="begin"/>
        </w:r>
        <w:r w:rsidRPr="00B3789A">
          <w:rPr>
            <w:sz w:val="18"/>
            <w:szCs w:val="18"/>
          </w:rPr>
          <w:instrText xml:space="preserve"> PAGE   \* MERGEFORMAT </w:instrText>
        </w:r>
        <w:r w:rsidRPr="00B3789A">
          <w:rPr>
            <w:sz w:val="18"/>
            <w:szCs w:val="18"/>
          </w:rPr>
          <w:fldChar w:fldCharType="separate"/>
        </w:r>
        <w:r w:rsidRPr="00B3789A">
          <w:rPr>
            <w:noProof/>
            <w:sz w:val="18"/>
            <w:szCs w:val="18"/>
          </w:rPr>
          <w:t>2</w:t>
        </w:r>
        <w:r w:rsidRPr="00B3789A">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F4BE3" w14:textId="77777777" w:rsidR="00A9293F" w:rsidRDefault="00A9293F" w:rsidP="002E0DE9">
      <w:pPr>
        <w:spacing w:after="0" w:line="240" w:lineRule="auto"/>
        <w:rPr>
          <w:lang w:val="fr-FR"/>
        </w:rPr>
      </w:pPr>
      <w:r>
        <w:rPr>
          <w:lang w:val="fr-FR"/>
        </w:rPr>
        <w:separator/>
      </w:r>
    </w:p>
  </w:footnote>
  <w:footnote w:type="continuationSeparator" w:id="0">
    <w:p w14:paraId="45F94A1E" w14:textId="77777777" w:rsidR="00A9293F" w:rsidRDefault="00A9293F" w:rsidP="002E0DE9">
      <w:pPr>
        <w:spacing w:after="0" w:line="240" w:lineRule="auto"/>
        <w:rPr>
          <w:lang w:val="fr-FR"/>
        </w:rPr>
      </w:pPr>
      <w:r>
        <w:rPr>
          <w:lang w:val="fr-FR"/>
        </w:rPr>
        <w:continuationSeparator/>
      </w:r>
    </w:p>
  </w:footnote>
  <w:footnote w:type="continuationNotice" w:id="1">
    <w:p w14:paraId="383EDB2D" w14:textId="77777777" w:rsidR="00A9293F" w:rsidRDefault="00A9293F">
      <w:pPr>
        <w:spacing w:after="0" w:line="240" w:lineRule="auto"/>
        <w:rPr>
          <w:lang w:val="fr-FR"/>
        </w:rPr>
      </w:pPr>
    </w:p>
  </w:footnote>
  <w:footnote w:id="2">
    <w:p w14:paraId="5C934CEC" w14:textId="3EC4D679" w:rsidR="00BC34DC" w:rsidRPr="00167DA1" w:rsidRDefault="00BC34DC">
      <w:pPr>
        <w:pStyle w:val="FootnoteText"/>
        <w:rPr>
          <w:sz w:val="16"/>
          <w:szCs w:val="16"/>
          <w:lang w:val="fr-FR"/>
        </w:rPr>
      </w:pPr>
      <w:r w:rsidRPr="00167DA1">
        <w:rPr>
          <w:rStyle w:val="FootnoteReference"/>
          <w:sz w:val="16"/>
          <w:szCs w:val="16"/>
          <w:lang w:val="fr-FR"/>
        </w:rPr>
        <w:footnoteRef/>
      </w:r>
      <w:r w:rsidRPr="00167DA1">
        <w:rPr>
          <w:sz w:val="16"/>
          <w:szCs w:val="16"/>
          <w:lang w:val="fr-FR"/>
        </w:rPr>
        <w:t xml:space="preserve"> </w:t>
      </w:r>
      <w:hyperlink r:id="rId1" w:history="1">
        <w:r w:rsidRPr="00167DA1">
          <w:rPr>
            <w:rStyle w:val="Hyperlink"/>
            <w:sz w:val="16"/>
            <w:szCs w:val="16"/>
            <w:lang w:val="fr-FR"/>
          </w:rPr>
          <w:t>Annexe à la Résolution 11.15 (Rev.COP13)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2E0DE9" w:rsidRPr="002E0DE9" w:rsidRDefault="002E0DE9" w:rsidP="002E0DE9">
    <w:pPr>
      <w:pStyle w:val="Header"/>
      <w:pBdr>
        <w:bottom w:val="single" w:sz="4" w:space="1" w:color="auto"/>
      </w:pBdr>
      <w:rPr>
        <w:i/>
        <w:sz w:val="18"/>
        <w:szCs w:val="18"/>
        <w:lang w:val="fr-FR"/>
      </w:rPr>
    </w:pPr>
    <w:r>
      <w:rPr>
        <w:rFonts w:eastAsia="Times New Roman" w:cs="Arial"/>
        <w:i/>
        <w:sz w:val="18"/>
        <w:szCs w:val="18"/>
        <w:lang w:val="fr-FR"/>
      </w:rPr>
      <w:t>UNEP/CMS/COP13/</w:t>
    </w:r>
    <w:proofErr w:type="spellStart"/>
    <w:r>
      <w:rPr>
        <w:rFonts w:eastAsia="Times New Roman" w:cs="Arial"/>
        <w:i/>
        <w:sz w:val="18"/>
        <w:szCs w:val="18"/>
        <w:lang w:val="fr-FR"/>
      </w:rPr>
      <w:t>Doc.</w:t>
    </w:r>
    <w:r>
      <w:rPr>
        <w:rFonts w:eastAsia="Times New Roman" w:cs="Arial"/>
        <w:i/>
        <w:sz w:val="18"/>
        <w:szCs w:val="18"/>
        <w:shd w:val="clear" w:color="auto" w:fill="FFFF00"/>
        <w:lang w:val="fr-FR"/>
      </w:rPr>
      <w:t>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0CBA" w14:textId="6122CC67" w:rsidR="00B3789A" w:rsidRPr="00661875" w:rsidRDefault="00B3789A" w:rsidP="00167DA1">
    <w:pPr>
      <w:pStyle w:val="Header"/>
      <w:pBdr>
        <w:bottom w:val="single" w:sz="4" w:space="1" w:color="auto"/>
      </w:pBdr>
      <w:jc w:val="right"/>
      <w:rPr>
        <w:rFonts w:cs="Arial"/>
        <w:i/>
        <w:sz w:val="18"/>
        <w:szCs w:val="18"/>
        <w:lang w:val="de-DE"/>
      </w:rPr>
    </w:pPr>
    <w:r>
      <w:rPr>
        <w:rFonts w:cs="Arial"/>
        <w:i/>
        <w:sz w:val="18"/>
        <w:szCs w:val="18"/>
        <w:lang w:val="de-DE"/>
      </w:rPr>
      <w:t>UNEP/CMS/COP14/Doc.30.3.2/Annexe 2</w:t>
    </w:r>
  </w:p>
  <w:p w14:paraId="31250B12" w14:textId="77777777" w:rsidR="00B3789A" w:rsidRPr="002E0DE9" w:rsidRDefault="00B3789A"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2E0DE9" w:rsidRPr="002E0DE9" w:rsidRDefault="002E0DE9" w:rsidP="002E0DE9">
    <w:pPr>
      <w:pStyle w:val="Header"/>
      <w:pBdr>
        <w:bottom w:val="single" w:sz="4" w:space="1" w:color="auto"/>
      </w:pBdr>
      <w:rPr>
        <w:i/>
        <w:sz w:val="18"/>
        <w:szCs w:val="18"/>
        <w:lang w:val="fr-FR"/>
      </w:rPr>
    </w:pPr>
    <w:r>
      <w:rPr>
        <w:rFonts w:eastAsia="Times New Roman" w:cs="Arial"/>
        <w:i/>
        <w:sz w:val="18"/>
        <w:szCs w:val="18"/>
        <w:lang w:val="fr-FR"/>
      </w:rPr>
      <w:t>UNEP/CMS/COP14/</w:t>
    </w:r>
    <w:proofErr w:type="spellStart"/>
    <w:r>
      <w:rPr>
        <w:rFonts w:eastAsia="Times New Roman" w:cs="Arial"/>
        <w:i/>
        <w:sz w:val="18"/>
        <w:szCs w:val="18"/>
        <w:lang w:val="fr-FR"/>
      </w:rPr>
      <w:t>Doc.</w:t>
    </w:r>
    <w:r>
      <w:rPr>
        <w:rFonts w:eastAsia="Times New Roman" w:cs="Arial"/>
        <w:i/>
        <w:sz w:val="18"/>
        <w:szCs w:val="18"/>
        <w:shd w:val="clear" w:color="auto" w:fill="FFFF00"/>
        <w:lang w:val="fr-FR"/>
      </w:rPr>
      <w:t>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1BF8" w14:textId="77777777" w:rsidR="00200C3D" w:rsidRPr="00EC2A58" w:rsidRDefault="00200C3D" w:rsidP="00200C3D">
    <w:pPr>
      <w:widowControl w:val="0"/>
      <w:tabs>
        <w:tab w:val="center" w:pos="4153"/>
        <w:tab w:val="right" w:pos="8306"/>
      </w:tabs>
      <w:suppressAutoHyphens/>
      <w:autoSpaceDE w:val="0"/>
      <w:autoSpaceDN w:val="0"/>
      <w:spacing w:after="0" w:line="240" w:lineRule="auto"/>
      <w:ind w:right="-547"/>
      <w:jc w:val="right"/>
      <w:textAlignment w:val="baseline"/>
      <w:rPr>
        <w:rFonts w:eastAsia="Times New Roman" w:cs="Times New Roman"/>
        <w:sz w:val="18"/>
        <w:szCs w:val="20"/>
      </w:rPr>
    </w:pPr>
    <w:r>
      <w:rPr>
        <w:noProof/>
      </w:rPr>
      <w:drawing>
        <wp:anchor distT="0" distB="0" distL="114300" distR="114300" simplePos="0" relativeHeight="251660288" behindDoc="0" locked="0" layoutInCell="1" allowOverlap="1" wp14:anchorId="42CCD2D6" wp14:editId="46C14265">
          <wp:simplePos x="0" y="0"/>
          <wp:positionH relativeFrom="column">
            <wp:posOffset>38100</wp:posOffset>
          </wp:positionH>
          <wp:positionV relativeFrom="paragraph">
            <wp:posOffset>-85725</wp:posOffset>
          </wp:positionV>
          <wp:extent cx="714375" cy="714375"/>
          <wp:effectExtent l="0" t="0" r="9525" b="9525"/>
          <wp:wrapSquare wrapText="bothSides"/>
          <wp:docPr id="2142357486" name="Picture 214235748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r w:rsidRPr="00EC2A58">
      <w:rPr>
        <w:rFonts w:eastAsia="Times New Roman" w:cs="Times New Roman"/>
        <w:noProof/>
        <w:sz w:val="18"/>
        <w:szCs w:val="20"/>
      </w:rPr>
      <w:drawing>
        <wp:anchor distT="0" distB="0" distL="114300" distR="114300" simplePos="0" relativeHeight="251656192" behindDoc="0" locked="0" layoutInCell="1" allowOverlap="1" wp14:anchorId="7F1CF0AF" wp14:editId="144A5B2B">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1058188234" name="Picture 1058188234"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80" name="Picture 2" descr="A black and white logo&#10;&#10;Description automatically generated"/>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Pr="00EC2A58">
      <w:rPr>
        <w:rFonts w:eastAsia="Times New Roman" w:cs="Times New Roman"/>
        <w:noProof/>
        <w:sz w:val="4"/>
        <w:szCs w:val="4"/>
      </w:rPr>
      <w:drawing>
        <wp:anchor distT="0" distB="0" distL="114300" distR="114300" simplePos="0" relativeHeight="251658240" behindDoc="0" locked="0" layoutInCell="1" allowOverlap="1" wp14:anchorId="03984230" wp14:editId="032FDC72">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1591393970" name="Picture 15913939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p w14:paraId="3FABF46D" w14:textId="77777777" w:rsidR="00200C3D" w:rsidRDefault="00200C3D" w:rsidP="00200C3D">
    <w:pPr>
      <w:pStyle w:val="Header"/>
    </w:pPr>
  </w:p>
  <w:p w14:paraId="6558B616" w14:textId="68A48459" w:rsidR="4A438450" w:rsidRDefault="4A438450" w:rsidP="4A4384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AA7B" w14:textId="34FC1422" w:rsidR="002D6582" w:rsidRPr="00661875" w:rsidRDefault="002D6582" w:rsidP="00371DE1">
    <w:pPr>
      <w:pStyle w:val="Header"/>
      <w:pBdr>
        <w:bottom w:val="single" w:sz="4" w:space="1" w:color="auto"/>
      </w:pBdr>
      <w:rPr>
        <w:rFonts w:cs="Arial"/>
        <w:i/>
        <w:sz w:val="18"/>
        <w:szCs w:val="18"/>
        <w:lang w:val="de-DE"/>
      </w:rPr>
    </w:pPr>
    <w:r>
      <w:rPr>
        <w:rFonts w:cs="Arial"/>
        <w:i/>
        <w:sz w:val="18"/>
        <w:szCs w:val="18"/>
        <w:lang w:val="de-DE"/>
      </w:rPr>
      <w:t xml:space="preserve">UNEP/CMS/COP14/Doc.30.3.2 </w:t>
    </w:r>
  </w:p>
  <w:p w14:paraId="0EB2F9BE" w14:textId="77777777" w:rsidR="002D6582" w:rsidRPr="00371DE1" w:rsidRDefault="002D6582" w:rsidP="00371DE1">
    <w:pPr>
      <w:pStyle w:val="Header"/>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89C6" w14:textId="36103492" w:rsidR="00A836DB" w:rsidRPr="00661875" w:rsidRDefault="387A131F" w:rsidP="387A131F">
    <w:pPr>
      <w:pStyle w:val="Header"/>
      <w:pBdr>
        <w:bottom w:val="single" w:sz="4" w:space="1" w:color="auto"/>
      </w:pBdr>
      <w:jc w:val="right"/>
      <w:rPr>
        <w:rFonts w:cs="Arial"/>
        <w:i/>
        <w:iCs/>
        <w:sz w:val="18"/>
        <w:szCs w:val="18"/>
        <w:lang w:val="de-DE"/>
      </w:rPr>
    </w:pPr>
    <w:r w:rsidRPr="387A131F">
      <w:rPr>
        <w:rFonts w:cs="Arial"/>
        <w:i/>
        <w:iCs/>
        <w:sz w:val="18"/>
        <w:szCs w:val="18"/>
        <w:lang w:val="de-DE"/>
      </w:rPr>
      <w:t>UNEP/CMS/COP14/Doc.30.3.</w:t>
    </w:r>
    <w:r w:rsidR="00B3789A">
      <w:rPr>
        <w:rFonts w:cs="Arial"/>
        <w:i/>
        <w:iCs/>
        <w:sz w:val="18"/>
        <w:szCs w:val="18"/>
        <w:lang w:val="de-DE"/>
      </w:rPr>
      <w:t>2</w:t>
    </w:r>
  </w:p>
  <w:p w14:paraId="0E24A8B0" w14:textId="402AB1F3" w:rsidR="002D6582" w:rsidRPr="00A836DB" w:rsidRDefault="002D6582" w:rsidP="00A836DB">
    <w:pPr>
      <w:pStyle w:val="Heade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4A3F" w14:textId="2408E3AB" w:rsidR="00A836DB" w:rsidRPr="00661875" w:rsidRDefault="00A836DB" w:rsidP="00A836DB">
    <w:pPr>
      <w:pStyle w:val="Header"/>
      <w:pBdr>
        <w:bottom w:val="single" w:sz="4" w:space="1" w:color="auto"/>
      </w:pBdr>
      <w:rPr>
        <w:rFonts w:cs="Arial"/>
        <w:i/>
        <w:sz w:val="18"/>
        <w:szCs w:val="18"/>
        <w:lang w:val="de-DE"/>
      </w:rPr>
    </w:pPr>
    <w:r>
      <w:rPr>
        <w:rFonts w:cs="Arial"/>
        <w:i/>
        <w:sz w:val="18"/>
        <w:szCs w:val="18"/>
        <w:lang w:val="de-DE"/>
      </w:rPr>
      <w:t xml:space="preserve">UNEP/CMS/COP14/Doc.30.3.2 </w:t>
    </w:r>
  </w:p>
  <w:p w14:paraId="7F96EB0D" w14:textId="77777777" w:rsidR="002D6582" w:rsidRPr="002D6582" w:rsidRDefault="002D6582"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9521" w14:textId="500BCFA7" w:rsidR="00371DE1" w:rsidRPr="00B3789A" w:rsidRDefault="00371DE1" w:rsidP="00B3789A">
    <w:pPr>
      <w:pStyle w:val="Header"/>
      <w:pBdr>
        <w:bottom w:val="single" w:sz="4" w:space="1" w:color="auto"/>
      </w:pBdr>
      <w:rPr>
        <w:rFonts w:cs="Arial"/>
        <w:i/>
        <w:sz w:val="18"/>
        <w:szCs w:val="18"/>
        <w:lang w:val="de-DE"/>
      </w:rPr>
    </w:pPr>
    <w:r>
      <w:rPr>
        <w:rFonts w:cs="Arial"/>
        <w:i/>
        <w:sz w:val="18"/>
        <w:szCs w:val="18"/>
        <w:lang w:val="de-DE"/>
      </w:rPr>
      <w:t>UNEP/CMS/COP14/Doc.30.3.2 /Annex</w:t>
    </w:r>
    <w:r w:rsidR="00B3789A">
      <w:rPr>
        <w:rFonts w:cs="Arial"/>
        <w:i/>
        <w:sz w:val="18"/>
        <w:szCs w:val="18"/>
        <w:lang w:val="de-DE"/>
      </w:rPr>
      <w:t>e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609E" w14:textId="18D0DD0A" w:rsidR="00CD0D0E" w:rsidRPr="00661875" w:rsidRDefault="387A131F" w:rsidP="387A131F">
    <w:pPr>
      <w:pStyle w:val="Header"/>
      <w:pBdr>
        <w:bottom w:val="single" w:sz="4" w:space="1" w:color="auto"/>
      </w:pBdr>
      <w:jc w:val="right"/>
      <w:rPr>
        <w:rFonts w:cs="Arial"/>
        <w:i/>
        <w:iCs/>
        <w:sz w:val="18"/>
        <w:szCs w:val="18"/>
        <w:lang w:val="de-DE"/>
      </w:rPr>
    </w:pPr>
    <w:r w:rsidRPr="387A131F">
      <w:rPr>
        <w:rFonts w:cs="Arial"/>
        <w:i/>
        <w:iCs/>
        <w:sz w:val="18"/>
        <w:szCs w:val="18"/>
        <w:lang w:val="de-DE"/>
      </w:rPr>
      <w:t>UNEP/CMS/COP14/Doc.30.3.2/Annexe 2</w:t>
    </w:r>
  </w:p>
  <w:p w14:paraId="109E363D" w14:textId="77777777" w:rsidR="00295BBC" w:rsidRDefault="00295BBC">
    <w:pPr>
      <w:pStyle w:val="Header"/>
      <w:rPr>
        <w:lang w:val="fr-F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6DA5" w14:textId="26BD8C13" w:rsidR="00371DE1" w:rsidRPr="00661875" w:rsidRDefault="00371DE1" w:rsidP="00167DA1">
    <w:pPr>
      <w:pStyle w:val="Header"/>
      <w:pBdr>
        <w:bottom w:val="single" w:sz="4" w:space="1" w:color="auto"/>
      </w:pBdr>
      <w:jc w:val="right"/>
      <w:rPr>
        <w:rFonts w:cs="Arial"/>
        <w:i/>
        <w:sz w:val="18"/>
        <w:szCs w:val="18"/>
        <w:lang w:val="de-DE"/>
      </w:rPr>
    </w:pPr>
    <w:r>
      <w:rPr>
        <w:rFonts w:cs="Arial"/>
        <w:i/>
        <w:sz w:val="18"/>
        <w:szCs w:val="18"/>
        <w:lang w:val="de-DE"/>
      </w:rPr>
      <w:t>UNEP/CMS/COP14/Doc.30.3.2/Annex</w:t>
    </w:r>
    <w:r w:rsidR="00B3789A">
      <w:rPr>
        <w:rFonts w:cs="Arial"/>
        <w:i/>
        <w:sz w:val="18"/>
        <w:szCs w:val="18"/>
        <w:lang w:val="de-DE"/>
      </w:rPr>
      <w:t>e</w:t>
    </w:r>
    <w:r>
      <w:rPr>
        <w:rFonts w:cs="Arial"/>
        <w:i/>
        <w:sz w:val="18"/>
        <w:szCs w:val="18"/>
        <w:lang w:val="de-DE"/>
      </w:rPr>
      <w:t xml:space="preserve"> 1</w:t>
    </w:r>
  </w:p>
  <w:p w14:paraId="222E2511" w14:textId="77777777" w:rsidR="00371DE1" w:rsidRPr="002E0DE9" w:rsidRDefault="00371DE1"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lang w:val="fr-FR"/>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C6A"/>
    <w:multiLevelType w:val="hybridMultilevel"/>
    <w:tmpl w:val="49EC4B06"/>
    <w:lvl w:ilvl="0" w:tplc="10000017">
      <w:start w:val="1"/>
      <w:numFmt w:val="lowerLetter"/>
      <w:lvlText w:val="%1)"/>
      <w:lvlJc w:val="left"/>
      <w:pPr>
        <w:ind w:left="1786" w:hanging="360"/>
      </w:pPr>
    </w:lvl>
    <w:lvl w:ilvl="1" w:tplc="10000019" w:tentative="1">
      <w:start w:val="1"/>
      <w:numFmt w:val="lowerLetter"/>
      <w:lvlText w:val="%2."/>
      <w:lvlJc w:val="left"/>
      <w:pPr>
        <w:ind w:left="2506" w:hanging="360"/>
      </w:pPr>
    </w:lvl>
    <w:lvl w:ilvl="2" w:tplc="1000001B" w:tentative="1">
      <w:start w:val="1"/>
      <w:numFmt w:val="lowerRoman"/>
      <w:lvlText w:val="%3."/>
      <w:lvlJc w:val="right"/>
      <w:pPr>
        <w:ind w:left="3226" w:hanging="180"/>
      </w:pPr>
    </w:lvl>
    <w:lvl w:ilvl="3" w:tplc="1000000F" w:tentative="1">
      <w:start w:val="1"/>
      <w:numFmt w:val="decimal"/>
      <w:lvlText w:val="%4."/>
      <w:lvlJc w:val="left"/>
      <w:pPr>
        <w:ind w:left="3946" w:hanging="360"/>
      </w:pPr>
    </w:lvl>
    <w:lvl w:ilvl="4" w:tplc="10000019" w:tentative="1">
      <w:start w:val="1"/>
      <w:numFmt w:val="lowerLetter"/>
      <w:lvlText w:val="%5."/>
      <w:lvlJc w:val="left"/>
      <w:pPr>
        <w:ind w:left="4666" w:hanging="360"/>
      </w:pPr>
    </w:lvl>
    <w:lvl w:ilvl="5" w:tplc="1000001B" w:tentative="1">
      <w:start w:val="1"/>
      <w:numFmt w:val="lowerRoman"/>
      <w:lvlText w:val="%6."/>
      <w:lvlJc w:val="right"/>
      <w:pPr>
        <w:ind w:left="5386" w:hanging="180"/>
      </w:pPr>
    </w:lvl>
    <w:lvl w:ilvl="6" w:tplc="1000000F" w:tentative="1">
      <w:start w:val="1"/>
      <w:numFmt w:val="decimal"/>
      <w:lvlText w:val="%7."/>
      <w:lvlJc w:val="left"/>
      <w:pPr>
        <w:ind w:left="6106" w:hanging="360"/>
      </w:pPr>
    </w:lvl>
    <w:lvl w:ilvl="7" w:tplc="10000019" w:tentative="1">
      <w:start w:val="1"/>
      <w:numFmt w:val="lowerLetter"/>
      <w:lvlText w:val="%8."/>
      <w:lvlJc w:val="left"/>
      <w:pPr>
        <w:ind w:left="6826" w:hanging="360"/>
      </w:pPr>
    </w:lvl>
    <w:lvl w:ilvl="8" w:tplc="1000001B" w:tentative="1">
      <w:start w:val="1"/>
      <w:numFmt w:val="lowerRoman"/>
      <w:lvlText w:val="%9."/>
      <w:lvlJc w:val="right"/>
      <w:pPr>
        <w:ind w:left="7546" w:hanging="180"/>
      </w:pPr>
    </w:lvl>
  </w:abstractNum>
  <w:abstractNum w:abstractNumId="1" w15:restartNumberingAfterBreak="0">
    <w:nsid w:val="02A940F8"/>
    <w:multiLevelType w:val="hybridMultilevel"/>
    <w:tmpl w:val="A1A0F004"/>
    <w:lvl w:ilvl="0" w:tplc="BA6C5D0C">
      <w:start w:val="1"/>
      <w:numFmt w:val="decimal"/>
      <w:lvlText w:val="%1."/>
      <w:lvlJc w:val="left"/>
      <w:pPr>
        <w:ind w:left="360" w:hanging="360"/>
      </w:pPr>
      <w:rPr>
        <w:rFonts w:hint="default"/>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785238C"/>
    <w:multiLevelType w:val="hybridMultilevel"/>
    <w:tmpl w:val="ED30037A"/>
    <w:lvl w:ilvl="0" w:tplc="FFFFFFFF">
      <w:start w:val="1"/>
      <w:numFmt w:val="lowerLetter"/>
      <w:lvlText w:val="%1)"/>
      <w:lvlJc w:val="left"/>
      <w:pPr>
        <w:ind w:left="1260" w:hanging="360"/>
      </w:pPr>
    </w:lvl>
    <w:lvl w:ilvl="1" w:tplc="FFFFFFFF">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 w15:restartNumberingAfterBreak="0">
    <w:nsid w:val="080A0CC1"/>
    <w:multiLevelType w:val="hybridMultilevel"/>
    <w:tmpl w:val="F4F036D0"/>
    <w:lvl w:ilvl="0" w:tplc="10000017">
      <w:start w:val="1"/>
      <w:numFmt w:val="lowerLetter"/>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5" w15:restartNumberingAfterBreak="0">
    <w:nsid w:val="12BD00BD"/>
    <w:multiLevelType w:val="hybridMultilevel"/>
    <w:tmpl w:val="EECCA9BE"/>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16601BBD"/>
    <w:multiLevelType w:val="hybridMultilevel"/>
    <w:tmpl w:val="D3F862E0"/>
    <w:lvl w:ilvl="0" w:tplc="10000017">
      <w:start w:val="1"/>
      <w:numFmt w:val="lowerLetter"/>
      <w:lvlText w:val="%1)"/>
      <w:lvlJc w:val="left"/>
      <w:pPr>
        <w:ind w:left="1786" w:hanging="360"/>
      </w:pPr>
    </w:lvl>
    <w:lvl w:ilvl="1" w:tplc="10000019" w:tentative="1">
      <w:start w:val="1"/>
      <w:numFmt w:val="lowerLetter"/>
      <w:lvlText w:val="%2."/>
      <w:lvlJc w:val="left"/>
      <w:pPr>
        <w:ind w:left="2506" w:hanging="360"/>
      </w:pPr>
    </w:lvl>
    <w:lvl w:ilvl="2" w:tplc="1000001B" w:tentative="1">
      <w:start w:val="1"/>
      <w:numFmt w:val="lowerRoman"/>
      <w:lvlText w:val="%3."/>
      <w:lvlJc w:val="right"/>
      <w:pPr>
        <w:ind w:left="3226" w:hanging="180"/>
      </w:pPr>
    </w:lvl>
    <w:lvl w:ilvl="3" w:tplc="1000000F" w:tentative="1">
      <w:start w:val="1"/>
      <w:numFmt w:val="decimal"/>
      <w:lvlText w:val="%4."/>
      <w:lvlJc w:val="left"/>
      <w:pPr>
        <w:ind w:left="3946" w:hanging="360"/>
      </w:pPr>
    </w:lvl>
    <w:lvl w:ilvl="4" w:tplc="10000019" w:tentative="1">
      <w:start w:val="1"/>
      <w:numFmt w:val="lowerLetter"/>
      <w:lvlText w:val="%5."/>
      <w:lvlJc w:val="left"/>
      <w:pPr>
        <w:ind w:left="4666" w:hanging="360"/>
      </w:pPr>
    </w:lvl>
    <w:lvl w:ilvl="5" w:tplc="1000001B" w:tentative="1">
      <w:start w:val="1"/>
      <w:numFmt w:val="lowerRoman"/>
      <w:lvlText w:val="%6."/>
      <w:lvlJc w:val="right"/>
      <w:pPr>
        <w:ind w:left="5386" w:hanging="180"/>
      </w:pPr>
    </w:lvl>
    <w:lvl w:ilvl="6" w:tplc="1000000F" w:tentative="1">
      <w:start w:val="1"/>
      <w:numFmt w:val="decimal"/>
      <w:lvlText w:val="%7."/>
      <w:lvlJc w:val="left"/>
      <w:pPr>
        <w:ind w:left="6106" w:hanging="360"/>
      </w:pPr>
    </w:lvl>
    <w:lvl w:ilvl="7" w:tplc="10000019" w:tentative="1">
      <w:start w:val="1"/>
      <w:numFmt w:val="lowerLetter"/>
      <w:lvlText w:val="%8."/>
      <w:lvlJc w:val="left"/>
      <w:pPr>
        <w:ind w:left="6826" w:hanging="360"/>
      </w:pPr>
    </w:lvl>
    <w:lvl w:ilvl="8" w:tplc="1000001B" w:tentative="1">
      <w:start w:val="1"/>
      <w:numFmt w:val="lowerRoman"/>
      <w:lvlText w:val="%9."/>
      <w:lvlJc w:val="right"/>
      <w:pPr>
        <w:ind w:left="7546" w:hanging="180"/>
      </w:pPr>
    </w:lvl>
  </w:abstractNum>
  <w:abstractNum w:abstractNumId="7" w15:restartNumberingAfterBreak="0">
    <w:nsid w:val="1C7F7242"/>
    <w:multiLevelType w:val="hybridMultilevel"/>
    <w:tmpl w:val="ED30037A"/>
    <w:lvl w:ilvl="0" w:tplc="FFFFFFFF">
      <w:start w:val="1"/>
      <w:numFmt w:val="lowerLetter"/>
      <w:lvlText w:val="%1)"/>
      <w:lvlJc w:val="left"/>
      <w:pPr>
        <w:ind w:left="1260" w:hanging="360"/>
      </w:pPr>
    </w:lvl>
    <w:lvl w:ilvl="1" w:tplc="FFFFFFFF">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8" w15:restartNumberingAfterBreak="0">
    <w:nsid w:val="1D2138D3"/>
    <w:multiLevelType w:val="multilevel"/>
    <w:tmpl w:val="7A98A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D86ACE"/>
    <w:multiLevelType w:val="multilevel"/>
    <w:tmpl w:val="4D145E90"/>
    <w:lvl w:ilvl="0">
      <w:start w:val="4"/>
      <w:numFmt w:val="decimal"/>
      <w:lvlText w:val="%1."/>
      <w:lvlJc w:val="left"/>
      <w:pPr>
        <w:tabs>
          <w:tab w:val="num" w:pos="720"/>
        </w:tabs>
        <w:ind w:left="720" w:hanging="360"/>
      </w:pPr>
    </w:lvl>
    <w:lvl w:ilvl="1">
      <w:start w:val="1"/>
      <w:numFmt w:val="lowerLetter"/>
      <w:lvlText w:val="%2)"/>
      <w:lvlJc w:val="left"/>
      <w:pPr>
        <w:ind w:left="1070" w:hanging="360"/>
      </w:pPr>
      <w:rPr>
        <w:rFonts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75689C"/>
    <w:multiLevelType w:val="hybridMultilevel"/>
    <w:tmpl w:val="BB1E0FF0"/>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15:restartNumberingAfterBreak="0">
    <w:nsid w:val="23623124"/>
    <w:multiLevelType w:val="hybridMultilevel"/>
    <w:tmpl w:val="90CC7756"/>
    <w:lvl w:ilvl="0" w:tplc="D10689EC">
      <w:start w:val="1"/>
      <w:numFmt w:val="lowerLetter"/>
      <w:lvlText w:val="%1)"/>
      <w:lvlJc w:val="left"/>
      <w:pPr>
        <w:ind w:left="1211" w:hanging="360"/>
      </w:pPr>
      <w:rPr>
        <w:rFonts w:hint="default"/>
      </w:rPr>
    </w:lvl>
    <w:lvl w:ilvl="1" w:tplc="10000019" w:tentative="1">
      <w:start w:val="1"/>
      <w:numFmt w:val="lowerLetter"/>
      <w:lvlText w:val="%2."/>
      <w:lvlJc w:val="left"/>
      <w:pPr>
        <w:ind w:left="1931" w:hanging="360"/>
      </w:pPr>
    </w:lvl>
    <w:lvl w:ilvl="2" w:tplc="1000001B" w:tentative="1">
      <w:start w:val="1"/>
      <w:numFmt w:val="lowerRoman"/>
      <w:lvlText w:val="%3."/>
      <w:lvlJc w:val="right"/>
      <w:pPr>
        <w:ind w:left="2651" w:hanging="180"/>
      </w:pPr>
    </w:lvl>
    <w:lvl w:ilvl="3" w:tplc="1000000F" w:tentative="1">
      <w:start w:val="1"/>
      <w:numFmt w:val="decimal"/>
      <w:lvlText w:val="%4."/>
      <w:lvlJc w:val="left"/>
      <w:pPr>
        <w:ind w:left="3371" w:hanging="360"/>
      </w:pPr>
    </w:lvl>
    <w:lvl w:ilvl="4" w:tplc="10000019" w:tentative="1">
      <w:start w:val="1"/>
      <w:numFmt w:val="lowerLetter"/>
      <w:lvlText w:val="%5."/>
      <w:lvlJc w:val="left"/>
      <w:pPr>
        <w:ind w:left="4091" w:hanging="360"/>
      </w:pPr>
    </w:lvl>
    <w:lvl w:ilvl="5" w:tplc="1000001B" w:tentative="1">
      <w:start w:val="1"/>
      <w:numFmt w:val="lowerRoman"/>
      <w:lvlText w:val="%6."/>
      <w:lvlJc w:val="right"/>
      <w:pPr>
        <w:ind w:left="4811" w:hanging="180"/>
      </w:pPr>
    </w:lvl>
    <w:lvl w:ilvl="6" w:tplc="1000000F" w:tentative="1">
      <w:start w:val="1"/>
      <w:numFmt w:val="decimal"/>
      <w:lvlText w:val="%7."/>
      <w:lvlJc w:val="left"/>
      <w:pPr>
        <w:ind w:left="5531" w:hanging="360"/>
      </w:pPr>
    </w:lvl>
    <w:lvl w:ilvl="7" w:tplc="10000019" w:tentative="1">
      <w:start w:val="1"/>
      <w:numFmt w:val="lowerLetter"/>
      <w:lvlText w:val="%8."/>
      <w:lvlJc w:val="left"/>
      <w:pPr>
        <w:ind w:left="6251" w:hanging="360"/>
      </w:pPr>
    </w:lvl>
    <w:lvl w:ilvl="8" w:tplc="1000001B" w:tentative="1">
      <w:start w:val="1"/>
      <w:numFmt w:val="lowerRoman"/>
      <w:lvlText w:val="%9."/>
      <w:lvlJc w:val="right"/>
      <w:pPr>
        <w:ind w:left="6971" w:hanging="180"/>
      </w:pPr>
    </w:lvl>
  </w:abstractNum>
  <w:abstractNum w:abstractNumId="12"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0266A20"/>
    <w:multiLevelType w:val="hybridMultilevel"/>
    <w:tmpl w:val="25BE6F1E"/>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4D4B0760"/>
    <w:multiLevelType w:val="hybridMultilevel"/>
    <w:tmpl w:val="BB1E0FF0"/>
    <w:lvl w:ilvl="0" w:tplc="4D6CA55E">
      <w:start w:val="1"/>
      <w:numFmt w:val="decimal"/>
      <w:lvlText w:val="%1."/>
      <w:lvlJc w:val="left"/>
      <w:pPr>
        <w:ind w:left="900" w:hanging="360"/>
      </w:pPr>
      <w:rPr>
        <w:rFonts w:hint="default"/>
      </w:rPr>
    </w:lvl>
    <w:lvl w:ilvl="1" w:tplc="040A0019" w:tentative="1">
      <w:start w:val="1"/>
      <w:numFmt w:val="lowerLetter"/>
      <w:lvlText w:val="%2."/>
      <w:lvlJc w:val="left"/>
      <w:pPr>
        <w:ind w:left="1620" w:hanging="360"/>
      </w:pPr>
    </w:lvl>
    <w:lvl w:ilvl="2" w:tplc="040A001B" w:tentative="1">
      <w:start w:val="1"/>
      <w:numFmt w:val="lowerRoman"/>
      <w:lvlText w:val="%3."/>
      <w:lvlJc w:val="right"/>
      <w:pPr>
        <w:ind w:left="2340" w:hanging="180"/>
      </w:pPr>
    </w:lvl>
    <w:lvl w:ilvl="3" w:tplc="040A000F" w:tentative="1">
      <w:start w:val="1"/>
      <w:numFmt w:val="decimal"/>
      <w:lvlText w:val="%4."/>
      <w:lvlJc w:val="left"/>
      <w:pPr>
        <w:ind w:left="3060" w:hanging="360"/>
      </w:pPr>
    </w:lvl>
    <w:lvl w:ilvl="4" w:tplc="040A0019" w:tentative="1">
      <w:start w:val="1"/>
      <w:numFmt w:val="lowerLetter"/>
      <w:lvlText w:val="%5."/>
      <w:lvlJc w:val="left"/>
      <w:pPr>
        <w:ind w:left="3780" w:hanging="360"/>
      </w:pPr>
    </w:lvl>
    <w:lvl w:ilvl="5" w:tplc="040A001B" w:tentative="1">
      <w:start w:val="1"/>
      <w:numFmt w:val="lowerRoman"/>
      <w:lvlText w:val="%6."/>
      <w:lvlJc w:val="right"/>
      <w:pPr>
        <w:ind w:left="4500" w:hanging="180"/>
      </w:pPr>
    </w:lvl>
    <w:lvl w:ilvl="6" w:tplc="040A000F" w:tentative="1">
      <w:start w:val="1"/>
      <w:numFmt w:val="decimal"/>
      <w:lvlText w:val="%7."/>
      <w:lvlJc w:val="left"/>
      <w:pPr>
        <w:ind w:left="5220" w:hanging="360"/>
      </w:pPr>
    </w:lvl>
    <w:lvl w:ilvl="7" w:tplc="040A0019" w:tentative="1">
      <w:start w:val="1"/>
      <w:numFmt w:val="lowerLetter"/>
      <w:lvlText w:val="%8."/>
      <w:lvlJc w:val="left"/>
      <w:pPr>
        <w:ind w:left="5940" w:hanging="360"/>
      </w:pPr>
    </w:lvl>
    <w:lvl w:ilvl="8" w:tplc="040A001B" w:tentative="1">
      <w:start w:val="1"/>
      <w:numFmt w:val="lowerRoman"/>
      <w:lvlText w:val="%9."/>
      <w:lvlJc w:val="right"/>
      <w:pPr>
        <w:ind w:left="6660" w:hanging="180"/>
      </w:pPr>
    </w:lvl>
  </w:abstractNum>
  <w:abstractNum w:abstractNumId="15"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6" w15:restartNumberingAfterBreak="0">
    <w:nsid w:val="5B3F4A23"/>
    <w:multiLevelType w:val="multilevel"/>
    <w:tmpl w:val="06321E0E"/>
    <w:lvl w:ilvl="0">
      <w:start w:val="3"/>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190484"/>
    <w:multiLevelType w:val="hybridMultilevel"/>
    <w:tmpl w:val="ED30037A"/>
    <w:lvl w:ilvl="0" w:tplc="10000017">
      <w:start w:val="1"/>
      <w:numFmt w:val="lowerLetter"/>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60B3755F"/>
    <w:multiLevelType w:val="multilevel"/>
    <w:tmpl w:val="4D145E90"/>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A23F83"/>
    <w:multiLevelType w:val="hybridMultilevel"/>
    <w:tmpl w:val="4CF25616"/>
    <w:lvl w:ilvl="0" w:tplc="0809000F">
      <w:start w:val="1"/>
      <w:numFmt w:val="decimal"/>
      <w:lvlText w:val="%1."/>
      <w:lvlJc w:val="left"/>
      <w:pPr>
        <w:ind w:left="360" w:hanging="360"/>
      </w:pPr>
    </w:lvl>
    <w:lvl w:ilvl="1" w:tplc="C930E9AE">
      <w:start w:val="1"/>
      <w:numFmt w:val="lowerLetter"/>
      <w:lvlText w:val="%2."/>
      <w:lvlJc w:val="left"/>
      <w:pPr>
        <w:ind w:left="1080" w:hanging="360"/>
      </w:pPr>
      <w:rPr>
        <w:i w:val="0"/>
        <w:iCs w:val="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6C8D2F71"/>
    <w:multiLevelType w:val="hybridMultilevel"/>
    <w:tmpl w:val="21AAF934"/>
    <w:lvl w:ilvl="0" w:tplc="040A000F">
      <w:start w:val="6"/>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5A4EB3"/>
    <w:multiLevelType w:val="hybridMultilevel"/>
    <w:tmpl w:val="F90E4B1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27124645">
    <w:abstractNumId w:val="21"/>
  </w:num>
  <w:num w:numId="2" w16cid:durableId="165244301">
    <w:abstractNumId w:val="12"/>
  </w:num>
  <w:num w:numId="3" w16cid:durableId="1193691302">
    <w:abstractNumId w:val="15"/>
  </w:num>
  <w:num w:numId="4" w16cid:durableId="68625227">
    <w:abstractNumId w:val="4"/>
  </w:num>
  <w:num w:numId="5" w16cid:durableId="1699889545">
    <w:abstractNumId w:val="19"/>
  </w:num>
  <w:num w:numId="6" w16cid:durableId="1674528352">
    <w:abstractNumId w:val="1"/>
  </w:num>
  <w:num w:numId="7" w16cid:durableId="2073498702">
    <w:abstractNumId w:val="9"/>
  </w:num>
  <w:num w:numId="8" w16cid:durableId="322709840">
    <w:abstractNumId w:val="14"/>
  </w:num>
  <w:num w:numId="9" w16cid:durableId="73552705">
    <w:abstractNumId w:val="10"/>
  </w:num>
  <w:num w:numId="10" w16cid:durableId="2060006904">
    <w:abstractNumId w:val="16"/>
  </w:num>
  <w:num w:numId="11" w16cid:durableId="900022686">
    <w:abstractNumId w:val="20"/>
  </w:num>
  <w:num w:numId="12" w16cid:durableId="655032400">
    <w:abstractNumId w:val="8"/>
  </w:num>
  <w:num w:numId="13" w16cid:durableId="186917536">
    <w:abstractNumId w:val="18"/>
  </w:num>
  <w:num w:numId="14" w16cid:durableId="556934121">
    <w:abstractNumId w:val="11"/>
  </w:num>
  <w:num w:numId="15" w16cid:durableId="307784387">
    <w:abstractNumId w:val="5"/>
  </w:num>
  <w:num w:numId="16" w16cid:durableId="1479876462">
    <w:abstractNumId w:val="0"/>
  </w:num>
  <w:num w:numId="17" w16cid:durableId="163596679">
    <w:abstractNumId w:val="3"/>
  </w:num>
  <w:num w:numId="18" w16cid:durableId="41373317">
    <w:abstractNumId w:val="6"/>
  </w:num>
  <w:num w:numId="19" w16cid:durableId="1617758150">
    <w:abstractNumId w:val="17"/>
  </w:num>
  <w:num w:numId="20" w16cid:durableId="1552232203">
    <w:abstractNumId w:val="13"/>
  </w:num>
  <w:num w:numId="21" w16cid:durableId="664359621">
    <w:abstractNumId w:val="7"/>
  </w:num>
  <w:num w:numId="22" w16cid:durableId="2039967644">
    <w:abstractNumId w:val="2"/>
  </w:num>
  <w:num w:numId="23" w16cid:durableId="1712850573">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01A2E"/>
    <w:rsid w:val="0000400B"/>
    <w:rsid w:val="00006404"/>
    <w:rsid w:val="00006635"/>
    <w:rsid w:val="00006CDC"/>
    <w:rsid w:val="00007E50"/>
    <w:rsid w:val="0001212C"/>
    <w:rsid w:val="000143AB"/>
    <w:rsid w:val="000150B9"/>
    <w:rsid w:val="00016B47"/>
    <w:rsid w:val="00017B50"/>
    <w:rsid w:val="000208CA"/>
    <w:rsid w:val="00022FB0"/>
    <w:rsid w:val="00023912"/>
    <w:rsid w:val="0002553C"/>
    <w:rsid w:val="00025AE7"/>
    <w:rsid w:val="00026013"/>
    <w:rsid w:val="00026D94"/>
    <w:rsid w:val="00027E06"/>
    <w:rsid w:val="00030F79"/>
    <w:rsid w:val="000331FD"/>
    <w:rsid w:val="0003441A"/>
    <w:rsid w:val="0004146F"/>
    <w:rsid w:val="00045000"/>
    <w:rsid w:val="0004511A"/>
    <w:rsid w:val="00050041"/>
    <w:rsid w:val="0005027F"/>
    <w:rsid w:val="00051012"/>
    <w:rsid w:val="00051D04"/>
    <w:rsid w:val="00052186"/>
    <w:rsid w:val="00063C28"/>
    <w:rsid w:val="0006754C"/>
    <w:rsid w:val="00067E03"/>
    <w:rsid w:val="00071B7A"/>
    <w:rsid w:val="0007301F"/>
    <w:rsid w:val="00073896"/>
    <w:rsid w:val="00073DED"/>
    <w:rsid w:val="00074672"/>
    <w:rsid w:val="0008089C"/>
    <w:rsid w:val="00084C50"/>
    <w:rsid w:val="00085724"/>
    <w:rsid w:val="00087313"/>
    <w:rsid w:val="00095A69"/>
    <w:rsid w:val="00095E04"/>
    <w:rsid w:val="000968F4"/>
    <w:rsid w:val="000A0510"/>
    <w:rsid w:val="000A111F"/>
    <w:rsid w:val="000A3EB0"/>
    <w:rsid w:val="000A5B2D"/>
    <w:rsid w:val="000B0624"/>
    <w:rsid w:val="000B0C31"/>
    <w:rsid w:val="000B233F"/>
    <w:rsid w:val="000B7207"/>
    <w:rsid w:val="000C0D9A"/>
    <w:rsid w:val="000C2763"/>
    <w:rsid w:val="000C2DD2"/>
    <w:rsid w:val="000C349E"/>
    <w:rsid w:val="000C3DEF"/>
    <w:rsid w:val="000C7326"/>
    <w:rsid w:val="000D2230"/>
    <w:rsid w:val="000D2F4A"/>
    <w:rsid w:val="000D318F"/>
    <w:rsid w:val="000D4CCA"/>
    <w:rsid w:val="000D4E3B"/>
    <w:rsid w:val="000D5AAA"/>
    <w:rsid w:val="000E3146"/>
    <w:rsid w:val="000E7665"/>
    <w:rsid w:val="000E7820"/>
    <w:rsid w:val="000E7B7C"/>
    <w:rsid w:val="000F4510"/>
    <w:rsid w:val="000F4C2B"/>
    <w:rsid w:val="001028BA"/>
    <w:rsid w:val="00103C18"/>
    <w:rsid w:val="001052BD"/>
    <w:rsid w:val="00105B6B"/>
    <w:rsid w:val="00106930"/>
    <w:rsid w:val="00106997"/>
    <w:rsid w:val="00106A1D"/>
    <w:rsid w:val="00107106"/>
    <w:rsid w:val="0010716E"/>
    <w:rsid w:val="001104F5"/>
    <w:rsid w:val="00110F8E"/>
    <w:rsid w:val="00111081"/>
    <w:rsid w:val="00114E2D"/>
    <w:rsid w:val="00116748"/>
    <w:rsid w:val="0011770D"/>
    <w:rsid w:val="00117A63"/>
    <w:rsid w:val="00121049"/>
    <w:rsid w:val="0012334F"/>
    <w:rsid w:val="00124219"/>
    <w:rsid w:val="001249FA"/>
    <w:rsid w:val="00124B2D"/>
    <w:rsid w:val="0012581E"/>
    <w:rsid w:val="00125E09"/>
    <w:rsid w:val="0012613D"/>
    <w:rsid w:val="001324C9"/>
    <w:rsid w:val="00133399"/>
    <w:rsid w:val="0013499C"/>
    <w:rsid w:val="00134B07"/>
    <w:rsid w:val="00135291"/>
    <w:rsid w:val="001361D1"/>
    <w:rsid w:val="00136BFB"/>
    <w:rsid w:val="001400D1"/>
    <w:rsid w:val="00141EC1"/>
    <w:rsid w:val="0014461C"/>
    <w:rsid w:val="001458A0"/>
    <w:rsid w:val="00146116"/>
    <w:rsid w:val="00150604"/>
    <w:rsid w:val="00151F0F"/>
    <w:rsid w:val="001564C8"/>
    <w:rsid w:val="001572A3"/>
    <w:rsid w:val="001601C5"/>
    <w:rsid w:val="0016234F"/>
    <w:rsid w:val="00163439"/>
    <w:rsid w:val="00163C15"/>
    <w:rsid w:val="0016513D"/>
    <w:rsid w:val="0016570D"/>
    <w:rsid w:val="00167DA1"/>
    <w:rsid w:val="0017266D"/>
    <w:rsid w:val="00173E70"/>
    <w:rsid w:val="00180727"/>
    <w:rsid w:val="001810D2"/>
    <w:rsid w:val="00182778"/>
    <w:rsid w:val="00183909"/>
    <w:rsid w:val="0018519A"/>
    <w:rsid w:val="00186CDD"/>
    <w:rsid w:val="00187012"/>
    <w:rsid w:val="00193B93"/>
    <w:rsid w:val="0019589B"/>
    <w:rsid w:val="00196B18"/>
    <w:rsid w:val="001A0B57"/>
    <w:rsid w:val="001A2ED9"/>
    <w:rsid w:val="001A5436"/>
    <w:rsid w:val="001A55FB"/>
    <w:rsid w:val="001A5B6A"/>
    <w:rsid w:val="001A5EE7"/>
    <w:rsid w:val="001A6A3F"/>
    <w:rsid w:val="001B0A0C"/>
    <w:rsid w:val="001B34B0"/>
    <w:rsid w:val="001B36E5"/>
    <w:rsid w:val="001B5A57"/>
    <w:rsid w:val="001B5E43"/>
    <w:rsid w:val="001C1173"/>
    <w:rsid w:val="001C2C4F"/>
    <w:rsid w:val="001C2E0A"/>
    <w:rsid w:val="001C3850"/>
    <w:rsid w:val="001D5F33"/>
    <w:rsid w:val="001D67C3"/>
    <w:rsid w:val="001E15A2"/>
    <w:rsid w:val="001E2D94"/>
    <w:rsid w:val="001E581B"/>
    <w:rsid w:val="001E6414"/>
    <w:rsid w:val="001E6835"/>
    <w:rsid w:val="001E6B05"/>
    <w:rsid w:val="001E7B61"/>
    <w:rsid w:val="001F2744"/>
    <w:rsid w:val="001F5A6E"/>
    <w:rsid w:val="00200C3D"/>
    <w:rsid w:val="00201DFA"/>
    <w:rsid w:val="002023B1"/>
    <w:rsid w:val="00202879"/>
    <w:rsid w:val="00204F71"/>
    <w:rsid w:val="002056D4"/>
    <w:rsid w:val="00213602"/>
    <w:rsid w:val="00213D5B"/>
    <w:rsid w:val="00213F1C"/>
    <w:rsid w:val="00216A8D"/>
    <w:rsid w:val="00216B70"/>
    <w:rsid w:val="00216C5A"/>
    <w:rsid w:val="002178FB"/>
    <w:rsid w:val="002206CE"/>
    <w:rsid w:val="0022132C"/>
    <w:rsid w:val="00224DF1"/>
    <w:rsid w:val="002253F2"/>
    <w:rsid w:val="00226F47"/>
    <w:rsid w:val="002313F1"/>
    <w:rsid w:val="00233112"/>
    <w:rsid w:val="002339ED"/>
    <w:rsid w:val="00236669"/>
    <w:rsid w:val="00236ECA"/>
    <w:rsid w:val="002370F2"/>
    <w:rsid w:val="00237418"/>
    <w:rsid w:val="00237BDE"/>
    <w:rsid w:val="00240F90"/>
    <w:rsid w:val="0024172E"/>
    <w:rsid w:val="00242787"/>
    <w:rsid w:val="00243179"/>
    <w:rsid w:val="00243EFC"/>
    <w:rsid w:val="00244B5A"/>
    <w:rsid w:val="00246A7C"/>
    <w:rsid w:val="0024704F"/>
    <w:rsid w:val="00250BDA"/>
    <w:rsid w:val="00255479"/>
    <w:rsid w:val="00255AE1"/>
    <w:rsid w:val="0026312B"/>
    <w:rsid w:val="0027096E"/>
    <w:rsid w:val="00270A38"/>
    <w:rsid w:val="002750C0"/>
    <w:rsid w:val="002750DD"/>
    <w:rsid w:val="0027617B"/>
    <w:rsid w:val="0028169F"/>
    <w:rsid w:val="00281B9F"/>
    <w:rsid w:val="002832BD"/>
    <w:rsid w:val="0028761A"/>
    <w:rsid w:val="0029259D"/>
    <w:rsid w:val="00295BBC"/>
    <w:rsid w:val="00296384"/>
    <w:rsid w:val="00296533"/>
    <w:rsid w:val="002A012C"/>
    <w:rsid w:val="002A13CA"/>
    <w:rsid w:val="002A3AF7"/>
    <w:rsid w:val="002A681B"/>
    <w:rsid w:val="002A6E74"/>
    <w:rsid w:val="002B0163"/>
    <w:rsid w:val="002B09FA"/>
    <w:rsid w:val="002B1F45"/>
    <w:rsid w:val="002B422D"/>
    <w:rsid w:val="002B69F0"/>
    <w:rsid w:val="002B7F10"/>
    <w:rsid w:val="002C29D2"/>
    <w:rsid w:val="002C2EAC"/>
    <w:rsid w:val="002C65D3"/>
    <w:rsid w:val="002C6BD6"/>
    <w:rsid w:val="002C768D"/>
    <w:rsid w:val="002D1502"/>
    <w:rsid w:val="002D30A5"/>
    <w:rsid w:val="002D3CA6"/>
    <w:rsid w:val="002D6506"/>
    <w:rsid w:val="002D6582"/>
    <w:rsid w:val="002E0DE9"/>
    <w:rsid w:val="002E1AAD"/>
    <w:rsid w:val="002E24DE"/>
    <w:rsid w:val="002E283F"/>
    <w:rsid w:val="002E2EBB"/>
    <w:rsid w:val="002E429B"/>
    <w:rsid w:val="002E4D78"/>
    <w:rsid w:val="002F0686"/>
    <w:rsid w:val="002F0B4F"/>
    <w:rsid w:val="002F3195"/>
    <w:rsid w:val="002F3BBB"/>
    <w:rsid w:val="002F3E92"/>
    <w:rsid w:val="002F400F"/>
    <w:rsid w:val="002F69D7"/>
    <w:rsid w:val="002F7207"/>
    <w:rsid w:val="00300486"/>
    <w:rsid w:val="00305B6D"/>
    <w:rsid w:val="00307266"/>
    <w:rsid w:val="00310B43"/>
    <w:rsid w:val="00311F61"/>
    <w:rsid w:val="00316555"/>
    <w:rsid w:val="0032075E"/>
    <w:rsid w:val="00322248"/>
    <w:rsid w:val="0032296A"/>
    <w:rsid w:val="00324C28"/>
    <w:rsid w:val="00327CFF"/>
    <w:rsid w:val="00327E3F"/>
    <w:rsid w:val="003314B7"/>
    <w:rsid w:val="00332573"/>
    <w:rsid w:val="00333231"/>
    <w:rsid w:val="00334353"/>
    <w:rsid w:val="00336AD4"/>
    <w:rsid w:val="003374A7"/>
    <w:rsid w:val="00337D54"/>
    <w:rsid w:val="0034194F"/>
    <w:rsid w:val="00343F27"/>
    <w:rsid w:val="003477A1"/>
    <w:rsid w:val="00352923"/>
    <w:rsid w:val="003535E1"/>
    <w:rsid w:val="00355860"/>
    <w:rsid w:val="00355DB5"/>
    <w:rsid w:val="00360838"/>
    <w:rsid w:val="00364948"/>
    <w:rsid w:val="003700D4"/>
    <w:rsid w:val="00370C01"/>
    <w:rsid w:val="00371DE1"/>
    <w:rsid w:val="00372C06"/>
    <w:rsid w:val="00372FBB"/>
    <w:rsid w:val="003736E8"/>
    <w:rsid w:val="00374424"/>
    <w:rsid w:val="00375825"/>
    <w:rsid w:val="00381089"/>
    <w:rsid w:val="00381BFD"/>
    <w:rsid w:val="00383651"/>
    <w:rsid w:val="00386265"/>
    <w:rsid w:val="00386E6C"/>
    <w:rsid w:val="00387FA5"/>
    <w:rsid w:val="00392513"/>
    <w:rsid w:val="0039264B"/>
    <w:rsid w:val="00393752"/>
    <w:rsid w:val="0039437B"/>
    <w:rsid w:val="00395CF8"/>
    <w:rsid w:val="0039613B"/>
    <w:rsid w:val="003962F0"/>
    <w:rsid w:val="00397287"/>
    <w:rsid w:val="003A2109"/>
    <w:rsid w:val="003A21D0"/>
    <w:rsid w:val="003A3669"/>
    <w:rsid w:val="003A608A"/>
    <w:rsid w:val="003A6255"/>
    <w:rsid w:val="003A6318"/>
    <w:rsid w:val="003A754F"/>
    <w:rsid w:val="003A7B25"/>
    <w:rsid w:val="003A7BD3"/>
    <w:rsid w:val="003B1B2F"/>
    <w:rsid w:val="003B244B"/>
    <w:rsid w:val="003B346E"/>
    <w:rsid w:val="003B553C"/>
    <w:rsid w:val="003B7A29"/>
    <w:rsid w:val="003C1BFC"/>
    <w:rsid w:val="003C24C1"/>
    <w:rsid w:val="003C5B7A"/>
    <w:rsid w:val="003C690A"/>
    <w:rsid w:val="003D0D07"/>
    <w:rsid w:val="003D210F"/>
    <w:rsid w:val="003D3A7B"/>
    <w:rsid w:val="003D3DEC"/>
    <w:rsid w:val="003D691F"/>
    <w:rsid w:val="003E04B9"/>
    <w:rsid w:val="003E0F1E"/>
    <w:rsid w:val="003E25FA"/>
    <w:rsid w:val="003F30BC"/>
    <w:rsid w:val="003F437F"/>
    <w:rsid w:val="003F53FF"/>
    <w:rsid w:val="003F6EFF"/>
    <w:rsid w:val="003F6FB7"/>
    <w:rsid w:val="0040039B"/>
    <w:rsid w:val="0040385B"/>
    <w:rsid w:val="00403E2A"/>
    <w:rsid w:val="004062E3"/>
    <w:rsid w:val="004072B1"/>
    <w:rsid w:val="004113BC"/>
    <w:rsid w:val="00412D2A"/>
    <w:rsid w:val="00414916"/>
    <w:rsid w:val="00414EF8"/>
    <w:rsid w:val="00415750"/>
    <w:rsid w:val="00415D87"/>
    <w:rsid w:val="00416953"/>
    <w:rsid w:val="00417C0F"/>
    <w:rsid w:val="00420DA1"/>
    <w:rsid w:val="00426BFC"/>
    <w:rsid w:val="00432C9A"/>
    <w:rsid w:val="00433EE2"/>
    <w:rsid w:val="004358BE"/>
    <w:rsid w:val="004407EB"/>
    <w:rsid w:val="00441849"/>
    <w:rsid w:val="00442376"/>
    <w:rsid w:val="00443058"/>
    <w:rsid w:val="004431E3"/>
    <w:rsid w:val="00445DE7"/>
    <w:rsid w:val="00447B24"/>
    <w:rsid w:val="00450E62"/>
    <w:rsid w:val="00451389"/>
    <w:rsid w:val="00451CE1"/>
    <w:rsid w:val="00452EEF"/>
    <w:rsid w:val="00454B3D"/>
    <w:rsid w:val="004576B5"/>
    <w:rsid w:val="00464E11"/>
    <w:rsid w:val="004655A0"/>
    <w:rsid w:val="004708F7"/>
    <w:rsid w:val="0047273E"/>
    <w:rsid w:val="0047291A"/>
    <w:rsid w:val="004734D9"/>
    <w:rsid w:val="00475D2C"/>
    <w:rsid w:val="0048005C"/>
    <w:rsid w:val="0048118D"/>
    <w:rsid w:val="00483416"/>
    <w:rsid w:val="0048358E"/>
    <w:rsid w:val="00483757"/>
    <w:rsid w:val="00484385"/>
    <w:rsid w:val="004901AB"/>
    <w:rsid w:val="00492E09"/>
    <w:rsid w:val="0049358F"/>
    <w:rsid w:val="0049395E"/>
    <w:rsid w:val="0049475E"/>
    <w:rsid w:val="00497559"/>
    <w:rsid w:val="004A2859"/>
    <w:rsid w:val="004A3508"/>
    <w:rsid w:val="004A3B17"/>
    <w:rsid w:val="004A3DAA"/>
    <w:rsid w:val="004A706B"/>
    <w:rsid w:val="004B07AD"/>
    <w:rsid w:val="004B0887"/>
    <w:rsid w:val="004B21ED"/>
    <w:rsid w:val="004B7071"/>
    <w:rsid w:val="004C724F"/>
    <w:rsid w:val="004D05B0"/>
    <w:rsid w:val="004D12BB"/>
    <w:rsid w:val="004D3420"/>
    <w:rsid w:val="004E01D3"/>
    <w:rsid w:val="004E1125"/>
    <w:rsid w:val="004E1E8B"/>
    <w:rsid w:val="004E4CB5"/>
    <w:rsid w:val="004E4F43"/>
    <w:rsid w:val="004F09D6"/>
    <w:rsid w:val="004F0CF1"/>
    <w:rsid w:val="004F1121"/>
    <w:rsid w:val="004F132F"/>
    <w:rsid w:val="004F3487"/>
    <w:rsid w:val="004F41EC"/>
    <w:rsid w:val="004F57CA"/>
    <w:rsid w:val="004F6248"/>
    <w:rsid w:val="004F7340"/>
    <w:rsid w:val="004F7439"/>
    <w:rsid w:val="004F7452"/>
    <w:rsid w:val="00500930"/>
    <w:rsid w:val="00503850"/>
    <w:rsid w:val="00504A1C"/>
    <w:rsid w:val="00505861"/>
    <w:rsid w:val="00506C74"/>
    <w:rsid w:val="00506F06"/>
    <w:rsid w:val="00514A08"/>
    <w:rsid w:val="00515A74"/>
    <w:rsid w:val="005214F1"/>
    <w:rsid w:val="00521B0A"/>
    <w:rsid w:val="00523129"/>
    <w:rsid w:val="00524907"/>
    <w:rsid w:val="0052569F"/>
    <w:rsid w:val="005275F9"/>
    <w:rsid w:val="00530664"/>
    <w:rsid w:val="005306F4"/>
    <w:rsid w:val="005330F7"/>
    <w:rsid w:val="0053437D"/>
    <w:rsid w:val="0053633B"/>
    <w:rsid w:val="005363BC"/>
    <w:rsid w:val="00541D50"/>
    <w:rsid w:val="0054227D"/>
    <w:rsid w:val="005466B3"/>
    <w:rsid w:val="0054685B"/>
    <w:rsid w:val="00550051"/>
    <w:rsid w:val="00552770"/>
    <w:rsid w:val="0055713C"/>
    <w:rsid w:val="00562A3C"/>
    <w:rsid w:val="00562A8E"/>
    <w:rsid w:val="00563598"/>
    <w:rsid w:val="00566A6A"/>
    <w:rsid w:val="00566E0D"/>
    <w:rsid w:val="00570AD9"/>
    <w:rsid w:val="00572313"/>
    <w:rsid w:val="005724C5"/>
    <w:rsid w:val="00573173"/>
    <w:rsid w:val="005747D0"/>
    <w:rsid w:val="00575CB1"/>
    <w:rsid w:val="00577198"/>
    <w:rsid w:val="00577BB0"/>
    <w:rsid w:val="00577E5A"/>
    <w:rsid w:val="005807A4"/>
    <w:rsid w:val="00580E51"/>
    <w:rsid w:val="00581422"/>
    <w:rsid w:val="005826E2"/>
    <w:rsid w:val="00582C73"/>
    <w:rsid w:val="00585DAE"/>
    <w:rsid w:val="00586D56"/>
    <w:rsid w:val="00586FCA"/>
    <w:rsid w:val="005916E4"/>
    <w:rsid w:val="005926DC"/>
    <w:rsid w:val="00592C82"/>
    <w:rsid w:val="00594ABF"/>
    <w:rsid w:val="00595CA2"/>
    <w:rsid w:val="005A2951"/>
    <w:rsid w:val="005A572D"/>
    <w:rsid w:val="005A5C12"/>
    <w:rsid w:val="005A718B"/>
    <w:rsid w:val="005A746E"/>
    <w:rsid w:val="005B2EB3"/>
    <w:rsid w:val="005B2ECF"/>
    <w:rsid w:val="005B5F4F"/>
    <w:rsid w:val="005B7275"/>
    <w:rsid w:val="005B7A22"/>
    <w:rsid w:val="005C46A1"/>
    <w:rsid w:val="005C4FB2"/>
    <w:rsid w:val="005C5033"/>
    <w:rsid w:val="005C5471"/>
    <w:rsid w:val="005C7021"/>
    <w:rsid w:val="005C7453"/>
    <w:rsid w:val="005C7A02"/>
    <w:rsid w:val="005D0BCB"/>
    <w:rsid w:val="005D113B"/>
    <w:rsid w:val="005D1928"/>
    <w:rsid w:val="005D22D5"/>
    <w:rsid w:val="005D27DB"/>
    <w:rsid w:val="005D2DE7"/>
    <w:rsid w:val="005D2F1A"/>
    <w:rsid w:val="005D34CC"/>
    <w:rsid w:val="005D3746"/>
    <w:rsid w:val="005D380B"/>
    <w:rsid w:val="005D4576"/>
    <w:rsid w:val="005D488F"/>
    <w:rsid w:val="005D6A5E"/>
    <w:rsid w:val="005D7C07"/>
    <w:rsid w:val="005E0067"/>
    <w:rsid w:val="005E0CF9"/>
    <w:rsid w:val="005E2A09"/>
    <w:rsid w:val="005E2F6D"/>
    <w:rsid w:val="005E6D31"/>
    <w:rsid w:val="005E7DB0"/>
    <w:rsid w:val="005F5693"/>
    <w:rsid w:val="005F638F"/>
    <w:rsid w:val="005F6857"/>
    <w:rsid w:val="00603D9C"/>
    <w:rsid w:val="00605A2B"/>
    <w:rsid w:val="006100C4"/>
    <w:rsid w:val="00612A7F"/>
    <w:rsid w:val="006130C6"/>
    <w:rsid w:val="00624B47"/>
    <w:rsid w:val="0063026B"/>
    <w:rsid w:val="00632E45"/>
    <w:rsid w:val="0063384F"/>
    <w:rsid w:val="00634CD1"/>
    <w:rsid w:val="00634D61"/>
    <w:rsid w:val="00635836"/>
    <w:rsid w:val="00637630"/>
    <w:rsid w:val="006410B8"/>
    <w:rsid w:val="00641C09"/>
    <w:rsid w:val="00641DCD"/>
    <w:rsid w:val="0064487A"/>
    <w:rsid w:val="00644CC4"/>
    <w:rsid w:val="00646D8D"/>
    <w:rsid w:val="0064767B"/>
    <w:rsid w:val="00652364"/>
    <w:rsid w:val="0065355D"/>
    <w:rsid w:val="00656C1B"/>
    <w:rsid w:val="00656E07"/>
    <w:rsid w:val="006577FB"/>
    <w:rsid w:val="0066144D"/>
    <w:rsid w:val="00661596"/>
    <w:rsid w:val="00661660"/>
    <w:rsid w:val="00661875"/>
    <w:rsid w:val="00661E75"/>
    <w:rsid w:val="00663279"/>
    <w:rsid w:val="006662A3"/>
    <w:rsid w:val="00666F40"/>
    <w:rsid w:val="0066748E"/>
    <w:rsid w:val="00673A8A"/>
    <w:rsid w:val="0067652A"/>
    <w:rsid w:val="006776DC"/>
    <w:rsid w:val="00684AE2"/>
    <w:rsid w:val="00684D36"/>
    <w:rsid w:val="006875AE"/>
    <w:rsid w:val="00687AFF"/>
    <w:rsid w:val="00692539"/>
    <w:rsid w:val="00692DF9"/>
    <w:rsid w:val="00695AAD"/>
    <w:rsid w:val="00695BA3"/>
    <w:rsid w:val="00697438"/>
    <w:rsid w:val="0069797E"/>
    <w:rsid w:val="006A1037"/>
    <w:rsid w:val="006A36A1"/>
    <w:rsid w:val="006A3E13"/>
    <w:rsid w:val="006A556C"/>
    <w:rsid w:val="006A6566"/>
    <w:rsid w:val="006B2CB7"/>
    <w:rsid w:val="006B346B"/>
    <w:rsid w:val="006B54A4"/>
    <w:rsid w:val="006B7457"/>
    <w:rsid w:val="006C1D68"/>
    <w:rsid w:val="006C1E4A"/>
    <w:rsid w:val="006C248F"/>
    <w:rsid w:val="006C7FEF"/>
    <w:rsid w:val="006D05D4"/>
    <w:rsid w:val="006D6436"/>
    <w:rsid w:val="006E4155"/>
    <w:rsid w:val="006E4CF0"/>
    <w:rsid w:val="006E59E7"/>
    <w:rsid w:val="006E6152"/>
    <w:rsid w:val="006E7294"/>
    <w:rsid w:val="006F490C"/>
    <w:rsid w:val="006F49E2"/>
    <w:rsid w:val="00700394"/>
    <w:rsid w:val="00700BB3"/>
    <w:rsid w:val="007022A1"/>
    <w:rsid w:val="007061F4"/>
    <w:rsid w:val="00706541"/>
    <w:rsid w:val="0070665B"/>
    <w:rsid w:val="007103C5"/>
    <w:rsid w:val="00711A29"/>
    <w:rsid w:val="00712247"/>
    <w:rsid w:val="00720A58"/>
    <w:rsid w:val="00724675"/>
    <w:rsid w:val="007258E0"/>
    <w:rsid w:val="007265F9"/>
    <w:rsid w:val="00726CD7"/>
    <w:rsid w:val="00727229"/>
    <w:rsid w:val="0073015B"/>
    <w:rsid w:val="007321AF"/>
    <w:rsid w:val="00733BDD"/>
    <w:rsid w:val="00734976"/>
    <w:rsid w:val="007349C1"/>
    <w:rsid w:val="00737C7B"/>
    <w:rsid w:val="00740107"/>
    <w:rsid w:val="00741284"/>
    <w:rsid w:val="007426C1"/>
    <w:rsid w:val="007442DD"/>
    <w:rsid w:val="0074669B"/>
    <w:rsid w:val="00754DE3"/>
    <w:rsid w:val="007572E4"/>
    <w:rsid w:val="00760339"/>
    <w:rsid w:val="00763588"/>
    <w:rsid w:val="00765F56"/>
    <w:rsid w:val="00771D86"/>
    <w:rsid w:val="00772163"/>
    <w:rsid w:val="007727E5"/>
    <w:rsid w:val="00773B56"/>
    <w:rsid w:val="00776B9E"/>
    <w:rsid w:val="00776CDD"/>
    <w:rsid w:val="007866CE"/>
    <w:rsid w:val="00786D21"/>
    <w:rsid w:val="00790B52"/>
    <w:rsid w:val="00793400"/>
    <w:rsid w:val="00794DBE"/>
    <w:rsid w:val="007952D9"/>
    <w:rsid w:val="00797FCF"/>
    <w:rsid w:val="007A03E5"/>
    <w:rsid w:val="007A0C10"/>
    <w:rsid w:val="007A2673"/>
    <w:rsid w:val="007A2D7B"/>
    <w:rsid w:val="007A3808"/>
    <w:rsid w:val="007A3FB4"/>
    <w:rsid w:val="007A4532"/>
    <w:rsid w:val="007A7BA9"/>
    <w:rsid w:val="007B136A"/>
    <w:rsid w:val="007B4DC3"/>
    <w:rsid w:val="007C2AEF"/>
    <w:rsid w:val="007C2CC3"/>
    <w:rsid w:val="007C300B"/>
    <w:rsid w:val="007C5E1E"/>
    <w:rsid w:val="007C666D"/>
    <w:rsid w:val="007C6806"/>
    <w:rsid w:val="007C68E9"/>
    <w:rsid w:val="007D125A"/>
    <w:rsid w:val="007D17E9"/>
    <w:rsid w:val="007D3569"/>
    <w:rsid w:val="007D3F7C"/>
    <w:rsid w:val="007D418F"/>
    <w:rsid w:val="007D77D9"/>
    <w:rsid w:val="007E0AB4"/>
    <w:rsid w:val="007E221C"/>
    <w:rsid w:val="007E23E6"/>
    <w:rsid w:val="007E3829"/>
    <w:rsid w:val="007E6320"/>
    <w:rsid w:val="007E641E"/>
    <w:rsid w:val="007E6712"/>
    <w:rsid w:val="007E7114"/>
    <w:rsid w:val="007E71AB"/>
    <w:rsid w:val="007E766A"/>
    <w:rsid w:val="007E7AA5"/>
    <w:rsid w:val="007F0353"/>
    <w:rsid w:val="007F10DF"/>
    <w:rsid w:val="007F4B79"/>
    <w:rsid w:val="007F55DA"/>
    <w:rsid w:val="007F6350"/>
    <w:rsid w:val="007F645E"/>
    <w:rsid w:val="007F6B8E"/>
    <w:rsid w:val="00802EAB"/>
    <w:rsid w:val="008031E5"/>
    <w:rsid w:val="00803CE1"/>
    <w:rsid w:val="00805BEA"/>
    <w:rsid w:val="00805D92"/>
    <w:rsid w:val="00806E38"/>
    <w:rsid w:val="00807775"/>
    <w:rsid w:val="008110A0"/>
    <w:rsid w:val="00812D84"/>
    <w:rsid w:val="0081302D"/>
    <w:rsid w:val="008156DF"/>
    <w:rsid w:val="00815BE0"/>
    <w:rsid w:val="00817C51"/>
    <w:rsid w:val="008226C3"/>
    <w:rsid w:val="00823BEA"/>
    <w:rsid w:val="008252CF"/>
    <w:rsid w:val="00830B3B"/>
    <w:rsid w:val="00830CCC"/>
    <w:rsid w:val="00831DC2"/>
    <w:rsid w:val="00833C70"/>
    <w:rsid w:val="00844FE4"/>
    <w:rsid w:val="008454AD"/>
    <w:rsid w:val="00845F94"/>
    <w:rsid w:val="00853547"/>
    <w:rsid w:val="0085574D"/>
    <w:rsid w:val="00856B69"/>
    <w:rsid w:val="00857D61"/>
    <w:rsid w:val="00865DE0"/>
    <w:rsid w:val="00866051"/>
    <w:rsid w:val="00866604"/>
    <w:rsid w:val="00866862"/>
    <w:rsid w:val="00872E15"/>
    <w:rsid w:val="008757B0"/>
    <w:rsid w:val="00875EC4"/>
    <w:rsid w:val="00877F0A"/>
    <w:rsid w:val="00880B78"/>
    <w:rsid w:val="0088362E"/>
    <w:rsid w:val="008841F0"/>
    <w:rsid w:val="0088662A"/>
    <w:rsid w:val="00886722"/>
    <w:rsid w:val="00886BBA"/>
    <w:rsid w:val="00892BC5"/>
    <w:rsid w:val="0089336B"/>
    <w:rsid w:val="00896548"/>
    <w:rsid w:val="008A2B27"/>
    <w:rsid w:val="008A3236"/>
    <w:rsid w:val="008A46DD"/>
    <w:rsid w:val="008B0AC3"/>
    <w:rsid w:val="008B0F25"/>
    <w:rsid w:val="008B1154"/>
    <w:rsid w:val="008B1A1A"/>
    <w:rsid w:val="008B1B57"/>
    <w:rsid w:val="008B3BAC"/>
    <w:rsid w:val="008B7086"/>
    <w:rsid w:val="008B76EC"/>
    <w:rsid w:val="008C0623"/>
    <w:rsid w:val="008C1740"/>
    <w:rsid w:val="008C2EA1"/>
    <w:rsid w:val="008C3546"/>
    <w:rsid w:val="008C5A2A"/>
    <w:rsid w:val="008C5B25"/>
    <w:rsid w:val="008C5ED8"/>
    <w:rsid w:val="008C6CA6"/>
    <w:rsid w:val="008D0CF8"/>
    <w:rsid w:val="008D1CB0"/>
    <w:rsid w:val="008D1D83"/>
    <w:rsid w:val="008D61FF"/>
    <w:rsid w:val="008D66E6"/>
    <w:rsid w:val="008E035B"/>
    <w:rsid w:val="008E7C11"/>
    <w:rsid w:val="008F0492"/>
    <w:rsid w:val="008F4058"/>
    <w:rsid w:val="008F570E"/>
    <w:rsid w:val="008F6562"/>
    <w:rsid w:val="008F79BF"/>
    <w:rsid w:val="00902DB2"/>
    <w:rsid w:val="00905F40"/>
    <w:rsid w:val="00907549"/>
    <w:rsid w:val="00910A3E"/>
    <w:rsid w:val="009117AB"/>
    <w:rsid w:val="009131C7"/>
    <w:rsid w:val="00914250"/>
    <w:rsid w:val="00915BD5"/>
    <w:rsid w:val="009171AE"/>
    <w:rsid w:val="00920ECB"/>
    <w:rsid w:val="00924FBB"/>
    <w:rsid w:val="00925227"/>
    <w:rsid w:val="00930095"/>
    <w:rsid w:val="00934A34"/>
    <w:rsid w:val="00935C79"/>
    <w:rsid w:val="0093715E"/>
    <w:rsid w:val="00942E3D"/>
    <w:rsid w:val="00947FE4"/>
    <w:rsid w:val="00951B99"/>
    <w:rsid w:val="00953208"/>
    <w:rsid w:val="00953D8E"/>
    <w:rsid w:val="0095434C"/>
    <w:rsid w:val="00954B34"/>
    <w:rsid w:val="00961AE6"/>
    <w:rsid w:val="009624C9"/>
    <w:rsid w:val="00963FCE"/>
    <w:rsid w:val="0096427B"/>
    <w:rsid w:val="00966195"/>
    <w:rsid w:val="00967175"/>
    <w:rsid w:val="00971887"/>
    <w:rsid w:val="00972ACD"/>
    <w:rsid w:val="009738E2"/>
    <w:rsid w:val="00975DBA"/>
    <w:rsid w:val="009764A6"/>
    <w:rsid w:val="00983089"/>
    <w:rsid w:val="009846F1"/>
    <w:rsid w:val="00991CD4"/>
    <w:rsid w:val="00993FBD"/>
    <w:rsid w:val="009979CB"/>
    <w:rsid w:val="009A092F"/>
    <w:rsid w:val="009A10DC"/>
    <w:rsid w:val="009A2998"/>
    <w:rsid w:val="009A442F"/>
    <w:rsid w:val="009A71E8"/>
    <w:rsid w:val="009B36F0"/>
    <w:rsid w:val="009B4731"/>
    <w:rsid w:val="009C1079"/>
    <w:rsid w:val="009C200D"/>
    <w:rsid w:val="009C4F7F"/>
    <w:rsid w:val="009C545D"/>
    <w:rsid w:val="009C6475"/>
    <w:rsid w:val="009D062C"/>
    <w:rsid w:val="009D14BF"/>
    <w:rsid w:val="009D29DB"/>
    <w:rsid w:val="009D6153"/>
    <w:rsid w:val="009E04F1"/>
    <w:rsid w:val="009E3143"/>
    <w:rsid w:val="009E46E3"/>
    <w:rsid w:val="009E4A1C"/>
    <w:rsid w:val="009E5D69"/>
    <w:rsid w:val="009F0E48"/>
    <w:rsid w:val="009F0E77"/>
    <w:rsid w:val="009F2C2F"/>
    <w:rsid w:val="009F3229"/>
    <w:rsid w:val="009F40CB"/>
    <w:rsid w:val="009F4B5E"/>
    <w:rsid w:val="009F68C5"/>
    <w:rsid w:val="00A01E0D"/>
    <w:rsid w:val="00A020A4"/>
    <w:rsid w:val="00A03770"/>
    <w:rsid w:val="00A04679"/>
    <w:rsid w:val="00A05A7B"/>
    <w:rsid w:val="00A1121B"/>
    <w:rsid w:val="00A12C03"/>
    <w:rsid w:val="00A14F20"/>
    <w:rsid w:val="00A17E53"/>
    <w:rsid w:val="00A20AAB"/>
    <w:rsid w:val="00A22765"/>
    <w:rsid w:val="00A23CEC"/>
    <w:rsid w:val="00A30368"/>
    <w:rsid w:val="00A303B2"/>
    <w:rsid w:val="00A34291"/>
    <w:rsid w:val="00A42756"/>
    <w:rsid w:val="00A44282"/>
    <w:rsid w:val="00A44867"/>
    <w:rsid w:val="00A45715"/>
    <w:rsid w:val="00A4662A"/>
    <w:rsid w:val="00A535D7"/>
    <w:rsid w:val="00A55F93"/>
    <w:rsid w:val="00A56213"/>
    <w:rsid w:val="00A64DBE"/>
    <w:rsid w:val="00A71096"/>
    <w:rsid w:val="00A718D0"/>
    <w:rsid w:val="00A76D1C"/>
    <w:rsid w:val="00A829E5"/>
    <w:rsid w:val="00A836DB"/>
    <w:rsid w:val="00A84A0C"/>
    <w:rsid w:val="00A8503C"/>
    <w:rsid w:val="00A851E9"/>
    <w:rsid w:val="00A879B7"/>
    <w:rsid w:val="00A903B3"/>
    <w:rsid w:val="00A90903"/>
    <w:rsid w:val="00A9293F"/>
    <w:rsid w:val="00AA051F"/>
    <w:rsid w:val="00AA0EC3"/>
    <w:rsid w:val="00AA36C9"/>
    <w:rsid w:val="00AA4516"/>
    <w:rsid w:val="00AB0F89"/>
    <w:rsid w:val="00AB1B5D"/>
    <w:rsid w:val="00AB50D4"/>
    <w:rsid w:val="00AC0829"/>
    <w:rsid w:val="00AC0CDD"/>
    <w:rsid w:val="00AC3522"/>
    <w:rsid w:val="00AC35F9"/>
    <w:rsid w:val="00AC462B"/>
    <w:rsid w:val="00AC5FA0"/>
    <w:rsid w:val="00AC6D2E"/>
    <w:rsid w:val="00AD123A"/>
    <w:rsid w:val="00AD3024"/>
    <w:rsid w:val="00AD3A6E"/>
    <w:rsid w:val="00AE366D"/>
    <w:rsid w:val="00AE7148"/>
    <w:rsid w:val="00AF0FA4"/>
    <w:rsid w:val="00AF143F"/>
    <w:rsid w:val="00AF2394"/>
    <w:rsid w:val="00AF33FF"/>
    <w:rsid w:val="00AF4363"/>
    <w:rsid w:val="00AF5E5F"/>
    <w:rsid w:val="00AF6FA3"/>
    <w:rsid w:val="00B00569"/>
    <w:rsid w:val="00B0059D"/>
    <w:rsid w:val="00B01629"/>
    <w:rsid w:val="00B02343"/>
    <w:rsid w:val="00B0374A"/>
    <w:rsid w:val="00B043B5"/>
    <w:rsid w:val="00B05707"/>
    <w:rsid w:val="00B05927"/>
    <w:rsid w:val="00B0667D"/>
    <w:rsid w:val="00B06A13"/>
    <w:rsid w:val="00B06C23"/>
    <w:rsid w:val="00B0794E"/>
    <w:rsid w:val="00B07993"/>
    <w:rsid w:val="00B15111"/>
    <w:rsid w:val="00B157EF"/>
    <w:rsid w:val="00B16686"/>
    <w:rsid w:val="00B176DE"/>
    <w:rsid w:val="00B21029"/>
    <w:rsid w:val="00B244DC"/>
    <w:rsid w:val="00B25BA3"/>
    <w:rsid w:val="00B32338"/>
    <w:rsid w:val="00B34F60"/>
    <w:rsid w:val="00B3789A"/>
    <w:rsid w:val="00B4072E"/>
    <w:rsid w:val="00B425FB"/>
    <w:rsid w:val="00B441B2"/>
    <w:rsid w:val="00B44534"/>
    <w:rsid w:val="00B472AD"/>
    <w:rsid w:val="00B5008A"/>
    <w:rsid w:val="00B50C8A"/>
    <w:rsid w:val="00B50F4F"/>
    <w:rsid w:val="00B54557"/>
    <w:rsid w:val="00B57484"/>
    <w:rsid w:val="00B57E93"/>
    <w:rsid w:val="00B6415D"/>
    <w:rsid w:val="00B6773D"/>
    <w:rsid w:val="00B67B98"/>
    <w:rsid w:val="00B70C80"/>
    <w:rsid w:val="00B716FC"/>
    <w:rsid w:val="00B725AE"/>
    <w:rsid w:val="00B80A8E"/>
    <w:rsid w:val="00B849A4"/>
    <w:rsid w:val="00B863CC"/>
    <w:rsid w:val="00B900AD"/>
    <w:rsid w:val="00B914FA"/>
    <w:rsid w:val="00B916D2"/>
    <w:rsid w:val="00B941C2"/>
    <w:rsid w:val="00B95792"/>
    <w:rsid w:val="00B97CEA"/>
    <w:rsid w:val="00BA2B4D"/>
    <w:rsid w:val="00BA2CFA"/>
    <w:rsid w:val="00BA38F0"/>
    <w:rsid w:val="00BA40F1"/>
    <w:rsid w:val="00BA4910"/>
    <w:rsid w:val="00BB2683"/>
    <w:rsid w:val="00BB289A"/>
    <w:rsid w:val="00BB7318"/>
    <w:rsid w:val="00BB7C22"/>
    <w:rsid w:val="00BC04EC"/>
    <w:rsid w:val="00BC329C"/>
    <w:rsid w:val="00BC34DC"/>
    <w:rsid w:val="00BC53DD"/>
    <w:rsid w:val="00BC56D9"/>
    <w:rsid w:val="00BC620C"/>
    <w:rsid w:val="00BC6B62"/>
    <w:rsid w:val="00BC6D24"/>
    <w:rsid w:val="00BD31A0"/>
    <w:rsid w:val="00BD38F9"/>
    <w:rsid w:val="00BD4803"/>
    <w:rsid w:val="00BD4B53"/>
    <w:rsid w:val="00BD6FC2"/>
    <w:rsid w:val="00BE0EA7"/>
    <w:rsid w:val="00BE2B29"/>
    <w:rsid w:val="00BE3AF9"/>
    <w:rsid w:val="00BE41BC"/>
    <w:rsid w:val="00BE4252"/>
    <w:rsid w:val="00BE4A91"/>
    <w:rsid w:val="00BE50F6"/>
    <w:rsid w:val="00BF27C1"/>
    <w:rsid w:val="00BF3527"/>
    <w:rsid w:val="00BF3D6F"/>
    <w:rsid w:val="00BF517C"/>
    <w:rsid w:val="00C01996"/>
    <w:rsid w:val="00C031CD"/>
    <w:rsid w:val="00C03A32"/>
    <w:rsid w:val="00C06EDC"/>
    <w:rsid w:val="00C11424"/>
    <w:rsid w:val="00C115CE"/>
    <w:rsid w:val="00C139F6"/>
    <w:rsid w:val="00C148B8"/>
    <w:rsid w:val="00C14DFD"/>
    <w:rsid w:val="00C15318"/>
    <w:rsid w:val="00C15971"/>
    <w:rsid w:val="00C2025E"/>
    <w:rsid w:val="00C211A0"/>
    <w:rsid w:val="00C2143F"/>
    <w:rsid w:val="00C21DBC"/>
    <w:rsid w:val="00C22C2C"/>
    <w:rsid w:val="00C2524A"/>
    <w:rsid w:val="00C25C4F"/>
    <w:rsid w:val="00C26223"/>
    <w:rsid w:val="00C264E9"/>
    <w:rsid w:val="00C2719B"/>
    <w:rsid w:val="00C3102C"/>
    <w:rsid w:val="00C3345C"/>
    <w:rsid w:val="00C3370C"/>
    <w:rsid w:val="00C345ED"/>
    <w:rsid w:val="00C3528C"/>
    <w:rsid w:val="00C35FB0"/>
    <w:rsid w:val="00C36710"/>
    <w:rsid w:val="00C37904"/>
    <w:rsid w:val="00C40753"/>
    <w:rsid w:val="00C40C64"/>
    <w:rsid w:val="00C40E90"/>
    <w:rsid w:val="00C42323"/>
    <w:rsid w:val="00C43B81"/>
    <w:rsid w:val="00C43F41"/>
    <w:rsid w:val="00C513F5"/>
    <w:rsid w:val="00C51F81"/>
    <w:rsid w:val="00C52915"/>
    <w:rsid w:val="00C52E8F"/>
    <w:rsid w:val="00C53BBE"/>
    <w:rsid w:val="00C55BF0"/>
    <w:rsid w:val="00C55F6B"/>
    <w:rsid w:val="00C5677E"/>
    <w:rsid w:val="00C56C79"/>
    <w:rsid w:val="00C64031"/>
    <w:rsid w:val="00C641AF"/>
    <w:rsid w:val="00C66377"/>
    <w:rsid w:val="00C6731A"/>
    <w:rsid w:val="00C71DB8"/>
    <w:rsid w:val="00C740D4"/>
    <w:rsid w:val="00C80F4C"/>
    <w:rsid w:val="00C81808"/>
    <w:rsid w:val="00C82365"/>
    <w:rsid w:val="00C828C8"/>
    <w:rsid w:val="00C8447C"/>
    <w:rsid w:val="00C86F8E"/>
    <w:rsid w:val="00C8700E"/>
    <w:rsid w:val="00C87BB8"/>
    <w:rsid w:val="00C91C62"/>
    <w:rsid w:val="00C93D93"/>
    <w:rsid w:val="00C94672"/>
    <w:rsid w:val="00C94751"/>
    <w:rsid w:val="00C94AE4"/>
    <w:rsid w:val="00C959F8"/>
    <w:rsid w:val="00C96971"/>
    <w:rsid w:val="00CA118E"/>
    <w:rsid w:val="00CA1858"/>
    <w:rsid w:val="00CA2030"/>
    <w:rsid w:val="00CA265E"/>
    <w:rsid w:val="00CA30EA"/>
    <w:rsid w:val="00CA31F0"/>
    <w:rsid w:val="00CA4CA2"/>
    <w:rsid w:val="00CA6CEE"/>
    <w:rsid w:val="00CA7072"/>
    <w:rsid w:val="00CB00ED"/>
    <w:rsid w:val="00CB240A"/>
    <w:rsid w:val="00CB32CE"/>
    <w:rsid w:val="00CB425F"/>
    <w:rsid w:val="00CB4D31"/>
    <w:rsid w:val="00CB6A3A"/>
    <w:rsid w:val="00CB6B4D"/>
    <w:rsid w:val="00CC0F28"/>
    <w:rsid w:val="00CC1983"/>
    <w:rsid w:val="00CC3AC3"/>
    <w:rsid w:val="00CC5401"/>
    <w:rsid w:val="00CC6448"/>
    <w:rsid w:val="00CD016F"/>
    <w:rsid w:val="00CD0A44"/>
    <w:rsid w:val="00CD0D0E"/>
    <w:rsid w:val="00CD2191"/>
    <w:rsid w:val="00CD3F7C"/>
    <w:rsid w:val="00CE098E"/>
    <w:rsid w:val="00CE0EED"/>
    <w:rsid w:val="00CE695F"/>
    <w:rsid w:val="00CF0A47"/>
    <w:rsid w:val="00CF58AA"/>
    <w:rsid w:val="00CF63E9"/>
    <w:rsid w:val="00CF6CA9"/>
    <w:rsid w:val="00D009B6"/>
    <w:rsid w:val="00D00AA5"/>
    <w:rsid w:val="00D00AB5"/>
    <w:rsid w:val="00D00E52"/>
    <w:rsid w:val="00D0610F"/>
    <w:rsid w:val="00D06276"/>
    <w:rsid w:val="00D14307"/>
    <w:rsid w:val="00D1576D"/>
    <w:rsid w:val="00D15D1F"/>
    <w:rsid w:val="00D1608B"/>
    <w:rsid w:val="00D1693D"/>
    <w:rsid w:val="00D20FC6"/>
    <w:rsid w:val="00D21A9E"/>
    <w:rsid w:val="00D23C51"/>
    <w:rsid w:val="00D24F27"/>
    <w:rsid w:val="00D25347"/>
    <w:rsid w:val="00D27D9E"/>
    <w:rsid w:val="00D32176"/>
    <w:rsid w:val="00D327B6"/>
    <w:rsid w:val="00D33048"/>
    <w:rsid w:val="00D34973"/>
    <w:rsid w:val="00D40034"/>
    <w:rsid w:val="00D41254"/>
    <w:rsid w:val="00D4678A"/>
    <w:rsid w:val="00D518B0"/>
    <w:rsid w:val="00D52D5E"/>
    <w:rsid w:val="00D537E4"/>
    <w:rsid w:val="00D538CB"/>
    <w:rsid w:val="00D5532C"/>
    <w:rsid w:val="00D56650"/>
    <w:rsid w:val="00D57345"/>
    <w:rsid w:val="00D6388A"/>
    <w:rsid w:val="00D64159"/>
    <w:rsid w:val="00D66D3F"/>
    <w:rsid w:val="00D73679"/>
    <w:rsid w:val="00D7439F"/>
    <w:rsid w:val="00D746BD"/>
    <w:rsid w:val="00D748E5"/>
    <w:rsid w:val="00D779CA"/>
    <w:rsid w:val="00D82F8C"/>
    <w:rsid w:val="00D837D3"/>
    <w:rsid w:val="00D85686"/>
    <w:rsid w:val="00D86B29"/>
    <w:rsid w:val="00D87E81"/>
    <w:rsid w:val="00D92B04"/>
    <w:rsid w:val="00D930D5"/>
    <w:rsid w:val="00D93353"/>
    <w:rsid w:val="00D93670"/>
    <w:rsid w:val="00D95950"/>
    <w:rsid w:val="00D95BF6"/>
    <w:rsid w:val="00D95E42"/>
    <w:rsid w:val="00D96D5B"/>
    <w:rsid w:val="00D9744F"/>
    <w:rsid w:val="00D9762E"/>
    <w:rsid w:val="00DA2C09"/>
    <w:rsid w:val="00DA46AE"/>
    <w:rsid w:val="00DA58C7"/>
    <w:rsid w:val="00DA60D3"/>
    <w:rsid w:val="00DA6347"/>
    <w:rsid w:val="00DA6B3D"/>
    <w:rsid w:val="00DB3EC8"/>
    <w:rsid w:val="00DB5AC2"/>
    <w:rsid w:val="00DB7530"/>
    <w:rsid w:val="00DC4DB2"/>
    <w:rsid w:val="00DC55D6"/>
    <w:rsid w:val="00DC6E56"/>
    <w:rsid w:val="00DC6E88"/>
    <w:rsid w:val="00DD07FD"/>
    <w:rsid w:val="00DD3E44"/>
    <w:rsid w:val="00DD6D23"/>
    <w:rsid w:val="00DE00CF"/>
    <w:rsid w:val="00DE0EA7"/>
    <w:rsid w:val="00DE12CD"/>
    <w:rsid w:val="00DE64CA"/>
    <w:rsid w:val="00DE65D4"/>
    <w:rsid w:val="00DE6D4D"/>
    <w:rsid w:val="00DE78C1"/>
    <w:rsid w:val="00DE7E73"/>
    <w:rsid w:val="00DF1DF6"/>
    <w:rsid w:val="00DF28D3"/>
    <w:rsid w:val="00DF2AD6"/>
    <w:rsid w:val="00DF6269"/>
    <w:rsid w:val="00DF6BE4"/>
    <w:rsid w:val="00E016C0"/>
    <w:rsid w:val="00E01888"/>
    <w:rsid w:val="00E0238A"/>
    <w:rsid w:val="00E02684"/>
    <w:rsid w:val="00E05B8D"/>
    <w:rsid w:val="00E16BDD"/>
    <w:rsid w:val="00E1701B"/>
    <w:rsid w:val="00E17B81"/>
    <w:rsid w:val="00E20580"/>
    <w:rsid w:val="00E20902"/>
    <w:rsid w:val="00E20CC6"/>
    <w:rsid w:val="00E21536"/>
    <w:rsid w:val="00E222F4"/>
    <w:rsid w:val="00E22BA0"/>
    <w:rsid w:val="00E22D97"/>
    <w:rsid w:val="00E234BF"/>
    <w:rsid w:val="00E237DC"/>
    <w:rsid w:val="00E24E34"/>
    <w:rsid w:val="00E25739"/>
    <w:rsid w:val="00E2584C"/>
    <w:rsid w:val="00E25BBD"/>
    <w:rsid w:val="00E307D5"/>
    <w:rsid w:val="00E315C1"/>
    <w:rsid w:val="00E37148"/>
    <w:rsid w:val="00E40B70"/>
    <w:rsid w:val="00E416FF"/>
    <w:rsid w:val="00E429EE"/>
    <w:rsid w:val="00E440FA"/>
    <w:rsid w:val="00E44C26"/>
    <w:rsid w:val="00E45EE7"/>
    <w:rsid w:val="00E53CF4"/>
    <w:rsid w:val="00E57C03"/>
    <w:rsid w:val="00E57E8B"/>
    <w:rsid w:val="00E60F57"/>
    <w:rsid w:val="00E6282A"/>
    <w:rsid w:val="00E62A61"/>
    <w:rsid w:val="00E639B5"/>
    <w:rsid w:val="00E642E8"/>
    <w:rsid w:val="00E665FF"/>
    <w:rsid w:val="00E66F25"/>
    <w:rsid w:val="00E700DF"/>
    <w:rsid w:val="00E70188"/>
    <w:rsid w:val="00E7073D"/>
    <w:rsid w:val="00E71CEE"/>
    <w:rsid w:val="00E73020"/>
    <w:rsid w:val="00E7663D"/>
    <w:rsid w:val="00E76C64"/>
    <w:rsid w:val="00E821B6"/>
    <w:rsid w:val="00E82CAA"/>
    <w:rsid w:val="00E8505D"/>
    <w:rsid w:val="00E861F8"/>
    <w:rsid w:val="00E90590"/>
    <w:rsid w:val="00E926A0"/>
    <w:rsid w:val="00E93C7F"/>
    <w:rsid w:val="00E94D18"/>
    <w:rsid w:val="00EA0613"/>
    <w:rsid w:val="00EA1CCB"/>
    <w:rsid w:val="00EA25A8"/>
    <w:rsid w:val="00EA418E"/>
    <w:rsid w:val="00EA589C"/>
    <w:rsid w:val="00EB0E4E"/>
    <w:rsid w:val="00EB2F3D"/>
    <w:rsid w:val="00EB2FF2"/>
    <w:rsid w:val="00EB3C52"/>
    <w:rsid w:val="00EB4506"/>
    <w:rsid w:val="00EB78B2"/>
    <w:rsid w:val="00EB7DB2"/>
    <w:rsid w:val="00EC39B1"/>
    <w:rsid w:val="00EC4F04"/>
    <w:rsid w:val="00EC4F98"/>
    <w:rsid w:val="00EC6EE1"/>
    <w:rsid w:val="00EC7615"/>
    <w:rsid w:val="00EC7C63"/>
    <w:rsid w:val="00ED1614"/>
    <w:rsid w:val="00ED228C"/>
    <w:rsid w:val="00ED545C"/>
    <w:rsid w:val="00ED5D6D"/>
    <w:rsid w:val="00ED604E"/>
    <w:rsid w:val="00EE27DE"/>
    <w:rsid w:val="00EE5631"/>
    <w:rsid w:val="00EE6436"/>
    <w:rsid w:val="00EE7745"/>
    <w:rsid w:val="00EE7752"/>
    <w:rsid w:val="00EE7B29"/>
    <w:rsid w:val="00EE7D9B"/>
    <w:rsid w:val="00EF6133"/>
    <w:rsid w:val="00EF6680"/>
    <w:rsid w:val="00F014F0"/>
    <w:rsid w:val="00F0207C"/>
    <w:rsid w:val="00F03CE8"/>
    <w:rsid w:val="00F078F9"/>
    <w:rsid w:val="00F07E4F"/>
    <w:rsid w:val="00F118AA"/>
    <w:rsid w:val="00F14FC1"/>
    <w:rsid w:val="00F218D0"/>
    <w:rsid w:val="00F2305A"/>
    <w:rsid w:val="00F2316E"/>
    <w:rsid w:val="00F24F49"/>
    <w:rsid w:val="00F25E90"/>
    <w:rsid w:val="00F26803"/>
    <w:rsid w:val="00F3137F"/>
    <w:rsid w:val="00F31CB1"/>
    <w:rsid w:val="00F33A32"/>
    <w:rsid w:val="00F33E7E"/>
    <w:rsid w:val="00F349CD"/>
    <w:rsid w:val="00F35213"/>
    <w:rsid w:val="00F35C42"/>
    <w:rsid w:val="00F36BAE"/>
    <w:rsid w:val="00F40E4E"/>
    <w:rsid w:val="00F41F40"/>
    <w:rsid w:val="00F44527"/>
    <w:rsid w:val="00F45EB6"/>
    <w:rsid w:val="00F46739"/>
    <w:rsid w:val="00F505B3"/>
    <w:rsid w:val="00F505D9"/>
    <w:rsid w:val="00F50BB3"/>
    <w:rsid w:val="00F568D7"/>
    <w:rsid w:val="00F612F2"/>
    <w:rsid w:val="00F616C4"/>
    <w:rsid w:val="00F64F19"/>
    <w:rsid w:val="00F65B41"/>
    <w:rsid w:val="00F676BC"/>
    <w:rsid w:val="00F72A06"/>
    <w:rsid w:val="00F73DE9"/>
    <w:rsid w:val="00F81B4A"/>
    <w:rsid w:val="00F83465"/>
    <w:rsid w:val="00F83A9B"/>
    <w:rsid w:val="00F854A8"/>
    <w:rsid w:val="00F8747B"/>
    <w:rsid w:val="00F87958"/>
    <w:rsid w:val="00F87F81"/>
    <w:rsid w:val="00F90ECB"/>
    <w:rsid w:val="00F9183B"/>
    <w:rsid w:val="00F92066"/>
    <w:rsid w:val="00F936AE"/>
    <w:rsid w:val="00F9408C"/>
    <w:rsid w:val="00F940D0"/>
    <w:rsid w:val="00F95028"/>
    <w:rsid w:val="00F955D0"/>
    <w:rsid w:val="00F95EA3"/>
    <w:rsid w:val="00FA030D"/>
    <w:rsid w:val="00FA18D8"/>
    <w:rsid w:val="00FA1D26"/>
    <w:rsid w:val="00FA2778"/>
    <w:rsid w:val="00FA2F58"/>
    <w:rsid w:val="00FA5715"/>
    <w:rsid w:val="00FA61F9"/>
    <w:rsid w:val="00FA658D"/>
    <w:rsid w:val="00FB05F4"/>
    <w:rsid w:val="00FB09B9"/>
    <w:rsid w:val="00FB6439"/>
    <w:rsid w:val="00FC2AAD"/>
    <w:rsid w:val="00FC31F4"/>
    <w:rsid w:val="00FD0620"/>
    <w:rsid w:val="00FD0CDB"/>
    <w:rsid w:val="00FD719B"/>
    <w:rsid w:val="00FE00E5"/>
    <w:rsid w:val="00FE1C9D"/>
    <w:rsid w:val="00FE7381"/>
    <w:rsid w:val="00FF13AC"/>
    <w:rsid w:val="00FF1BB9"/>
    <w:rsid w:val="00FF72DB"/>
    <w:rsid w:val="041D7EE3"/>
    <w:rsid w:val="0468EB9B"/>
    <w:rsid w:val="055FAD83"/>
    <w:rsid w:val="081B71A9"/>
    <w:rsid w:val="08F0F006"/>
    <w:rsid w:val="0D2CF9D1"/>
    <w:rsid w:val="1055D6BF"/>
    <w:rsid w:val="12B065E8"/>
    <w:rsid w:val="12C0F098"/>
    <w:rsid w:val="132FB942"/>
    <w:rsid w:val="16258C6B"/>
    <w:rsid w:val="1C12FC4E"/>
    <w:rsid w:val="1D88D0B8"/>
    <w:rsid w:val="1F008C41"/>
    <w:rsid w:val="34384A8F"/>
    <w:rsid w:val="3542725D"/>
    <w:rsid w:val="387A131F"/>
    <w:rsid w:val="3A59AB7F"/>
    <w:rsid w:val="3CCFCDA9"/>
    <w:rsid w:val="3D233CE8"/>
    <w:rsid w:val="3DAECA76"/>
    <w:rsid w:val="3DB77531"/>
    <w:rsid w:val="41C7B84B"/>
    <w:rsid w:val="43E947AA"/>
    <w:rsid w:val="4A438450"/>
    <w:rsid w:val="4B48F4FA"/>
    <w:rsid w:val="4DFE2DE5"/>
    <w:rsid w:val="4E89AF5A"/>
    <w:rsid w:val="4F48D012"/>
    <w:rsid w:val="504A36A0"/>
    <w:rsid w:val="5156B34E"/>
    <w:rsid w:val="5503DD59"/>
    <w:rsid w:val="556CC695"/>
    <w:rsid w:val="56D8893E"/>
    <w:rsid w:val="57D8D18C"/>
    <w:rsid w:val="57E629AE"/>
    <w:rsid w:val="5CD99F8F"/>
    <w:rsid w:val="5D6B5F2E"/>
    <w:rsid w:val="62E339E3"/>
    <w:rsid w:val="699EFA3A"/>
    <w:rsid w:val="6E1D1152"/>
    <w:rsid w:val="746C8138"/>
    <w:rsid w:val="78179649"/>
    <w:rsid w:val="78929822"/>
    <w:rsid w:val="7929590A"/>
    <w:rsid w:val="7B1A6A72"/>
    <w:rsid w:val="7B58DBEB"/>
    <w:rsid w:val="7CD3A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C9C43C3D-2433-46DB-85B6-1E8A1402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68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1"/>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2"/>
      </w:numPr>
      <w:ind w:left="1134" w:hanging="283"/>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3"/>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4"/>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pPr>
      <w:spacing w:after="0" w:line="240" w:lineRule="auto"/>
    </w:pPr>
    <w:rPr>
      <w:lang w:val="en-GB"/>
    </w:rPr>
  </w:style>
  <w:style w:type="character" w:styleId="Hyperlink">
    <w:name w:val="Hyperlink"/>
    <w:basedOn w:val="DefaultParagraphFont"/>
    <w:uiPriority w:val="99"/>
    <w:unhideWhenUsed/>
    <w:rsid w:val="00AC0829"/>
    <w:rPr>
      <w:color w:val="0563C1" w:themeColor="hyperlink"/>
      <w:u w:val="single"/>
    </w:rPr>
  </w:style>
  <w:style w:type="character" w:styleId="CommentReference">
    <w:name w:val="annotation reference"/>
    <w:basedOn w:val="DefaultParagraphFont"/>
    <w:uiPriority w:val="99"/>
    <w:semiHidden/>
    <w:unhideWhenUsed/>
    <w:rsid w:val="009D6153"/>
    <w:rPr>
      <w:sz w:val="16"/>
      <w:szCs w:val="16"/>
    </w:rPr>
  </w:style>
  <w:style w:type="paragraph" w:styleId="CommentText">
    <w:name w:val="annotation text"/>
    <w:basedOn w:val="Normal"/>
    <w:link w:val="CommentTextChar"/>
    <w:uiPriority w:val="99"/>
    <w:unhideWhenUsed/>
    <w:rsid w:val="009D6153"/>
    <w:pPr>
      <w:spacing w:line="240" w:lineRule="auto"/>
    </w:pPr>
    <w:rPr>
      <w:sz w:val="20"/>
      <w:szCs w:val="20"/>
    </w:rPr>
  </w:style>
  <w:style w:type="character" w:customStyle="1" w:styleId="CommentTextChar">
    <w:name w:val="Comment Text Char"/>
    <w:basedOn w:val="DefaultParagraphFont"/>
    <w:link w:val="CommentText"/>
    <w:uiPriority w:val="99"/>
    <w:rsid w:val="009D6153"/>
    <w:rPr>
      <w:sz w:val="20"/>
      <w:szCs w:val="20"/>
      <w:lang w:val="en-GB"/>
    </w:rPr>
  </w:style>
  <w:style w:type="paragraph" w:styleId="CommentSubject">
    <w:name w:val="annotation subject"/>
    <w:basedOn w:val="CommentText"/>
    <w:next w:val="CommentText"/>
    <w:link w:val="CommentSubjectChar"/>
    <w:uiPriority w:val="99"/>
    <w:semiHidden/>
    <w:unhideWhenUsed/>
    <w:rsid w:val="009D6153"/>
    <w:rPr>
      <w:b/>
      <w:bCs/>
    </w:rPr>
  </w:style>
  <w:style w:type="character" w:customStyle="1" w:styleId="CommentSubjectChar">
    <w:name w:val="Comment Subject Char"/>
    <w:basedOn w:val="CommentTextChar"/>
    <w:link w:val="CommentSubject"/>
    <w:uiPriority w:val="99"/>
    <w:semiHidden/>
    <w:rsid w:val="009D6153"/>
    <w:rPr>
      <w:b/>
      <w:bCs/>
      <w:sz w:val="20"/>
      <w:szCs w:val="20"/>
      <w:lang w:val="en-GB"/>
    </w:rPr>
  </w:style>
  <w:style w:type="character" w:styleId="UnresolvedMention">
    <w:name w:val="Unresolved Mention"/>
    <w:basedOn w:val="DefaultParagraphFont"/>
    <w:uiPriority w:val="99"/>
    <w:unhideWhenUsed/>
    <w:rsid w:val="00C80F4C"/>
    <w:rPr>
      <w:color w:val="605E5C"/>
      <w:shd w:val="clear" w:color="auto" w:fill="E1DFDD"/>
    </w:rPr>
  </w:style>
  <w:style w:type="paragraph" w:styleId="NormalWeb">
    <w:name w:val="Normal (Web)"/>
    <w:basedOn w:val="Normal"/>
    <w:uiPriority w:val="99"/>
    <w:semiHidden/>
    <w:unhideWhenUsed/>
    <w:rsid w:val="00A303B2"/>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paragraph" w:styleId="FootnoteText">
    <w:name w:val="footnote text"/>
    <w:basedOn w:val="Normal"/>
    <w:link w:val="FootnoteTextChar"/>
    <w:uiPriority w:val="99"/>
    <w:semiHidden/>
    <w:unhideWhenUsed/>
    <w:rsid w:val="005916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16E4"/>
    <w:rPr>
      <w:sz w:val="20"/>
      <w:szCs w:val="20"/>
      <w:lang w:val="en-GB"/>
    </w:rPr>
  </w:style>
  <w:style w:type="character" w:styleId="FootnoteReference">
    <w:name w:val="footnote reference"/>
    <w:basedOn w:val="DefaultParagraphFont"/>
    <w:uiPriority w:val="99"/>
    <w:semiHidden/>
    <w:unhideWhenUsed/>
    <w:rsid w:val="005916E4"/>
    <w:rPr>
      <w:vertAlign w:val="superscript"/>
    </w:rPr>
  </w:style>
  <w:style w:type="character" w:styleId="FollowedHyperlink">
    <w:name w:val="FollowedHyperlink"/>
    <w:basedOn w:val="DefaultParagraphFont"/>
    <w:uiPriority w:val="99"/>
    <w:semiHidden/>
    <w:unhideWhenUsed/>
    <w:rsid w:val="008C5B25"/>
    <w:rPr>
      <w:color w:val="954F72" w:themeColor="followedHyperlink"/>
      <w:u w:val="single"/>
    </w:rPr>
  </w:style>
  <w:style w:type="character" w:styleId="Mention">
    <w:name w:val="Mention"/>
    <w:basedOn w:val="DefaultParagraphFont"/>
    <w:uiPriority w:val="99"/>
    <w:unhideWhenUsed/>
    <w:rsid w:val="00902DB2"/>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200C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5158">
      <w:bodyDiv w:val="1"/>
      <w:marLeft w:val="0"/>
      <w:marRight w:val="0"/>
      <w:marTop w:val="0"/>
      <w:marBottom w:val="0"/>
      <w:divBdr>
        <w:top w:val="none" w:sz="0" w:space="0" w:color="auto"/>
        <w:left w:val="none" w:sz="0" w:space="0" w:color="auto"/>
        <w:bottom w:val="none" w:sz="0" w:space="0" w:color="auto"/>
        <w:right w:val="none" w:sz="0" w:space="0" w:color="auto"/>
      </w:divBdr>
    </w:div>
    <w:div w:id="71199875">
      <w:bodyDiv w:val="1"/>
      <w:marLeft w:val="0"/>
      <w:marRight w:val="0"/>
      <w:marTop w:val="0"/>
      <w:marBottom w:val="0"/>
      <w:divBdr>
        <w:top w:val="none" w:sz="0" w:space="0" w:color="auto"/>
        <w:left w:val="none" w:sz="0" w:space="0" w:color="auto"/>
        <w:bottom w:val="none" w:sz="0" w:space="0" w:color="auto"/>
        <w:right w:val="none" w:sz="0" w:space="0" w:color="auto"/>
      </w:divBdr>
      <w:divsChild>
        <w:div w:id="1906451111">
          <w:marLeft w:val="0"/>
          <w:marRight w:val="0"/>
          <w:marTop w:val="0"/>
          <w:marBottom w:val="0"/>
          <w:divBdr>
            <w:top w:val="none" w:sz="0" w:space="0" w:color="auto"/>
            <w:left w:val="none" w:sz="0" w:space="0" w:color="auto"/>
            <w:bottom w:val="none" w:sz="0" w:space="0" w:color="auto"/>
            <w:right w:val="none" w:sz="0" w:space="0" w:color="auto"/>
          </w:divBdr>
          <w:divsChild>
            <w:div w:id="1693263217">
              <w:marLeft w:val="0"/>
              <w:marRight w:val="0"/>
              <w:marTop w:val="0"/>
              <w:marBottom w:val="0"/>
              <w:divBdr>
                <w:top w:val="none" w:sz="0" w:space="0" w:color="auto"/>
                <w:left w:val="none" w:sz="0" w:space="0" w:color="auto"/>
                <w:bottom w:val="none" w:sz="0" w:space="0" w:color="auto"/>
                <w:right w:val="none" w:sz="0" w:space="0" w:color="auto"/>
              </w:divBdr>
              <w:divsChild>
                <w:div w:id="124645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3028">
      <w:bodyDiv w:val="1"/>
      <w:marLeft w:val="0"/>
      <w:marRight w:val="0"/>
      <w:marTop w:val="0"/>
      <w:marBottom w:val="0"/>
      <w:divBdr>
        <w:top w:val="none" w:sz="0" w:space="0" w:color="auto"/>
        <w:left w:val="none" w:sz="0" w:space="0" w:color="auto"/>
        <w:bottom w:val="none" w:sz="0" w:space="0" w:color="auto"/>
        <w:right w:val="none" w:sz="0" w:space="0" w:color="auto"/>
      </w:divBdr>
      <w:divsChild>
        <w:div w:id="2029788382">
          <w:marLeft w:val="0"/>
          <w:marRight w:val="0"/>
          <w:marTop w:val="0"/>
          <w:marBottom w:val="0"/>
          <w:divBdr>
            <w:top w:val="none" w:sz="0" w:space="0" w:color="auto"/>
            <w:left w:val="none" w:sz="0" w:space="0" w:color="auto"/>
            <w:bottom w:val="none" w:sz="0" w:space="0" w:color="auto"/>
            <w:right w:val="none" w:sz="0" w:space="0" w:color="auto"/>
          </w:divBdr>
          <w:divsChild>
            <w:div w:id="2004966453">
              <w:marLeft w:val="0"/>
              <w:marRight w:val="0"/>
              <w:marTop w:val="0"/>
              <w:marBottom w:val="0"/>
              <w:divBdr>
                <w:top w:val="none" w:sz="0" w:space="0" w:color="auto"/>
                <w:left w:val="none" w:sz="0" w:space="0" w:color="auto"/>
                <w:bottom w:val="none" w:sz="0" w:space="0" w:color="auto"/>
                <w:right w:val="none" w:sz="0" w:space="0" w:color="auto"/>
              </w:divBdr>
              <w:divsChild>
                <w:div w:id="23948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8738">
      <w:bodyDiv w:val="1"/>
      <w:marLeft w:val="0"/>
      <w:marRight w:val="0"/>
      <w:marTop w:val="0"/>
      <w:marBottom w:val="0"/>
      <w:divBdr>
        <w:top w:val="none" w:sz="0" w:space="0" w:color="auto"/>
        <w:left w:val="none" w:sz="0" w:space="0" w:color="auto"/>
        <w:bottom w:val="none" w:sz="0" w:space="0" w:color="auto"/>
        <w:right w:val="none" w:sz="0" w:space="0" w:color="auto"/>
      </w:divBdr>
      <w:divsChild>
        <w:div w:id="1028675707">
          <w:marLeft w:val="0"/>
          <w:marRight w:val="0"/>
          <w:marTop w:val="0"/>
          <w:marBottom w:val="0"/>
          <w:divBdr>
            <w:top w:val="none" w:sz="0" w:space="0" w:color="auto"/>
            <w:left w:val="none" w:sz="0" w:space="0" w:color="auto"/>
            <w:bottom w:val="none" w:sz="0" w:space="0" w:color="auto"/>
            <w:right w:val="none" w:sz="0" w:space="0" w:color="auto"/>
          </w:divBdr>
          <w:divsChild>
            <w:div w:id="15544482">
              <w:marLeft w:val="0"/>
              <w:marRight w:val="0"/>
              <w:marTop w:val="0"/>
              <w:marBottom w:val="0"/>
              <w:divBdr>
                <w:top w:val="none" w:sz="0" w:space="0" w:color="auto"/>
                <w:left w:val="none" w:sz="0" w:space="0" w:color="auto"/>
                <w:bottom w:val="none" w:sz="0" w:space="0" w:color="auto"/>
                <w:right w:val="none" w:sz="0" w:space="0" w:color="auto"/>
              </w:divBdr>
              <w:divsChild>
                <w:div w:id="18150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47440">
      <w:bodyDiv w:val="1"/>
      <w:marLeft w:val="0"/>
      <w:marRight w:val="0"/>
      <w:marTop w:val="0"/>
      <w:marBottom w:val="0"/>
      <w:divBdr>
        <w:top w:val="none" w:sz="0" w:space="0" w:color="auto"/>
        <w:left w:val="none" w:sz="0" w:space="0" w:color="auto"/>
        <w:bottom w:val="none" w:sz="0" w:space="0" w:color="auto"/>
        <w:right w:val="none" w:sz="0" w:space="0" w:color="auto"/>
      </w:divBdr>
      <w:divsChild>
        <w:div w:id="584414172">
          <w:marLeft w:val="0"/>
          <w:marRight w:val="0"/>
          <w:marTop w:val="0"/>
          <w:marBottom w:val="0"/>
          <w:divBdr>
            <w:top w:val="none" w:sz="0" w:space="0" w:color="auto"/>
            <w:left w:val="none" w:sz="0" w:space="0" w:color="auto"/>
            <w:bottom w:val="none" w:sz="0" w:space="0" w:color="auto"/>
            <w:right w:val="none" w:sz="0" w:space="0" w:color="auto"/>
          </w:divBdr>
          <w:divsChild>
            <w:div w:id="532157692">
              <w:marLeft w:val="0"/>
              <w:marRight w:val="0"/>
              <w:marTop w:val="0"/>
              <w:marBottom w:val="0"/>
              <w:divBdr>
                <w:top w:val="none" w:sz="0" w:space="0" w:color="auto"/>
                <w:left w:val="none" w:sz="0" w:space="0" w:color="auto"/>
                <w:bottom w:val="none" w:sz="0" w:space="0" w:color="auto"/>
                <w:right w:val="none" w:sz="0" w:space="0" w:color="auto"/>
              </w:divBdr>
            </w:div>
            <w:div w:id="1074359394">
              <w:marLeft w:val="0"/>
              <w:marRight w:val="0"/>
              <w:marTop w:val="0"/>
              <w:marBottom w:val="0"/>
              <w:divBdr>
                <w:top w:val="none" w:sz="0" w:space="0" w:color="auto"/>
                <w:left w:val="none" w:sz="0" w:space="0" w:color="auto"/>
                <w:bottom w:val="none" w:sz="0" w:space="0" w:color="auto"/>
                <w:right w:val="none" w:sz="0" w:space="0" w:color="auto"/>
              </w:divBdr>
            </w:div>
            <w:div w:id="1816214189">
              <w:marLeft w:val="0"/>
              <w:marRight w:val="0"/>
              <w:marTop w:val="0"/>
              <w:marBottom w:val="0"/>
              <w:divBdr>
                <w:top w:val="none" w:sz="0" w:space="0" w:color="auto"/>
                <w:left w:val="none" w:sz="0" w:space="0" w:color="auto"/>
                <w:bottom w:val="none" w:sz="0" w:space="0" w:color="auto"/>
                <w:right w:val="none" w:sz="0" w:space="0" w:color="auto"/>
              </w:divBdr>
              <w:divsChild>
                <w:div w:id="465051796">
                  <w:marLeft w:val="0"/>
                  <w:marRight w:val="0"/>
                  <w:marTop w:val="0"/>
                  <w:marBottom w:val="0"/>
                  <w:divBdr>
                    <w:top w:val="none" w:sz="0" w:space="0" w:color="auto"/>
                    <w:left w:val="none" w:sz="0" w:space="0" w:color="auto"/>
                    <w:bottom w:val="none" w:sz="0" w:space="0" w:color="auto"/>
                    <w:right w:val="none" w:sz="0" w:space="0" w:color="auto"/>
                  </w:divBdr>
                </w:div>
              </w:divsChild>
            </w:div>
            <w:div w:id="2133554553">
              <w:marLeft w:val="0"/>
              <w:marRight w:val="0"/>
              <w:marTop w:val="0"/>
              <w:marBottom w:val="0"/>
              <w:divBdr>
                <w:top w:val="none" w:sz="0" w:space="0" w:color="auto"/>
                <w:left w:val="none" w:sz="0" w:space="0" w:color="auto"/>
                <w:bottom w:val="none" w:sz="0" w:space="0" w:color="auto"/>
                <w:right w:val="none" w:sz="0" w:space="0" w:color="auto"/>
              </w:divBdr>
            </w:div>
          </w:divsChild>
        </w:div>
        <w:div w:id="718436251">
          <w:marLeft w:val="0"/>
          <w:marRight w:val="0"/>
          <w:marTop w:val="0"/>
          <w:marBottom w:val="0"/>
          <w:divBdr>
            <w:top w:val="none" w:sz="0" w:space="0" w:color="auto"/>
            <w:left w:val="none" w:sz="0" w:space="0" w:color="auto"/>
            <w:bottom w:val="none" w:sz="0" w:space="0" w:color="auto"/>
            <w:right w:val="none" w:sz="0" w:space="0" w:color="auto"/>
          </w:divBdr>
          <w:divsChild>
            <w:div w:id="409347185">
              <w:marLeft w:val="0"/>
              <w:marRight w:val="0"/>
              <w:marTop w:val="0"/>
              <w:marBottom w:val="0"/>
              <w:divBdr>
                <w:top w:val="none" w:sz="0" w:space="0" w:color="auto"/>
                <w:left w:val="none" w:sz="0" w:space="0" w:color="auto"/>
                <w:bottom w:val="none" w:sz="0" w:space="0" w:color="auto"/>
                <w:right w:val="none" w:sz="0" w:space="0" w:color="auto"/>
              </w:divBdr>
            </w:div>
            <w:div w:id="533542260">
              <w:marLeft w:val="0"/>
              <w:marRight w:val="0"/>
              <w:marTop w:val="0"/>
              <w:marBottom w:val="0"/>
              <w:divBdr>
                <w:top w:val="none" w:sz="0" w:space="0" w:color="auto"/>
                <w:left w:val="none" w:sz="0" w:space="0" w:color="auto"/>
                <w:bottom w:val="none" w:sz="0" w:space="0" w:color="auto"/>
                <w:right w:val="none" w:sz="0" w:space="0" w:color="auto"/>
              </w:divBdr>
              <w:divsChild>
                <w:div w:id="188416584">
                  <w:marLeft w:val="0"/>
                  <w:marRight w:val="0"/>
                  <w:marTop w:val="0"/>
                  <w:marBottom w:val="0"/>
                  <w:divBdr>
                    <w:top w:val="none" w:sz="0" w:space="0" w:color="auto"/>
                    <w:left w:val="none" w:sz="0" w:space="0" w:color="auto"/>
                    <w:bottom w:val="none" w:sz="0" w:space="0" w:color="auto"/>
                    <w:right w:val="none" w:sz="0" w:space="0" w:color="auto"/>
                  </w:divBdr>
                </w:div>
              </w:divsChild>
            </w:div>
            <w:div w:id="1561018346">
              <w:marLeft w:val="0"/>
              <w:marRight w:val="0"/>
              <w:marTop w:val="0"/>
              <w:marBottom w:val="0"/>
              <w:divBdr>
                <w:top w:val="none" w:sz="0" w:space="0" w:color="auto"/>
                <w:left w:val="none" w:sz="0" w:space="0" w:color="auto"/>
                <w:bottom w:val="none" w:sz="0" w:space="0" w:color="auto"/>
                <w:right w:val="none" w:sz="0" w:space="0" w:color="auto"/>
              </w:divBdr>
            </w:div>
          </w:divsChild>
        </w:div>
        <w:div w:id="2097508722">
          <w:marLeft w:val="0"/>
          <w:marRight w:val="0"/>
          <w:marTop w:val="0"/>
          <w:marBottom w:val="0"/>
          <w:divBdr>
            <w:top w:val="none" w:sz="0" w:space="0" w:color="auto"/>
            <w:left w:val="none" w:sz="0" w:space="0" w:color="auto"/>
            <w:bottom w:val="none" w:sz="0" w:space="0" w:color="auto"/>
            <w:right w:val="none" w:sz="0" w:space="0" w:color="auto"/>
          </w:divBdr>
          <w:divsChild>
            <w:div w:id="1574390418">
              <w:marLeft w:val="0"/>
              <w:marRight w:val="0"/>
              <w:marTop w:val="0"/>
              <w:marBottom w:val="0"/>
              <w:divBdr>
                <w:top w:val="none" w:sz="0" w:space="0" w:color="auto"/>
                <w:left w:val="none" w:sz="0" w:space="0" w:color="auto"/>
                <w:bottom w:val="none" w:sz="0" w:space="0" w:color="auto"/>
                <w:right w:val="none" w:sz="0" w:space="0" w:color="auto"/>
              </w:divBdr>
              <w:divsChild>
                <w:div w:id="972324268">
                  <w:marLeft w:val="0"/>
                  <w:marRight w:val="0"/>
                  <w:marTop w:val="0"/>
                  <w:marBottom w:val="0"/>
                  <w:divBdr>
                    <w:top w:val="none" w:sz="0" w:space="0" w:color="auto"/>
                    <w:left w:val="none" w:sz="0" w:space="0" w:color="auto"/>
                    <w:bottom w:val="none" w:sz="0" w:space="0" w:color="auto"/>
                    <w:right w:val="none" w:sz="0" w:space="0" w:color="auto"/>
                  </w:divBdr>
                </w:div>
              </w:divsChild>
            </w:div>
            <w:div w:id="1622030445">
              <w:marLeft w:val="0"/>
              <w:marRight w:val="0"/>
              <w:marTop w:val="0"/>
              <w:marBottom w:val="0"/>
              <w:divBdr>
                <w:top w:val="none" w:sz="0" w:space="0" w:color="auto"/>
                <w:left w:val="none" w:sz="0" w:space="0" w:color="auto"/>
                <w:bottom w:val="none" w:sz="0" w:space="0" w:color="auto"/>
                <w:right w:val="none" w:sz="0" w:space="0" w:color="auto"/>
              </w:divBdr>
            </w:div>
            <w:div w:id="1839878089">
              <w:marLeft w:val="0"/>
              <w:marRight w:val="0"/>
              <w:marTop w:val="0"/>
              <w:marBottom w:val="0"/>
              <w:divBdr>
                <w:top w:val="none" w:sz="0" w:space="0" w:color="auto"/>
                <w:left w:val="none" w:sz="0" w:space="0" w:color="auto"/>
                <w:bottom w:val="none" w:sz="0" w:space="0" w:color="auto"/>
                <w:right w:val="none" w:sz="0" w:space="0" w:color="auto"/>
              </w:divBdr>
            </w:div>
            <w:div w:id="19463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9138">
      <w:bodyDiv w:val="1"/>
      <w:marLeft w:val="0"/>
      <w:marRight w:val="0"/>
      <w:marTop w:val="0"/>
      <w:marBottom w:val="0"/>
      <w:divBdr>
        <w:top w:val="none" w:sz="0" w:space="0" w:color="auto"/>
        <w:left w:val="none" w:sz="0" w:space="0" w:color="auto"/>
        <w:bottom w:val="none" w:sz="0" w:space="0" w:color="auto"/>
        <w:right w:val="none" w:sz="0" w:space="0" w:color="auto"/>
      </w:divBdr>
    </w:div>
    <w:div w:id="675619544">
      <w:bodyDiv w:val="1"/>
      <w:marLeft w:val="0"/>
      <w:marRight w:val="0"/>
      <w:marTop w:val="0"/>
      <w:marBottom w:val="0"/>
      <w:divBdr>
        <w:top w:val="none" w:sz="0" w:space="0" w:color="auto"/>
        <w:left w:val="none" w:sz="0" w:space="0" w:color="auto"/>
        <w:bottom w:val="none" w:sz="0" w:space="0" w:color="auto"/>
        <w:right w:val="none" w:sz="0" w:space="0" w:color="auto"/>
      </w:divBdr>
      <w:divsChild>
        <w:div w:id="1837264271">
          <w:marLeft w:val="0"/>
          <w:marRight w:val="0"/>
          <w:marTop w:val="0"/>
          <w:marBottom w:val="0"/>
          <w:divBdr>
            <w:top w:val="none" w:sz="0" w:space="0" w:color="auto"/>
            <w:left w:val="none" w:sz="0" w:space="0" w:color="auto"/>
            <w:bottom w:val="none" w:sz="0" w:space="0" w:color="auto"/>
            <w:right w:val="none" w:sz="0" w:space="0" w:color="auto"/>
          </w:divBdr>
          <w:divsChild>
            <w:div w:id="1285189476">
              <w:marLeft w:val="0"/>
              <w:marRight w:val="0"/>
              <w:marTop w:val="0"/>
              <w:marBottom w:val="0"/>
              <w:divBdr>
                <w:top w:val="none" w:sz="0" w:space="0" w:color="auto"/>
                <w:left w:val="none" w:sz="0" w:space="0" w:color="auto"/>
                <w:bottom w:val="none" w:sz="0" w:space="0" w:color="auto"/>
                <w:right w:val="none" w:sz="0" w:space="0" w:color="auto"/>
              </w:divBdr>
              <w:divsChild>
                <w:div w:id="14098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37976">
      <w:bodyDiv w:val="1"/>
      <w:marLeft w:val="0"/>
      <w:marRight w:val="0"/>
      <w:marTop w:val="0"/>
      <w:marBottom w:val="0"/>
      <w:divBdr>
        <w:top w:val="none" w:sz="0" w:space="0" w:color="auto"/>
        <w:left w:val="none" w:sz="0" w:space="0" w:color="auto"/>
        <w:bottom w:val="none" w:sz="0" w:space="0" w:color="auto"/>
        <w:right w:val="none" w:sz="0" w:space="0" w:color="auto"/>
      </w:divBdr>
      <w:divsChild>
        <w:div w:id="1443039427">
          <w:marLeft w:val="0"/>
          <w:marRight w:val="0"/>
          <w:marTop w:val="0"/>
          <w:marBottom w:val="0"/>
          <w:divBdr>
            <w:top w:val="none" w:sz="0" w:space="0" w:color="auto"/>
            <w:left w:val="none" w:sz="0" w:space="0" w:color="auto"/>
            <w:bottom w:val="none" w:sz="0" w:space="0" w:color="auto"/>
            <w:right w:val="none" w:sz="0" w:space="0" w:color="auto"/>
          </w:divBdr>
          <w:divsChild>
            <w:div w:id="918171727">
              <w:marLeft w:val="0"/>
              <w:marRight w:val="0"/>
              <w:marTop w:val="0"/>
              <w:marBottom w:val="0"/>
              <w:divBdr>
                <w:top w:val="none" w:sz="0" w:space="0" w:color="auto"/>
                <w:left w:val="none" w:sz="0" w:space="0" w:color="auto"/>
                <w:bottom w:val="none" w:sz="0" w:space="0" w:color="auto"/>
                <w:right w:val="none" w:sz="0" w:space="0" w:color="auto"/>
              </w:divBdr>
              <w:divsChild>
                <w:div w:id="17981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3726">
      <w:bodyDiv w:val="1"/>
      <w:marLeft w:val="0"/>
      <w:marRight w:val="0"/>
      <w:marTop w:val="0"/>
      <w:marBottom w:val="0"/>
      <w:divBdr>
        <w:top w:val="none" w:sz="0" w:space="0" w:color="auto"/>
        <w:left w:val="none" w:sz="0" w:space="0" w:color="auto"/>
        <w:bottom w:val="none" w:sz="0" w:space="0" w:color="auto"/>
        <w:right w:val="none" w:sz="0" w:space="0" w:color="auto"/>
      </w:divBdr>
      <w:divsChild>
        <w:div w:id="118956458">
          <w:marLeft w:val="0"/>
          <w:marRight w:val="0"/>
          <w:marTop w:val="0"/>
          <w:marBottom w:val="0"/>
          <w:divBdr>
            <w:top w:val="none" w:sz="0" w:space="0" w:color="auto"/>
            <w:left w:val="none" w:sz="0" w:space="0" w:color="auto"/>
            <w:bottom w:val="none" w:sz="0" w:space="0" w:color="auto"/>
            <w:right w:val="none" w:sz="0" w:space="0" w:color="auto"/>
          </w:divBdr>
        </w:div>
        <w:div w:id="1111628706">
          <w:marLeft w:val="0"/>
          <w:marRight w:val="0"/>
          <w:marTop w:val="0"/>
          <w:marBottom w:val="0"/>
          <w:divBdr>
            <w:top w:val="none" w:sz="0" w:space="0" w:color="auto"/>
            <w:left w:val="none" w:sz="0" w:space="0" w:color="auto"/>
            <w:bottom w:val="none" w:sz="0" w:space="0" w:color="auto"/>
            <w:right w:val="none" w:sz="0" w:space="0" w:color="auto"/>
          </w:divBdr>
          <w:divsChild>
            <w:div w:id="3857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20919">
      <w:bodyDiv w:val="1"/>
      <w:marLeft w:val="0"/>
      <w:marRight w:val="0"/>
      <w:marTop w:val="0"/>
      <w:marBottom w:val="0"/>
      <w:divBdr>
        <w:top w:val="none" w:sz="0" w:space="0" w:color="auto"/>
        <w:left w:val="none" w:sz="0" w:space="0" w:color="auto"/>
        <w:bottom w:val="none" w:sz="0" w:space="0" w:color="auto"/>
        <w:right w:val="none" w:sz="0" w:space="0" w:color="auto"/>
      </w:divBdr>
      <w:divsChild>
        <w:div w:id="21899815">
          <w:marLeft w:val="0"/>
          <w:marRight w:val="0"/>
          <w:marTop w:val="0"/>
          <w:marBottom w:val="0"/>
          <w:divBdr>
            <w:top w:val="none" w:sz="0" w:space="0" w:color="auto"/>
            <w:left w:val="none" w:sz="0" w:space="0" w:color="auto"/>
            <w:bottom w:val="none" w:sz="0" w:space="0" w:color="auto"/>
            <w:right w:val="none" w:sz="0" w:space="0" w:color="auto"/>
          </w:divBdr>
        </w:div>
        <w:div w:id="28531292">
          <w:marLeft w:val="0"/>
          <w:marRight w:val="0"/>
          <w:marTop w:val="0"/>
          <w:marBottom w:val="0"/>
          <w:divBdr>
            <w:top w:val="none" w:sz="0" w:space="0" w:color="auto"/>
            <w:left w:val="none" w:sz="0" w:space="0" w:color="auto"/>
            <w:bottom w:val="none" w:sz="0" w:space="0" w:color="auto"/>
            <w:right w:val="none" w:sz="0" w:space="0" w:color="auto"/>
          </w:divBdr>
        </w:div>
        <w:div w:id="102501727">
          <w:marLeft w:val="0"/>
          <w:marRight w:val="0"/>
          <w:marTop w:val="0"/>
          <w:marBottom w:val="0"/>
          <w:divBdr>
            <w:top w:val="none" w:sz="0" w:space="0" w:color="auto"/>
            <w:left w:val="none" w:sz="0" w:space="0" w:color="auto"/>
            <w:bottom w:val="none" w:sz="0" w:space="0" w:color="auto"/>
            <w:right w:val="none" w:sz="0" w:space="0" w:color="auto"/>
          </w:divBdr>
        </w:div>
        <w:div w:id="108284722">
          <w:marLeft w:val="0"/>
          <w:marRight w:val="0"/>
          <w:marTop w:val="0"/>
          <w:marBottom w:val="0"/>
          <w:divBdr>
            <w:top w:val="none" w:sz="0" w:space="0" w:color="auto"/>
            <w:left w:val="none" w:sz="0" w:space="0" w:color="auto"/>
            <w:bottom w:val="none" w:sz="0" w:space="0" w:color="auto"/>
            <w:right w:val="none" w:sz="0" w:space="0" w:color="auto"/>
          </w:divBdr>
        </w:div>
        <w:div w:id="210307495">
          <w:marLeft w:val="0"/>
          <w:marRight w:val="0"/>
          <w:marTop w:val="0"/>
          <w:marBottom w:val="0"/>
          <w:divBdr>
            <w:top w:val="none" w:sz="0" w:space="0" w:color="auto"/>
            <w:left w:val="none" w:sz="0" w:space="0" w:color="auto"/>
            <w:bottom w:val="none" w:sz="0" w:space="0" w:color="auto"/>
            <w:right w:val="none" w:sz="0" w:space="0" w:color="auto"/>
          </w:divBdr>
        </w:div>
        <w:div w:id="346370184">
          <w:marLeft w:val="0"/>
          <w:marRight w:val="0"/>
          <w:marTop w:val="0"/>
          <w:marBottom w:val="0"/>
          <w:divBdr>
            <w:top w:val="none" w:sz="0" w:space="0" w:color="auto"/>
            <w:left w:val="none" w:sz="0" w:space="0" w:color="auto"/>
            <w:bottom w:val="none" w:sz="0" w:space="0" w:color="auto"/>
            <w:right w:val="none" w:sz="0" w:space="0" w:color="auto"/>
          </w:divBdr>
        </w:div>
        <w:div w:id="558129233">
          <w:marLeft w:val="0"/>
          <w:marRight w:val="0"/>
          <w:marTop w:val="0"/>
          <w:marBottom w:val="0"/>
          <w:divBdr>
            <w:top w:val="none" w:sz="0" w:space="0" w:color="auto"/>
            <w:left w:val="none" w:sz="0" w:space="0" w:color="auto"/>
            <w:bottom w:val="none" w:sz="0" w:space="0" w:color="auto"/>
            <w:right w:val="none" w:sz="0" w:space="0" w:color="auto"/>
          </w:divBdr>
        </w:div>
        <w:div w:id="621497273">
          <w:marLeft w:val="0"/>
          <w:marRight w:val="0"/>
          <w:marTop w:val="0"/>
          <w:marBottom w:val="0"/>
          <w:divBdr>
            <w:top w:val="none" w:sz="0" w:space="0" w:color="auto"/>
            <w:left w:val="none" w:sz="0" w:space="0" w:color="auto"/>
            <w:bottom w:val="none" w:sz="0" w:space="0" w:color="auto"/>
            <w:right w:val="none" w:sz="0" w:space="0" w:color="auto"/>
          </w:divBdr>
        </w:div>
        <w:div w:id="815268141">
          <w:marLeft w:val="0"/>
          <w:marRight w:val="0"/>
          <w:marTop w:val="0"/>
          <w:marBottom w:val="0"/>
          <w:divBdr>
            <w:top w:val="none" w:sz="0" w:space="0" w:color="auto"/>
            <w:left w:val="none" w:sz="0" w:space="0" w:color="auto"/>
            <w:bottom w:val="none" w:sz="0" w:space="0" w:color="auto"/>
            <w:right w:val="none" w:sz="0" w:space="0" w:color="auto"/>
          </w:divBdr>
        </w:div>
        <w:div w:id="820384378">
          <w:marLeft w:val="0"/>
          <w:marRight w:val="0"/>
          <w:marTop w:val="0"/>
          <w:marBottom w:val="0"/>
          <w:divBdr>
            <w:top w:val="none" w:sz="0" w:space="0" w:color="auto"/>
            <w:left w:val="none" w:sz="0" w:space="0" w:color="auto"/>
            <w:bottom w:val="none" w:sz="0" w:space="0" w:color="auto"/>
            <w:right w:val="none" w:sz="0" w:space="0" w:color="auto"/>
          </w:divBdr>
        </w:div>
        <w:div w:id="1016613363">
          <w:marLeft w:val="0"/>
          <w:marRight w:val="0"/>
          <w:marTop w:val="0"/>
          <w:marBottom w:val="0"/>
          <w:divBdr>
            <w:top w:val="none" w:sz="0" w:space="0" w:color="auto"/>
            <w:left w:val="none" w:sz="0" w:space="0" w:color="auto"/>
            <w:bottom w:val="none" w:sz="0" w:space="0" w:color="auto"/>
            <w:right w:val="none" w:sz="0" w:space="0" w:color="auto"/>
          </w:divBdr>
        </w:div>
        <w:div w:id="1093671516">
          <w:marLeft w:val="0"/>
          <w:marRight w:val="0"/>
          <w:marTop w:val="0"/>
          <w:marBottom w:val="0"/>
          <w:divBdr>
            <w:top w:val="none" w:sz="0" w:space="0" w:color="auto"/>
            <w:left w:val="none" w:sz="0" w:space="0" w:color="auto"/>
            <w:bottom w:val="none" w:sz="0" w:space="0" w:color="auto"/>
            <w:right w:val="none" w:sz="0" w:space="0" w:color="auto"/>
          </w:divBdr>
        </w:div>
        <w:div w:id="1115296255">
          <w:marLeft w:val="0"/>
          <w:marRight w:val="0"/>
          <w:marTop w:val="0"/>
          <w:marBottom w:val="0"/>
          <w:divBdr>
            <w:top w:val="none" w:sz="0" w:space="0" w:color="auto"/>
            <w:left w:val="none" w:sz="0" w:space="0" w:color="auto"/>
            <w:bottom w:val="none" w:sz="0" w:space="0" w:color="auto"/>
            <w:right w:val="none" w:sz="0" w:space="0" w:color="auto"/>
          </w:divBdr>
        </w:div>
        <w:div w:id="1154953508">
          <w:marLeft w:val="0"/>
          <w:marRight w:val="0"/>
          <w:marTop w:val="0"/>
          <w:marBottom w:val="0"/>
          <w:divBdr>
            <w:top w:val="none" w:sz="0" w:space="0" w:color="auto"/>
            <w:left w:val="none" w:sz="0" w:space="0" w:color="auto"/>
            <w:bottom w:val="none" w:sz="0" w:space="0" w:color="auto"/>
            <w:right w:val="none" w:sz="0" w:space="0" w:color="auto"/>
          </w:divBdr>
        </w:div>
        <w:div w:id="1229339703">
          <w:marLeft w:val="0"/>
          <w:marRight w:val="0"/>
          <w:marTop w:val="0"/>
          <w:marBottom w:val="0"/>
          <w:divBdr>
            <w:top w:val="none" w:sz="0" w:space="0" w:color="auto"/>
            <w:left w:val="none" w:sz="0" w:space="0" w:color="auto"/>
            <w:bottom w:val="none" w:sz="0" w:space="0" w:color="auto"/>
            <w:right w:val="none" w:sz="0" w:space="0" w:color="auto"/>
          </w:divBdr>
        </w:div>
        <w:div w:id="1243101266">
          <w:marLeft w:val="0"/>
          <w:marRight w:val="0"/>
          <w:marTop w:val="0"/>
          <w:marBottom w:val="0"/>
          <w:divBdr>
            <w:top w:val="none" w:sz="0" w:space="0" w:color="auto"/>
            <w:left w:val="none" w:sz="0" w:space="0" w:color="auto"/>
            <w:bottom w:val="none" w:sz="0" w:space="0" w:color="auto"/>
            <w:right w:val="none" w:sz="0" w:space="0" w:color="auto"/>
          </w:divBdr>
        </w:div>
        <w:div w:id="1366710581">
          <w:marLeft w:val="0"/>
          <w:marRight w:val="0"/>
          <w:marTop w:val="0"/>
          <w:marBottom w:val="0"/>
          <w:divBdr>
            <w:top w:val="none" w:sz="0" w:space="0" w:color="auto"/>
            <w:left w:val="none" w:sz="0" w:space="0" w:color="auto"/>
            <w:bottom w:val="none" w:sz="0" w:space="0" w:color="auto"/>
            <w:right w:val="none" w:sz="0" w:space="0" w:color="auto"/>
          </w:divBdr>
        </w:div>
        <w:div w:id="1425493600">
          <w:marLeft w:val="0"/>
          <w:marRight w:val="0"/>
          <w:marTop w:val="0"/>
          <w:marBottom w:val="0"/>
          <w:divBdr>
            <w:top w:val="none" w:sz="0" w:space="0" w:color="auto"/>
            <w:left w:val="none" w:sz="0" w:space="0" w:color="auto"/>
            <w:bottom w:val="none" w:sz="0" w:space="0" w:color="auto"/>
            <w:right w:val="none" w:sz="0" w:space="0" w:color="auto"/>
          </w:divBdr>
        </w:div>
        <w:div w:id="1428501705">
          <w:marLeft w:val="0"/>
          <w:marRight w:val="0"/>
          <w:marTop w:val="0"/>
          <w:marBottom w:val="0"/>
          <w:divBdr>
            <w:top w:val="none" w:sz="0" w:space="0" w:color="auto"/>
            <w:left w:val="none" w:sz="0" w:space="0" w:color="auto"/>
            <w:bottom w:val="none" w:sz="0" w:space="0" w:color="auto"/>
            <w:right w:val="none" w:sz="0" w:space="0" w:color="auto"/>
          </w:divBdr>
        </w:div>
        <w:div w:id="1475637722">
          <w:marLeft w:val="0"/>
          <w:marRight w:val="0"/>
          <w:marTop w:val="0"/>
          <w:marBottom w:val="0"/>
          <w:divBdr>
            <w:top w:val="none" w:sz="0" w:space="0" w:color="auto"/>
            <w:left w:val="none" w:sz="0" w:space="0" w:color="auto"/>
            <w:bottom w:val="none" w:sz="0" w:space="0" w:color="auto"/>
            <w:right w:val="none" w:sz="0" w:space="0" w:color="auto"/>
          </w:divBdr>
        </w:div>
        <w:div w:id="1600482877">
          <w:marLeft w:val="0"/>
          <w:marRight w:val="0"/>
          <w:marTop w:val="0"/>
          <w:marBottom w:val="0"/>
          <w:divBdr>
            <w:top w:val="none" w:sz="0" w:space="0" w:color="auto"/>
            <w:left w:val="none" w:sz="0" w:space="0" w:color="auto"/>
            <w:bottom w:val="none" w:sz="0" w:space="0" w:color="auto"/>
            <w:right w:val="none" w:sz="0" w:space="0" w:color="auto"/>
          </w:divBdr>
        </w:div>
        <w:div w:id="1666276688">
          <w:marLeft w:val="0"/>
          <w:marRight w:val="0"/>
          <w:marTop w:val="0"/>
          <w:marBottom w:val="0"/>
          <w:divBdr>
            <w:top w:val="none" w:sz="0" w:space="0" w:color="auto"/>
            <w:left w:val="none" w:sz="0" w:space="0" w:color="auto"/>
            <w:bottom w:val="none" w:sz="0" w:space="0" w:color="auto"/>
            <w:right w:val="none" w:sz="0" w:space="0" w:color="auto"/>
          </w:divBdr>
        </w:div>
        <w:div w:id="1689990244">
          <w:marLeft w:val="0"/>
          <w:marRight w:val="0"/>
          <w:marTop w:val="0"/>
          <w:marBottom w:val="0"/>
          <w:divBdr>
            <w:top w:val="none" w:sz="0" w:space="0" w:color="auto"/>
            <w:left w:val="none" w:sz="0" w:space="0" w:color="auto"/>
            <w:bottom w:val="none" w:sz="0" w:space="0" w:color="auto"/>
            <w:right w:val="none" w:sz="0" w:space="0" w:color="auto"/>
          </w:divBdr>
        </w:div>
        <w:div w:id="1818305836">
          <w:marLeft w:val="0"/>
          <w:marRight w:val="0"/>
          <w:marTop w:val="0"/>
          <w:marBottom w:val="0"/>
          <w:divBdr>
            <w:top w:val="none" w:sz="0" w:space="0" w:color="auto"/>
            <w:left w:val="none" w:sz="0" w:space="0" w:color="auto"/>
            <w:bottom w:val="none" w:sz="0" w:space="0" w:color="auto"/>
            <w:right w:val="none" w:sz="0" w:space="0" w:color="auto"/>
          </w:divBdr>
        </w:div>
        <w:div w:id="1877697099">
          <w:marLeft w:val="0"/>
          <w:marRight w:val="0"/>
          <w:marTop w:val="0"/>
          <w:marBottom w:val="0"/>
          <w:divBdr>
            <w:top w:val="none" w:sz="0" w:space="0" w:color="auto"/>
            <w:left w:val="none" w:sz="0" w:space="0" w:color="auto"/>
            <w:bottom w:val="none" w:sz="0" w:space="0" w:color="auto"/>
            <w:right w:val="none" w:sz="0" w:space="0" w:color="auto"/>
          </w:divBdr>
        </w:div>
        <w:div w:id="2045446610">
          <w:marLeft w:val="0"/>
          <w:marRight w:val="0"/>
          <w:marTop w:val="0"/>
          <w:marBottom w:val="0"/>
          <w:divBdr>
            <w:top w:val="none" w:sz="0" w:space="0" w:color="auto"/>
            <w:left w:val="none" w:sz="0" w:space="0" w:color="auto"/>
            <w:bottom w:val="none" w:sz="0" w:space="0" w:color="auto"/>
            <w:right w:val="none" w:sz="0" w:space="0" w:color="auto"/>
          </w:divBdr>
        </w:div>
      </w:divsChild>
    </w:div>
    <w:div w:id="889923091">
      <w:bodyDiv w:val="1"/>
      <w:marLeft w:val="0"/>
      <w:marRight w:val="0"/>
      <w:marTop w:val="0"/>
      <w:marBottom w:val="0"/>
      <w:divBdr>
        <w:top w:val="none" w:sz="0" w:space="0" w:color="auto"/>
        <w:left w:val="none" w:sz="0" w:space="0" w:color="auto"/>
        <w:bottom w:val="none" w:sz="0" w:space="0" w:color="auto"/>
        <w:right w:val="none" w:sz="0" w:space="0" w:color="auto"/>
      </w:divBdr>
      <w:divsChild>
        <w:div w:id="529756056">
          <w:marLeft w:val="0"/>
          <w:marRight w:val="0"/>
          <w:marTop w:val="0"/>
          <w:marBottom w:val="0"/>
          <w:divBdr>
            <w:top w:val="none" w:sz="0" w:space="0" w:color="auto"/>
            <w:left w:val="none" w:sz="0" w:space="0" w:color="auto"/>
            <w:bottom w:val="none" w:sz="0" w:space="0" w:color="auto"/>
            <w:right w:val="none" w:sz="0" w:space="0" w:color="auto"/>
          </w:divBdr>
          <w:divsChild>
            <w:div w:id="563639969">
              <w:marLeft w:val="0"/>
              <w:marRight w:val="0"/>
              <w:marTop w:val="0"/>
              <w:marBottom w:val="0"/>
              <w:divBdr>
                <w:top w:val="none" w:sz="0" w:space="0" w:color="auto"/>
                <w:left w:val="none" w:sz="0" w:space="0" w:color="auto"/>
                <w:bottom w:val="none" w:sz="0" w:space="0" w:color="auto"/>
                <w:right w:val="none" w:sz="0" w:space="0" w:color="auto"/>
              </w:divBdr>
              <w:divsChild>
                <w:div w:id="61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1350">
      <w:bodyDiv w:val="1"/>
      <w:marLeft w:val="0"/>
      <w:marRight w:val="0"/>
      <w:marTop w:val="0"/>
      <w:marBottom w:val="0"/>
      <w:divBdr>
        <w:top w:val="none" w:sz="0" w:space="0" w:color="auto"/>
        <w:left w:val="none" w:sz="0" w:space="0" w:color="auto"/>
        <w:bottom w:val="none" w:sz="0" w:space="0" w:color="auto"/>
        <w:right w:val="none" w:sz="0" w:space="0" w:color="auto"/>
      </w:divBdr>
    </w:div>
    <w:div w:id="1151629996">
      <w:bodyDiv w:val="1"/>
      <w:marLeft w:val="0"/>
      <w:marRight w:val="0"/>
      <w:marTop w:val="0"/>
      <w:marBottom w:val="0"/>
      <w:divBdr>
        <w:top w:val="none" w:sz="0" w:space="0" w:color="auto"/>
        <w:left w:val="none" w:sz="0" w:space="0" w:color="auto"/>
        <w:bottom w:val="none" w:sz="0" w:space="0" w:color="auto"/>
        <w:right w:val="none" w:sz="0" w:space="0" w:color="auto"/>
      </w:divBdr>
      <w:divsChild>
        <w:div w:id="115149191">
          <w:marLeft w:val="0"/>
          <w:marRight w:val="0"/>
          <w:marTop w:val="0"/>
          <w:marBottom w:val="0"/>
          <w:divBdr>
            <w:top w:val="none" w:sz="0" w:space="0" w:color="auto"/>
            <w:left w:val="none" w:sz="0" w:space="0" w:color="auto"/>
            <w:bottom w:val="none" w:sz="0" w:space="0" w:color="auto"/>
            <w:right w:val="none" w:sz="0" w:space="0" w:color="auto"/>
          </w:divBdr>
        </w:div>
        <w:div w:id="714736134">
          <w:marLeft w:val="0"/>
          <w:marRight w:val="0"/>
          <w:marTop w:val="0"/>
          <w:marBottom w:val="0"/>
          <w:divBdr>
            <w:top w:val="none" w:sz="0" w:space="0" w:color="auto"/>
            <w:left w:val="none" w:sz="0" w:space="0" w:color="auto"/>
            <w:bottom w:val="none" w:sz="0" w:space="0" w:color="auto"/>
            <w:right w:val="none" w:sz="0" w:space="0" w:color="auto"/>
          </w:divBdr>
        </w:div>
        <w:div w:id="1101679583">
          <w:marLeft w:val="0"/>
          <w:marRight w:val="0"/>
          <w:marTop w:val="0"/>
          <w:marBottom w:val="0"/>
          <w:divBdr>
            <w:top w:val="none" w:sz="0" w:space="0" w:color="auto"/>
            <w:left w:val="none" w:sz="0" w:space="0" w:color="auto"/>
            <w:bottom w:val="none" w:sz="0" w:space="0" w:color="auto"/>
            <w:right w:val="none" w:sz="0" w:space="0" w:color="auto"/>
          </w:divBdr>
        </w:div>
        <w:div w:id="1108503650">
          <w:marLeft w:val="0"/>
          <w:marRight w:val="0"/>
          <w:marTop w:val="0"/>
          <w:marBottom w:val="0"/>
          <w:divBdr>
            <w:top w:val="none" w:sz="0" w:space="0" w:color="auto"/>
            <w:left w:val="none" w:sz="0" w:space="0" w:color="auto"/>
            <w:bottom w:val="none" w:sz="0" w:space="0" w:color="auto"/>
            <w:right w:val="none" w:sz="0" w:space="0" w:color="auto"/>
          </w:divBdr>
        </w:div>
        <w:div w:id="1153257888">
          <w:marLeft w:val="0"/>
          <w:marRight w:val="0"/>
          <w:marTop w:val="0"/>
          <w:marBottom w:val="0"/>
          <w:divBdr>
            <w:top w:val="none" w:sz="0" w:space="0" w:color="auto"/>
            <w:left w:val="none" w:sz="0" w:space="0" w:color="auto"/>
            <w:bottom w:val="none" w:sz="0" w:space="0" w:color="auto"/>
            <w:right w:val="none" w:sz="0" w:space="0" w:color="auto"/>
          </w:divBdr>
        </w:div>
        <w:div w:id="1868564850">
          <w:marLeft w:val="0"/>
          <w:marRight w:val="0"/>
          <w:marTop w:val="0"/>
          <w:marBottom w:val="0"/>
          <w:divBdr>
            <w:top w:val="none" w:sz="0" w:space="0" w:color="auto"/>
            <w:left w:val="none" w:sz="0" w:space="0" w:color="auto"/>
            <w:bottom w:val="none" w:sz="0" w:space="0" w:color="auto"/>
            <w:right w:val="none" w:sz="0" w:space="0" w:color="auto"/>
          </w:divBdr>
        </w:div>
        <w:div w:id="1942758681">
          <w:marLeft w:val="0"/>
          <w:marRight w:val="0"/>
          <w:marTop w:val="0"/>
          <w:marBottom w:val="0"/>
          <w:divBdr>
            <w:top w:val="none" w:sz="0" w:space="0" w:color="auto"/>
            <w:left w:val="none" w:sz="0" w:space="0" w:color="auto"/>
            <w:bottom w:val="none" w:sz="0" w:space="0" w:color="auto"/>
            <w:right w:val="none" w:sz="0" w:space="0" w:color="auto"/>
          </w:divBdr>
        </w:div>
        <w:div w:id="2134785801">
          <w:marLeft w:val="0"/>
          <w:marRight w:val="0"/>
          <w:marTop w:val="0"/>
          <w:marBottom w:val="0"/>
          <w:divBdr>
            <w:top w:val="none" w:sz="0" w:space="0" w:color="auto"/>
            <w:left w:val="none" w:sz="0" w:space="0" w:color="auto"/>
            <w:bottom w:val="none" w:sz="0" w:space="0" w:color="auto"/>
            <w:right w:val="none" w:sz="0" w:space="0" w:color="auto"/>
          </w:divBdr>
        </w:div>
      </w:divsChild>
    </w:div>
    <w:div w:id="1162618664">
      <w:bodyDiv w:val="1"/>
      <w:marLeft w:val="0"/>
      <w:marRight w:val="0"/>
      <w:marTop w:val="0"/>
      <w:marBottom w:val="0"/>
      <w:divBdr>
        <w:top w:val="none" w:sz="0" w:space="0" w:color="auto"/>
        <w:left w:val="none" w:sz="0" w:space="0" w:color="auto"/>
        <w:bottom w:val="none" w:sz="0" w:space="0" w:color="auto"/>
        <w:right w:val="none" w:sz="0" w:space="0" w:color="auto"/>
      </w:divBdr>
      <w:divsChild>
        <w:div w:id="2063747973">
          <w:marLeft w:val="0"/>
          <w:marRight w:val="0"/>
          <w:marTop w:val="0"/>
          <w:marBottom w:val="0"/>
          <w:divBdr>
            <w:top w:val="none" w:sz="0" w:space="0" w:color="auto"/>
            <w:left w:val="none" w:sz="0" w:space="0" w:color="auto"/>
            <w:bottom w:val="none" w:sz="0" w:space="0" w:color="auto"/>
            <w:right w:val="none" w:sz="0" w:space="0" w:color="auto"/>
          </w:divBdr>
          <w:divsChild>
            <w:div w:id="65689035">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292184">
      <w:bodyDiv w:val="1"/>
      <w:marLeft w:val="0"/>
      <w:marRight w:val="0"/>
      <w:marTop w:val="0"/>
      <w:marBottom w:val="0"/>
      <w:divBdr>
        <w:top w:val="none" w:sz="0" w:space="0" w:color="auto"/>
        <w:left w:val="none" w:sz="0" w:space="0" w:color="auto"/>
        <w:bottom w:val="none" w:sz="0" w:space="0" w:color="auto"/>
        <w:right w:val="none" w:sz="0" w:space="0" w:color="auto"/>
      </w:divBdr>
      <w:divsChild>
        <w:div w:id="1605840527">
          <w:marLeft w:val="0"/>
          <w:marRight w:val="0"/>
          <w:marTop w:val="0"/>
          <w:marBottom w:val="0"/>
          <w:divBdr>
            <w:top w:val="none" w:sz="0" w:space="0" w:color="auto"/>
            <w:left w:val="none" w:sz="0" w:space="0" w:color="auto"/>
            <w:bottom w:val="none" w:sz="0" w:space="0" w:color="auto"/>
            <w:right w:val="none" w:sz="0" w:space="0" w:color="auto"/>
          </w:divBdr>
          <w:divsChild>
            <w:div w:id="2059889350">
              <w:marLeft w:val="0"/>
              <w:marRight w:val="0"/>
              <w:marTop w:val="0"/>
              <w:marBottom w:val="0"/>
              <w:divBdr>
                <w:top w:val="none" w:sz="0" w:space="0" w:color="auto"/>
                <w:left w:val="none" w:sz="0" w:space="0" w:color="auto"/>
                <w:bottom w:val="none" w:sz="0" w:space="0" w:color="auto"/>
                <w:right w:val="none" w:sz="0" w:space="0" w:color="auto"/>
              </w:divBdr>
              <w:divsChild>
                <w:div w:id="14782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5484">
      <w:bodyDiv w:val="1"/>
      <w:marLeft w:val="0"/>
      <w:marRight w:val="0"/>
      <w:marTop w:val="0"/>
      <w:marBottom w:val="0"/>
      <w:divBdr>
        <w:top w:val="none" w:sz="0" w:space="0" w:color="auto"/>
        <w:left w:val="none" w:sz="0" w:space="0" w:color="auto"/>
        <w:bottom w:val="none" w:sz="0" w:space="0" w:color="auto"/>
        <w:right w:val="none" w:sz="0" w:space="0" w:color="auto"/>
      </w:divBdr>
      <w:divsChild>
        <w:div w:id="1173102880">
          <w:marLeft w:val="0"/>
          <w:marRight w:val="0"/>
          <w:marTop w:val="0"/>
          <w:marBottom w:val="0"/>
          <w:divBdr>
            <w:top w:val="none" w:sz="0" w:space="0" w:color="auto"/>
            <w:left w:val="none" w:sz="0" w:space="0" w:color="auto"/>
            <w:bottom w:val="none" w:sz="0" w:space="0" w:color="auto"/>
            <w:right w:val="none" w:sz="0" w:space="0" w:color="auto"/>
          </w:divBdr>
          <w:divsChild>
            <w:div w:id="2113354284">
              <w:marLeft w:val="0"/>
              <w:marRight w:val="0"/>
              <w:marTop w:val="0"/>
              <w:marBottom w:val="0"/>
              <w:divBdr>
                <w:top w:val="none" w:sz="0" w:space="0" w:color="auto"/>
                <w:left w:val="none" w:sz="0" w:space="0" w:color="auto"/>
                <w:bottom w:val="none" w:sz="0" w:space="0" w:color="auto"/>
                <w:right w:val="none" w:sz="0" w:space="0" w:color="auto"/>
              </w:divBdr>
              <w:divsChild>
                <w:div w:id="3778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7633">
      <w:bodyDiv w:val="1"/>
      <w:marLeft w:val="0"/>
      <w:marRight w:val="0"/>
      <w:marTop w:val="0"/>
      <w:marBottom w:val="0"/>
      <w:divBdr>
        <w:top w:val="none" w:sz="0" w:space="0" w:color="auto"/>
        <w:left w:val="none" w:sz="0" w:space="0" w:color="auto"/>
        <w:bottom w:val="none" w:sz="0" w:space="0" w:color="auto"/>
        <w:right w:val="none" w:sz="0" w:space="0" w:color="auto"/>
      </w:divBdr>
      <w:divsChild>
        <w:div w:id="498890826">
          <w:marLeft w:val="0"/>
          <w:marRight w:val="0"/>
          <w:marTop w:val="0"/>
          <w:marBottom w:val="0"/>
          <w:divBdr>
            <w:top w:val="none" w:sz="0" w:space="0" w:color="auto"/>
            <w:left w:val="none" w:sz="0" w:space="0" w:color="auto"/>
            <w:bottom w:val="none" w:sz="0" w:space="0" w:color="auto"/>
            <w:right w:val="none" w:sz="0" w:space="0" w:color="auto"/>
          </w:divBdr>
          <w:divsChild>
            <w:div w:id="2057123367">
              <w:marLeft w:val="0"/>
              <w:marRight w:val="0"/>
              <w:marTop w:val="0"/>
              <w:marBottom w:val="0"/>
              <w:divBdr>
                <w:top w:val="none" w:sz="0" w:space="0" w:color="auto"/>
                <w:left w:val="none" w:sz="0" w:space="0" w:color="auto"/>
                <w:bottom w:val="none" w:sz="0" w:space="0" w:color="auto"/>
                <w:right w:val="none" w:sz="0" w:space="0" w:color="auto"/>
              </w:divBdr>
              <w:divsChild>
                <w:div w:id="11604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89322">
      <w:bodyDiv w:val="1"/>
      <w:marLeft w:val="0"/>
      <w:marRight w:val="0"/>
      <w:marTop w:val="0"/>
      <w:marBottom w:val="0"/>
      <w:divBdr>
        <w:top w:val="none" w:sz="0" w:space="0" w:color="auto"/>
        <w:left w:val="none" w:sz="0" w:space="0" w:color="auto"/>
        <w:bottom w:val="none" w:sz="0" w:space="0" w:color="auto"/>
        <w:right w:val="none" w:sz="0" w:space="0" w:color="auto"/>
      </w:divBdr>
      <w:divsChild>
        <w:div w:id="1781992961">
          <w:marLeft w:val="0"/>
          <w:marRight w:val="0"/>
          <w:marTop w:val="0"/>
          <w:marBottom w:val="0"/>
          <w:divBdr>
            <w:top w:val="none" w:sz="0" w:space="0" w:color="auto"/>
            <w:left w:val="none" w:sz="0" w:space="0" w:color="auto"/>
            <w:bottom w:val="none" w:sz="0" w:space="0" w:color="auto"/>
            <w:right w:val="none" w:sz="0" w:space="0" w:color="auto"/>
          </w:divBdr>
          <w:divsChild>
            <w:div w:id="182549108">
              <w:marLeft w:val="0"/>
              <w:marRight w:val="0"/>
              <w:marTop w:val="0"/>
              <w:marBottom w:val="0"/>
              <w:divBdr>
                <w:top w:val="none" w:sz="0" w:space="0" w:color="auto"/>
                <w:left w:val="none" w:sz="0" w:space="0" w:color="auto"/>
                <w:bottom w:val="none" w:sz="0" w:space="0" w:color="auto"/>
                <w:right w:val="none" w:sz="0" w:space="0" w:color="auto"/>
              </w:divBdr>
              <w:divsChild>
                <w:div w:id="14460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10864">
      <w:bodyDiv w:val="1"/>
      <w:marLeft w:val="0"/>
      <w:marRight w:val="0"/>
      <w:marTop w:val="0"/>
      <w:marBottom w:val="0"/>
      <w:divBdr>
        <w:top w:val="none" w:sz="0" w:space="0" w:color="auto"/>
        <w:left w:val="none" w:sz="0" w:space="0" w:color="auto"/>
        <w:bottom w:val="none" w:sz="0" w:space="0" w:color="auto"/>
        <w:right w:val="none" w:sz="0" w:space="0" w:color="auto"/>
      </w:divBdr>
      <w:divsChild>
        <w:div w:id="876507943">
          <w:marLeft w:val="0"/>
          <w:marRight w:val="0"/>
          <w:marTop w:val="0"/>
          <w:marBottom w:val="0"/>
          <w:divBdr>
            <w:top w:val="none" w:sz="0" w:space="0" w:color="auto"/>
            <w:left w:val="none" w:sz="0" w:space="0" w:color="auto"/>
            <w:bottom w:val="none" w:sz="0" w:space="0" w:color="auto"/>
            <w:right w:val="none" w:sz="0" w:space="0" w:color="auto"/>
          </w:divBdr>
          <w:divsChild>
            <w:div w:id="2021933842">
              <w:marLeft w:val="0"/>
              <w:marRight w:val="0"/>
              <w:marTop w:val="0"/>
              <w:marBottom w:val="0"/>
              <w:divBdr>
                <w:top w:val="none" w:sz="0" w:space="0" w:color="auto"/>
                <w:left w:val="none" w:sz="0" w:space="0" w:color="auto"/>
                <w:bottom w:val="none" w:sz="0" w:space="0" w:color="auto"/>
                <w:right w:val="none" w:sz="0" w:space="0" w:color="auto"/>
              </w:divBdr>
              <w:divsChild>
                <w:div w:id="115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90406">
      <w:bodyDiv w:val="1"/>
      <w:marLeft w:val="0"/>
      <w:marRight w:val="0"/>
      <w:marTop w:val="0"/>
      <w:marBottom w:val="0"/>
      <w:divBdr>
        <w:top w:val="none" w:sz="0" w:space="0" w:color="auto"/>
        <w:left w:val="none" w:sz="0" w:space="0" w:color="auto"/>
        <w:bottom w:val="none" w:sz="0" w:space="0" w:color="auto"/>
        <w:right w:val="none" w:sz="0" w:space="0" w:color="auto"/>
      </w:divBdr>
      <w:divsChild>
        <w:div w:id="934441040">
          <w:marLeft w:val="0"/>
          <w:marRight w:val="0"/>
          <w:marTop w:val="0"/>
          <w:marBottom w:val="0"/>
          <w:divBdr>
            <w:top w:val="none" w:sz="0" w:space="0" w:color="auto"/>
            <w:left w:val="none" w:sz="0" w:space="0" w:color="auto"/>
            <w:bottom w:val="none" w:sz="0" w:space="0" w:color="auto"/>
            <w:right w:val="none" w:sz="0" w:space="0" w:color="auto"/>
          </w:divBdr>
          <w:divsChild>
            <w:div w:id="903838573">
              <w:marLeft w:val="0"/>
              <w:marRight w:val="0"/>
              <w:marTop w:val="0"/>
              <w:marBottom w:val="0"/>
              <w:divBdr>
                <w:top w:val="none" w:sz="0" w:space="0" w:color="auto"/>
                <w:left w:val="none" w:sz="0" w:space="0" w:color="auto"/>
                <w:bottom w:val="none" w:sz="0" w:space="0" w:color="auto"/>
                <w:right w:val="none" w:sz="0" w:space="0" w:color="auto"/>
              </w:divBdr>
              <w:divsChild>
                <w:div w:id="1289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 w:id="1309357041">
      <w:bodyDiv w:val="1"/>
      <w:marLeft w:val="0"/>
      <w:marRight w:val="0"/>
      <w:marTop w:val="0"/>
      <w:marBottom w:val="0"/>
      <w:divBdr>
        <w:top w:val="none" w:sz="0" w:space="0" w:color="auto"/>
        <w:left w:val="none" w:sz="0" w:space="0" w:color="auto"/>
        <w:bottom w:val="none" w:sz="0" w:space="0" w:color="auto"/>
        <w:right w:val="none" w:sz="0" w:space="0" w:color="auto"/>
      </w:divBdr>
      <w:divsChild>
        <w:div w:id="882600189">
          <w:marLeft w:val="0"/>
          <w:marRight w:val="0"/>
          <w:marTop w:val="0"/>
          <w:marBottom w:val="0"/>
          <w:divBdr>
            <w:top w:val="none" w:sz="0" w:space="0" w:color="auto"/>
            <w:left w:val="none" w:sz="0" w:space="0" w:color="auto"/>
            <w:bottom w:val="none" w:sz="0" w:space="0" w:color="auto"/>
            <w:right w:val="none" w:sz="0" w:space="0" w:color="auto"/>
          </w:divBdr>
          <w:divsChild>
            <w:div w:id="1703826783">
              <w:marLeft w:val="0"/>
              <w:marRight w:val="0"/>
              <w:marTop w:val="0"/>
              <w:marBottom w:val="0"/>
              <w:divBdr>
                <w:top w:val="none" w:sz="0" w:space="0" w:color="auto"/>
                <w:left w:val="none" w:sz="0" w:space="0" w:color="auto"/>
                <w:bottom w:val="none" w:sz="0" w:space="0" w:color="auto"/>
                <w:right w:val="none" w:sz="0" w:space="0" w:color="auto"/>
              </w:divBdr>
              <w:divsChild>
                <w:div w:id="2073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06964">
      <w:bodyDiv w:val="1"/>
      <w:marLeft w:val="0"/>
      <w:marRight w:val="0"/>
      <w:marTop w:val="0"/>
      <w:marBottom w:val="0"/>
      <w:divBdr>
        <w:top w:val="none" w:sz="0" w:space="0" w:color="auto"/>
        <w:left w:val="none" w:sz="0" w:space="0" w:color="auto"/>
        <w:bottom w:val="none" w:sz="0" w:space="0" w:color="auto"/>
        <w:right w:val="none" w:sz="0" w:space="0" w:color="auto"/>
      </w:divBdr>
    </w:div>
    <w:div w:id="1489244583">
      <w:bodyDiv w:val="1"/>
      <w:marLeft w:val="0"/>
      <w:marRight w:val="0"/>
      <w:marTop w:val="0"/>
      <w:marBottom w:val="0"/>
      <w:divBdr>
        <w:top w:val="none" w:sz="0" w:space="0" w:color="auto"/>
        <w:left w:val="none" w:sz="0" w:space="0" w:color="auto"/>
        <w:bottom w:val="none" w:sz="0" w:space="0" w:color="auto"/>
        <w:right w:val="none" w:sz="0" w:space="0" w:color="auto"/>
      </w:divBdr>
      <w:divsChild>
        <w:div w:id="783615285">
          <w:marLeft w:val="0"/>
          <w:marRight w:val="0"/>
          <w:marTop w:val="0"/>
          <w:marBottom w:val="0"/>
          <w:divBdr>
            <w:top w:val="none" w:sz="0" w:space="0" w:color="auto"/>
            <w:left w:val="none" w:sz="0" w:space="0" w:color="auto"/>
            <w:bottom w:val="none" w:sz="0" w:space="0" w:color="auto"/>
            <w:right w:val="none" w:sz="0" w:space="0" w:color="auto"/>
          </w:divBdr>
          <w:divsChild>
            <w:div w:id="1483498507">
              <w:marLeft w:val="0"/>
              <w:marRight w:val="0"/>
              <w:marTop w:val="0"/>
              <w:marBottom w:val="0"/>
              <w:divBdr>
                <w:top w:val="none" w:sz="0" w:space="0" w:color="auto"/>
                <w:left w:val="none" w:sz="0" w:space="0" w:color="auto"/>
                <w:bottom w:val="none" w:sz="0" w:space="0" w:color="auto"/>
                <w:right w:val="none" w:sz="0" w:space="0" w:color="auto"/>
              </w:divBdr>
              <w:divsChild>
                <w:div w:id="20417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59111">
      <w:bodyDiv w:val="1"/>
      <w:marLeft w:val="0"/>
      <w:marRight w:val="0"/>
      <w:marTop w:val="0"/>
      <w:marBottom w:val="0"/>
      <w:divBdr>
        <w:top w:val="none" w:sz="0" w:space="0" w:color="auto"/>
        <w:left w:val="none" w:sz="0" w:space="0" w:color="auto"/>
        <w:bottom w:val="none" w:sz="0" w:space="0" w:color="auto"/>
        <w:right w:val="none" w:sz="0" w:space="0" w:color="auto"/>
      </w:divBdr>
      <w:divsChild>
        <w:div w:id="970985666">
          <w:marLeft w:val="0"/>
          <w:marRight w:val="0"/>
          <w:marTop w:val="0"/>
          <w:marBottom w:val="0"/>
          <w:divBdr>
            <w:top w:val="none" w:sz="0" w:space="0" w:color="auto"/>
            <w:left w:val="none" w:sz="0" w:space="0" w:color="auto"/>
            <w:bottom w:val="none" w:sz="0" w:space="0" w:color="auto"/>
            <w:right w:val="none" w:sz="0" w:space="0" w:color="auto"/>
          </w:divBdr>
          <w:divsChild>
            <w:div w:id="350450087">
              <w:marLeft w:val="0"/>
              <w:marRight w:val="0"/>
              <w:marTop w:val="0"/>
              <w:marBottom w:val="0"/>
              <w:divBdr>
                <w:top w:val="none" w:sz="0" w:space="0" w:color="auto"/>
                <w:left w:val="none" w:sz="0" w:space="0" w:color="auto"/>
                <w:bottom w:val="none" w:sz="0" w:space="0" w:color="auto"/>
                <w:right w:val="none" w:sz="0" w:space="0" w:color="auto"/>
              </w:divBdr>
              <w:divsChild>
                <w:div w:id="87257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07789">
      <w:bodyDiv w:val="1"/>
      <w:marLeft w:val="0"/>
      <w:marRight w:val="0"/>
      <w:marTop w:val="0"/>
      <w:marBottom w:val="0"/>
      <w:divBdr>
        <w:top w:val="none" w:sz="0" w:space="0" w:color="auto"/>
        <w:left w:val="none" w:sz="0" w:space="0" w:color="auto"/>
        <w:bottom w:val="none" w:sz="0" w:space="0" w:color="auto"/>
        <w:right w:val="none" w:sz="0" w:space="0" w:color="auto"/>
      </w:divBdr>
      <w:divsChild>
        <w:div w:id="454905637">
          <w:marLeft w:val="0"/>
          <w:marRight w:val="0"/>
          <w:marTop w:val="0"/>
          <w:marBottom w:val="0"/>
          <w:divBdr>
            <w:top w:val="none" w:sz="0" w:space="0" w:color="auto"/>
            <w:left w:val="none" w:sz="0" w:space="0" w:color="auto"/>
            <w:bottom w:val="none" w:sz="0" w:space="0" w:color="auto"/>
            <w:right w:val="none" w:sz="0" w:space="0" w:color="auto"/>
          </w:divBdr>
          <w:divsChild>
            <w:div w:id="994456096">
              <w:marLeft w:val="0"/>
              <w:marRight w:val="0"/>
              <w:marTop w:val="0"/>
              <w:marBottom w:val="0"/>
              <w:divBdr>
                <w:top w:val="none" w:sz="0" w:space="0" w:color="auto"/>
                <w:left w:val="none" w:sz="0" w:space="0" w:color="auto"/>
                <w:bottom w:val="none" w:sz="0" w:space="0" w:color="auto"/>
                <w:right w:val="none" w:sz="0" w:space="0" w:color="auto"/>
              </w:divBdr>
              <w:divsChild>
                <w:div w:id="13069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34023">
      <w:bodyDiv w:val="1"/>
      <w:marLeft w:val="0"/>
      <w:marRight w:val="0"/>
      <w:marTop w:val="0"/>
      <w:marBottom w:val="0"/>
      <w:divBdr>
        <w:top w:val="none" w:sz="0" w:space="0" w:color="auto"/>
        <w:left w:val="none" w:sz="0" w:space="0" w:color="auto"/>
        <w:bottom w:val="none" w:sz="0" w:space="0" w:color="auto"/>
        <w:right w:val="none" w:sz="0" w:space="0" w:color="auto"/>
      </w:divBdr>
      <w:divsChild>
        <w:div w:id="1385638627">
          <w:marLeft w:val="0"/>
          <w:marRight w:val="0"/>
          <w:marTop w:val="0"/>
          <w:marBottom w:val="0"/>
          <w:divBdr>
            <w:top w:val="none" w:sz="0" w:space="0" w:color="auto"/>
            <w:left w:val="none" w:sz="0" w:space="0" w:color="auto"/>
            <w:bottom w:val="none" w:sz="0" w:space="0" w:color="auto"/>
            <w:right w:val="none" w:sz="0" w:space="0" w:color="auto"/>
          </w:divBdr>
          <w:divsChild>
            <w:div w:id="142740429">
              <w:marLeft w:val="0"/>
              <w:marRight w:val="0"/>
              <w:marTop w:val="0"/>
              <w:marBottom w:val="0"/>
              <w:divBdr>
                <w:top w:val="none" w:sz="0" w:space="0" w:color="auto"/>
                <w:left w:val="none" w:sz="0" w:space="0" w:color="auto"/>
                <w:bottom w:val="none" w:sz="0" w:space="0" w:color="auto"/>
                <w:right w:val="none" w:sz="0" w:space="0" w:color="auto"/>
              </w:divBdr>
              <w:divsChild>
                <w:div w:id="177570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50946">
      <w:bodyDiv w:val="1"/>
      <w:marLeft w:val="0"/>
      <w:marRight w:val="0"/>
      <w:marTop w:val="0"/>
      <w:marBottom w:val="0"/>
      <w:divBdr>
        <w:top w:val="none" w:sz="0" w:space="0" w:color="auto"/>
        <w:left w:val="none" w:sz="0" w:space="0" w:color="auto"/>
        <w:bottom w:val="none" w:sz="0" w:space="0" w:color="auto"/>
        <w:right w:val="none" w:sz="0" w:space="0" w:color="auto"/>
      </w:divBdr>
      <w:divsChild>
        <w:div w:id="2105689129">
          <w:marLeft w:val="0"/>
          <w:marRight w:val="0"/>
          <w:marTop w:val="0"/>
          <w:marBottom w:val="0"/>
          <w:divBdr>
            <w:top w:val="none" w:sz="0" w:space="0" w:color="auto"/>
            <w:left w:val="none" w:sz="0" w:space="0" w:color="auto"/>
            <w:bottom w:val="none" w:sz="0" w:space="0" w:color="auto"/>
            <w:right w:val="none" w:sz="0" w:space="0" w:color="auto"/>
          </w:divBdr>
          <w:divsChild>
            <w:div w:id="1622029849">
              <w:marLeft w:val="0"/>
              <w:marRight w:val="0"/>
              <w:marTop w:val="0"/>
              <w:marBottom w:val="0"/>
              <w:divBdr>
                <w:top w:val="none" w:sz="0" w:space="0" w:color="auto"/>
                <w:left w:val="none" w:sz="0" w:space="0" w:color="auto"/>
                <w:bottom w:val="none" w:sz="0" w:space="0" w:color="auto"/>
                <w:right w:val="none" w:sz="0" w:space="0" w:color="auto"/>
              </w:divBdr>
              <w:divsChild>
                <w:div w:id="5705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98677">
      <w:bodyDiv w:val="1"/>
      <w:marLeft w:val="0"/>
      <w:marRight w:val="0"/>
      <w:marTop w:val="0"/>
      <w:marBottom w:val="0"/>
      <w:divBdr>
        <w:top w:val="none" w:sz="0" w:space="0" w:color="auto"/>
        <w:left w:val="none" w:sz="0" w:space="0" w:color="auto"/>
        <w:bottom w:val="none" w:sz="0" w:space="0" w:color="auto"/>
        <w:right w:val="none" w:sz="0" w:space="0" w:color="auto"/>
      </w:divBdr>
    </w:div>
    <w:div w:id="1843229749">
      <w:bodyDiv w:val="1"/>
      <w:marLeft w:val="0"/>
      <w:marRight w:val="0"/>
      <w:marTop w:val="0"/>
      <w:marBottom w:val="0"/>
      <w:divBdr>
        <w:top w:val="none" w:sz="0" w:space="0" w:color="auto"/>
        <w:left w:val="none" w:sz="0" w:space="0" w:color="auto"/>
        <w:bottom w:val="none" w:sz="0" w:space="0" w:color="auto"/>
        <w:right w:val="none" w:sz="0" w:space="0" w:color="auto"/>
      </w:divBdr>
      <w:divsChild>
        <w:div w:id="393698720">
          <w:marLeft w:val="0"/>
          <w:marRight w:val="0"/>
          <w:marTop w:val="0"/>
          <w:marBottom w:val="0"/>
          <w:divBdr>
            <w:top w:val="none" w:sz="0" w:space="0" w:color="auto"/>
            <w:left w:val="none" w:sz="0" w:space="0" w:color="auto"/>
            <w:bottom w:val="none" w:sz="0" w:space="0" w:color="auto"/>
            <w:right w:val="none" w:sz="0" w:space="0" w:color="auto"/>
          </w:divBdr>
          <w:divsChild>
            <w:div w:id="1212352847">
              <w:marLeft w:val="0"/>
              <w:marRight w:val="0"/>
              <w:marTop w:val="0"/>
              <w:marBottom w:val="0"/>
              <w:divBdr>
                <w:top w:val="none" w:sz="0" w:space="0" w:color="auto"/>
                <w:left w:val="none" w:sz="0" w:space="0" w:color="auto"/>
                <w:bottom w:val="none" w:sz="0" w:space="0" w:color="auto"/>
                <w:right w:val="none" w:sz="0" w:space="0" w:color="auto"/>
              </w:divBdr>
              <w:divsChild>
                <w:div w:id="92202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58567">
      <w:bodyDiv w:val="1"/>
      <w:marLeft w:val="0"/>
      <w:marRight w:val="0"/>
      <w:marTop w:val="0"/>
      <w:marBottom w:val="0"/>
      <w:divBdr>
        <w:top w:val="none" w:sz="0" w:space="0" w:color="auto"/>
        <w:left w:val="none" w:sz="0" w:space="0" w:color="auto"/>
        <w:bottom w:val="none" w:sz="0" w:space="0" w:color="auto"/>
        <w:right w:val="none" w:sz="0" w:space="0" w:color="auto"/>
      </w:divBdr>
      <w:divsChild>
        <w:div w:id="1016464297">
          <w:marLeft w:val="0"/>
          <w:marRight w:val="0"/>
          <w:marTop w:val="0"/>
          <w:marBottom w:val="0"/>
          <w:divBdr>
            <w:top w:val="none" w:sz="0" w:space="0" w:color="auto"/>
            <w:left w:val="none" w:sz="0" w:space="0" w:color="auto"/>
            <w:bottom w:val="none" w:sz="0" w:space="0" w:color="auto"/>
            <w:right w:val="none" w:sz="0" w:space="0" w:color="auto"/>
          </w:divBdr>
          <w:divsChild>
            <w:div w:id="874269990">
              <w:marLeft w:val="0"/>
              <w:marRight w:val="0"/>
              <w:marTop w:val="0"/>
              <w:marBottom w:val="0"/>
              <w:divBdr>
                <w:top w:val="none" w:sz="0" w:space="0" w:color="auto"/>
                <w:left w:val="none" w:sz="0" w:space="0" w:color="auto"/>
                <w:bottom w:val="none" w:sz="0" w:space="0" w:color="auto"/>
                <w:right w:val="none" w:sz="0" w:space="0" w:color="auto"/>
              </w:divBdr>
              <w:divsChild>
                <w:div w:id="19458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21680">
      <w:bodyDiv w:val="1"/>
      <w:marLeft w:val="0"/>
      <w:marRight w:val="0"/>
      <w:marTop w:val="0"/>
      <w:marBottom w:val="0"/>
      <w:divBdr>
        <w:top w:val="none" w:sz="0" w:space="0" w:color="auto"/>
        <w:left w:val="none" w:sz="0" w:space="0" w:color="auto"/>
        <w:bottom w:val="none" w:sz="0" w:space="0" w:color="auto"/>
        <w:right w:val="none" w:sz="0" w:space="0" w:color="auto"/>
      </w:divBdr>
    </w:div>
    <w:div w:id="1976376700">
      <w:bodyDiv w:val="1"/>
      <w:marLeft w:val="0"/>
      <w:marRight w:val="0"/>
      <w:marTop w:val="0"/>
      <w:marBottom w:val="0"/>
      <w:divBdr>
        <w:top w:val="none" w:sz="0" w:space="0" w:color="auto"/>
        <w:left w:val="none" w:sz="0" w:space="0" w:color="auto"/>
        <w:bottom w:val="none" w:sz="0" w:space="0" w:color="auto"/>
        <w:right w:val="none" w:sz="0" w:space="0" w:color="auto"/>
      </w:divBdr>
    </w:div>
    <w:div w:id="1992443370">
      <w:bodyDiv w:val="1"/>
      <w:marLeft w:val="0"/>
      <w:marRight w:val="0"/>
      <w:marTop w:val="0"/>
      <w:marBottom w:val="0"/>
      <w:divBdr>
        <w:top w:val="none" w:sz="0" w:space="0" w:color="auto"/>
        <w:left w:val="none" w:sz="0" w:space="0" w:color="auto"/>
        <w:bottom w:val="none" w:sz="0" w:space="0" w:color="auto"/>
        <w:right w:val="none" w:sz="0" w:space="0" w:color="auto"/>
      </w:divBdr>
      <w:divsChild>
        <w:div w:id="1009992385">
          <w:marLeft w:val="0"/>
          <w:marRight w:val="0"/>
          <w:marTop w:val="0"/>
          <w:marBottom w:val="0"/>
          <w:divBdr>
            <w:top w:val="none" w:sz="0" w:space="0" w:color="auto"/>
            <w:left w:val="none" w:sz="0" w:space="0" w:color="auto"/>
            <w:bottom w:val="none" w:sz="0" w:space="0" w:color="auto"/>
            <w:right w:val="none" w:sz="0" w:space="0" w:color="auto"/>
          </w:divBdr>
          <w:divsChild>
            <w:div w:id="2009408329">
              <w:marLeft w:val="0"/>
              <w:marRight w:val="0"/>
              <w:marTop w:val="0"/>
              <w:marBottom w:val="0"/>
              <w:divBdr>
                <w:top w:val="none" w:sz="0" w:space="0" w:color="auto"/>
                <w:left w:val="none" w:sz="0" w:space="0" w:color="auto"/>
                <w:bottom w:val="none" w:sz="0" w:space="0" w:color="auto"/>
                <w:right w:val="none" w:sz="0" w:space="0" w:color="auto"/>
              </w:divBdr>
              <w:divsChild>
                <w:div w:id="9781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ms.int/fr/node/9743" TargetMode="External"/><Relationship Id="rId21" Type="http://schemas.openxmlformats.org/officeDocument/2006/relationships/hyperlink" Target="https://www.cms.int/fr/node/21679" TargetMode="External"/><Relationship Id="rId34" Type="http://schemas.openxmlformats.org/officeDocument/2006/relationships/header" Target="header4.xml"/><Relationship Id="rId42" Type="http://schemas.openxmlformats.org/officeDocument/2006/relationships/hyperlink" Target="https://protect-eu.mimecast.com/s/f-iTC64wurNEyzF6ZlUe?domain=eur02.safelinks.protection.outlook.com" TargetMode="External"/><Relationship Id="rId47" Type="http://schemas.openxmlformats.org/officeDocument/2006/relationships/hyperlink" Target="https://www.cms.int/sites/default/files/uploads/4_case_study_jordan_2019.pdf" TargetMode="External"/><Relationship Id="rId50" Type="http://schemas.openxmlformats.org/officeDocument/2006/relationships/hyperlink" Target="https://www.cms.int/sites/default/files/uploads/7_birdLife_sa_species%20guidelines_case_study.pdf" TargetMode="External"/><Relationship Id="rId55" Type="http://schemas.openxmlformats.org/officeDocument/2006/relationships/hyperlink" Target="https://www.mavir.hu/documents/10258/240241641/Rhiannon+Niven_CMS+ETF+MAVIR.pdf/2640ac46-8cd0-7ff1-7e8e-91442c8f3c89?t=1637766440178" TargetMode="External"/><Relationship Id="rId63" Type="http://schemas.openxmlformats.org/officeDocument/2006/relationships/header" Target="header1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cms.int/sites/default/files/document/cms_etf6_doc.4_updates-etf-technical-working-group_e.pdf" TargetMode="External"/><Relationship Id="rId11" Type="http://schemas.openxmlformats.org/officeDocument/2006/relationships/image" Target="media/image1.wmf"/><Relationship Id="rId24" Type="http://schemas.openxmlformats.org/officeDocument/2006/relationships/hyperlink" Target="https://www.cms.int/fr/node/20680" TargetMode="External"/><Relationship Id="rId32" Type="http://schemas.openxmlformats.org/officeDocument/2006/relationships/hyperlink" Target="https://www.cms.int/sites/default/files/document/cms_scc-sc5_outcome13_tor-wg-infrastructure-development-and-migratory-species_e.pdf" TargetMode="External"/><Relationship Id="rId37" Type="http://schemas.openxmlformats.org/officeDocument/2006/relationships/header" Target="header6.xml"/><Relationship Id="rId40" Type="http://schemas.openxmlformats.org/officeDocument/2006/relationships/hyperlink" Target="https://portals.iucn.org/library/node/49283" TargetMode="External"/><Relationship Id="rId45" Type="http://schemas.openxmlformats.org/officeDocument/2006/relationships/hyperlink" Target="https://www.cms.int/fr/node/21135" TargetMode="External"/><Relationship Id="rId53" Type="http://schemas.openxmlformats.org/officeDocument/2006/relationships/hyperlink" Target="https://vimeo.com/492004020/c17decaf74" TargetMode="External"/><Relationship Id="rId58" Type="http://schemas.openxmlformats.org/officeDocument/2006/relationships/header" Target="header7.xml"/><Relationship Id="rId66" Type="http://schemas.microsoft.com/office/2020/10/relationships/intelligence" Target="intelligence2.xml"/><Relationship Id="rId5" Type="http://schemas.openxmlformats.org/officeDocument/2006/relationships/numbering" Target="numbering.xml"/><Relationship Id="rId61" Type="http://schemas.openxmlformats.org/officeDocument/2006/relationships/header" Target="header9.xml"/><Relationship Id="rId19" Type="http://schemas.openxmlformats.org/officeDocument/2006/relationships/hyperlink" Target="https://www.cms.int/fr/page/decisions-13106-%C3%A0-13108-soutien-au-groupe-de-travail-sur-l%E2%80%99%C3%A9nergie" TargetMode="External"/><Relationship Id="rId14" Type="http://schemas.openxmlformats.org/officeDocument/2006/relationships/footer" Target="footer1.xml"/><Relationship Id="rId22" Type="http://schemas.openxmlformats.org/officeDocument/2006/relationships/hyperlink" Target="https://www.cms.int/fr/node/23259" TargetMode="External"/><Relationship Id="rId27" Type="http://schemas.openxmlformats.org/officeDocument/2006/relationships/hyperlink" Target="https://www.cms.int/fr/node/9743" TargetMode="External"/><Relationship Id="rId30" Type="http://schemas.openxmlformats.org/officeDocument/2006/relationships/hyperlink" Target="https://www.cms.int/sites/default/files/document/cms_etf6_doc.5_updates-etf-powerlines-wg-and-cms-raptors-electrocution-discussion-group_e.pdf" TargetMode="External"/><Relationship Id="rId35" Type="http://schemas.openxmlformats.org/officeDocument/2006/relationships/header" Target="header5.xml"/><Relationship Id="rId43" Type="http://schemas.openxmlformats.org/officeDocument/2006/relationships/hyperlink" Target="https://avistep.birdlife.org/" TargetMode="External"/><Relationship Id="rId48" Type="http://schemas.openxmlformats.org/officeDocument/2006/relationships/hyperlink" Target="https://www.cms.int/sites/default/files/uploads/5_sea_and_sensitivity_mapping_kenya_case_study.pdf" TargetMode="External"/><Relationship Id="rId56" Type="http://schemas.openxmlformats.org/officeDocument/2006/relationships/hyperlink" Target="https://vimeo.com/652499707/95623d262c"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cms.int/sites/default/files/uploads/taskforce/energy/Case_study_IAF_2021-2Page_FINAL.pdf"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cms.int/fr/node/5933" TargetMode="External"/><Relationship Id="rId25" Type="http://schemas.openxmlformats.org/officeDocument/2006/relationships/hyperlink" Target="https://avistep.birdlife.org/" TargetMode="External"/><Relationship Id="rId33" Type="http://schemas.openxmlformats.org/officeDocument/2006/relationships/hyperlink" Target="https://www.cms.int/sites/default/files/document/cms_li-iwg_meeting-report_e_1.pdf" TargetMode="External"/><Relationship Id="rId38" Type="http://schemas.openxmlformats.org/officeDocument/2006/relationships/footer" Target="footer4.xml"/><Relationship Id="rId46" Type="http://schemas.openxmlformats.org/officeDocument/2006/relationships/hyperlink" Target="https://www.cms.int/sites/default/files/uploads/3_case_study_egypt_2019.pdf" TargetMode="External"/><Relationship Id="rId59" Type="http://schemas.openxmlformats.org/officeDocument/2006/relationships/header" Target="header8.xml"/><Relationship Id="rId20" Type="http://schemas.openxmlformats.org/officeDocument/2006/relationships/hyperlink" Target="https://www.cms.int/sites/default/files/uploads/ETF%20Workplan%202021-2024.pdf" TargetMode="External"/><Relationship Id="rId41" Type="http://schemas.openxmlformats.org/officeDocument/2006/relationships/hyperlink" Target="https://birdelectrocution.org/quick-guidance-preventing-electrocution-on-birds/" TargetMode="External"/><Relationship Id="rId54" Type="http://schemas.openxmlformats.org/officeDocument/2006/relationships/hyperlink" Target="https://vimeo.com/624350999/d728347099" TargetMode="External"/><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cms.int/sites/default/files/document/cms_etf6_doc.2_work-plan-progress_e_0.pdf" TargetMode="External"/><Relationship Id="rId28" Type="http://schemas.openxmlformats.org/officeDocument/2006/relationships/hyperlink" Target="https://www.cms.int/fr/node/9743" TargetMode="External"/><Relationship Id="rId36" Type="http://schemas.openxmlformats.org/officeDocument/2006/relationships/footer" Target="footer3.xml"/><Relationship Id="rId49" Type="http://schemas.openxmlformats.org/officeDocument/2006/relationships/hyperlink" Target="https://www.cms.int/sites/default/files/uploads/6_birdLife_sa_mainstreaming_case_study.pdf" TargetMode="External"/><Relationship Id="rId57" Type="http://schemas.openxmlformats.org/officeDocument/2006/relationships/hyperlink" Target="https://vimeo.com/693933211/6e30e6225e" TargetMode="External"/><Relationship Id="rId10" Type="http://schemas.openxmlformats.org/officeDocument/2006/relationships/endnotes" Target="endnotes.xml"/><Relationship Id="rId31" Type="http://schemas.openxmlformats.org/officeDocument/2006/relationships/hyperlink" Target="https://www.cms.int/fr/page/decisions-13130-%C3%A0-13134-d%C3%A9veloppement-d%E2%80%99infrastructures-et-esp%C3%A8ces-migratrices" TargetMode="External"/><Relationship Id="rId44" Type="http://schemas.openxmlformats.org/officeDocument/2006/relationships/hyperlink" Target="http://datazone.birdlife.org/info/transmit" TargetMode="External"/><Relationship Id="rId52" Type="http://schemas.openxmlformats.org/officeDocument/2006/relationships/hyperlink" Target="https://www.cms.int/sites/default/files/uploads/taskforce/energy/Case_study_NABU-RGI_2021-2Page_FINAL.pdf" TargetMode="External"/><Relationship Id="rId60" Type="http://schemas.openxmlformats.org/officeDocument/2006/relationships/footer" Target="footer5.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google.com/search?client=safari&amp;rls=en&amp;q=cms+etf+task+force&amp;ie=UTF-8&amp;oe=UTF-8" TargetMode="External"/><Relationship Id="rId39" Type="http://schemas.openxmlformats.org/officeDocument/2006/relationships/hyperlink" Target="https://eur02.safelinks.protection.outlook.com/?url=https%3A%2F%2Fwww.ofb.gouv.fr%2Fle-projet-life-btp-biodiversite-integree-dans-les-territoires-et-les-politiques&amp;data=05%7C01%7Cdunia.sforzin%40un.org%7C19bc6110d0db426f3a7208db0aa78832%7C0f9e35db544f4f60bdcc5ea416e6dc70%7C0%7C0%7C638115486905581938%7CUnknown%7CTWFpbGZsb3d8eyJWIjoiMC4wLjAwMDAiLCJQIjoiV2luMzIiLCJBTiI6Ik1haWwiLCJXVCI6Mn0%3D%7C3000%7C%7C%7C&amp;sdata=bb%2BWEFEYFzEAcXdiKj70yD%2BsnZhkm6astgDfBZvifIg%3D&amp;reserved=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ms.int/fr/node/19989"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ariaJoseOrtiz xmlns="a7b50396-0b06-45c1-b28e-46f86d566a10" xsi:nil="true"/>
    <SharedWithUsers xmlns="c15478a5-0be8-4f5d-8383-b307d5ba8bf6">
      <UserInfo>
        <DisplayName/>
        <AccountId xsi:nil="true"/>
        <AccountType/>
      </UserInfo>
    </SharedWithUsers>
    <Reviewer xmlns="a7b50396-0b06-45c1-b28e-46f86d566a10" xsi:nil="true"/>
    <lcf76f155ced4ddcb4097134ff3c332f xmlns="a7b50396-0b06-45c1-b28e-46f86d566a10">
      <Terms xmlns="http://schemas.microsoft.com/office/infopath/2007/PartnerControls"/>
    </lcf76f155ced4ddcb4097134ff3c332f>
    <TaxCatchAll xmlns="985ec44e-1bab-4c0b-9df0-6ba128686fc9" xsi:nil="true"/>
    <TaxKeywordTaxHTField xmlns="c15478a5-0be8-4f5d-8383-b307d5ba8bf6">
      <Terms xmlns="http://schemas.microsoft.com/office/infopath/2007/PartnerControls"/>
    </TaxKeywordTaxHTField>
    <_Flow_SignoffStatus xmlns="a7b50396-0b06-45c1-b28e-46f86d566a1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19" ma:contentTypeDescription="Create a new document." ma:contentTypeScope="" ma:versionID="b2998f69e24d6ba6c9366028cea5640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29606b1b0f08316ae9bbb29cfd8ca843"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D0C8FA-FFF7-4B67-940F-CBD154539EEF}">
  <ds:schemaRefs>
    <ds:schemaRef ds:uri="http://purl.org/dc/dcmitype/"/>
    <ds:schemaRef ds:uri="http://schemas.microsoft.com/office/2006/documentManagement/types"/>
    <ds:schemaRef ds:uri="http://purl.org/dc/terms/"/>
    <ds:schemaRef ds:uri="http://schemas.microsoft.com/office/infopath/2007/PartnerControls"/>
    <ds:schemaRef ds:uri="a7b50396-0b06-45c1-b28e-46f86d566a10"/>
    <ds:schemaRef ds:uri="http://schemas.openxmlformats.org/package/2006/metadata/core-properties"/>
    <ds:schemaRef ds:uri="http://purl.org/dc/elements/1.1/"/>
    <ds:schemaRef ds:uri="c15478a5-0be8-4f5d-8383-b307d5ba8bf6"/>
    <ds:schemaRef ds:uri="985ec44e-1bab-4c0b-9df0-6ba128686fc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customXml/itemProps3.xml><?xml version="1.0" encoding="utf-8"?>
<ds:datastoreItem xmlns:ds="http://schemas.openxmlformats.org/officeDocument/2006/customXml" ds:itemID="{D22EB4C6-8EA4-4CD4-B330-8626867B6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F980D9-9451-4DF3-970B-B502E5D916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4432</Words>
  <Characters>25266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2</cp:revision>
  <cp:lastPrinted>2019-09-19T20:54:00Z</cp:lastPrinted>
  <dcterms:created xsi:type="dcterms:W3CDTF">2023-07-07T10:03:00Z</dcterms:created>
  <dcterms:modified xsi:type="dcterms:W3CDTF">2023-07-07T10:03:00Z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MediaServiceImageTags">
    <vt:lpwstr/>
  </property>
  <property fmtid="{D5CDD505-2E9C-101B-9397-08002B2CF9AE}" pid="5" name="TaxKeyword">
    <vt:lpwstr/>
  </property>
</Properties>
</file>