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575758" w:rsidRPr="00BC54CA" w14:paraId="5EF59979" w14:textId="77777777" w:rsidTr="0029229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2CFBCC1" w14:textId="77777777" w:rsidR="00575758" w:rsidRPr="00002A97" w:rsidRDefault="00575758" w:rsidP="0029229A">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267DDA0F" wp14:editId="45233ACE">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06891C25" w14:textId="77777777" w:rsidR="00575758" w:rsidRPr="00002A97" w:rsidRDefault="00575758" w:rsidP="0029229A">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55097DB9" w14:textId="77777777" w:rsidR="00575758" w:rsidRPr="00002A97" w:rsidRDefault="00575758"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68290A94" w14:textId="77777777" w:rsidR="00575758" w:rsidRPr="00002A97" w:rsidRDefault="00575758"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0987D0F2" w14:textId="77777777" w:rsidR="00575758" w:rsidRPr="00002A97" w:rsidRDefault="00575758"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604F1F3F" w14:textId="324EA7F2" w:rsidR="00BC54CA" w:rsidRPr="00BC54CA" w:rsidRDefault="00575758" w:rsidP="00BC54CA">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szCs w:val="24"/>
                <w:lang w:val="es-ES" w:eastAsia="es-ES"/>
              </w:rPr>
            </w:pPr>
            <w:r w:rsidRPr="00BC54CA">
              <w:rPr>
                <w:rFonts w:eastAsia="Times New Roman" w:cs="Arial"/>
                <w:szCs w:val="24"/>
                <w:lang w:val="es-ES" w:eastAsia="es-ES"/>
              </w:rPr>
              <w:t>UNEP/CMS/COP14/Doc.</w:t>
            </w:r>
            <w:r w:rsidR="00BC54CA">
              <w:rPr>
                <w:rFonts w:eastAsia="Times New Roman" w:cs="Arial"/>
                <w:szCs w:val="24"/>
                <w:lang w:val="es-ES" w:eastAsia="es-ES"/>
              </w:rPr>
              <w:t>30.3.2</w:t>
            </w:r>
          </w:p>
          <w:p w14:paraId="319C4F2C" w14:textId="024ABC87" w:rsidR="00575758" w:rsidRPr="00BC54CA" w:rsidRDefault="00BC54CA" w:rsidP="00BC54CA">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Pr>
                <w:rFonts w:eastAsia="Times New Roman" w:cs="Arial"/>
                <w:szCs w:val="24"/>
                <w:lang w:val="es-ES" w:eastAsia="es-ES"/>
              </w:rPr>
              <w:t>25 de junio</w:t>
            </w:r>
            <w:r w:rsidR="00575758" w:rsidRPr="00BC54CA">
              <w:rPr>
                <w:rFonts w:eastAsia="Times New Roman" w:cs="Arial"/>
                <w:szCs w:val="24"/>
                <w:lang w:val="es-ES" w:eastAsia="es-ES"/>
              </w:rPr>
              <w:t xml:space="preserve"> 2023</w:t>
            </w:r>
          </w:p>
          <w:p w14:paraId="54961E14" w14:textId="77777777" w:rsidR="00575758" w:rsidRPr="00002A97" w:rsidRDefault="00575758" w:rsidP="0029229A">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E0CCFF7" w14:textId="77777777" w:rsidR="00575758" w:rsidRPr="000F4BDA" w:rsidRDefault="00575758" w:rsidP="0029229A">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6C930361" w14:textId="77777777" w:rsidR="00575758" w:rsidRPr="00002A97" w:rsidRDefault="00575758" w:rsidP="0029229A">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0F0D8CE7" w14:textId="77777777" w:rsidR="00575758" w:rsidRPr="00002A97" w:rsidRDefault="00575758" w:rsidP="00575758">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15E33A82" w14:textId="77777777" w:rsidR="00575758" w:rsidRPr="00002A97" w:rsidRDefault="00575758" w:rsidP="005757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494856BB" w14:textId="77777777" w:rsidR="00575758" w:rsidRPr="00002A97" w:rsidRDefault="00575758" w:rsidP="005757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Pr>
          <w:rFonts w:eastAsia="Times New Roman" w:cs="Arial"/>
          <w:bCs/>
          <w:szCs w:val="24"/>
          <w:lang w:val="es-ES" w:eastAsia="es-ES"/>
        </w:rPr>
        <w:t>23 – 28 de octubre</w:t>
      </w:r>
      <w:r w:rsidRPr="00002A97">
        <w:rPr>
          <w:rFonts w:eastAsia="Times New Roman" w:cs="Arial"/>
          <w:bCs/>
          <w:szCs w:val="24"/>
          <w:lang w:val="es-ES" w:eastAsia="es-ES"/>
        </w:rPr>
        <w:t xml:space="preserve"> 202</w:t>
      </w:r>
      <w:r>
        <w:rPr>
          <w:rFonts w:eastAsia="Times New Roman" w:cs="Arial"/>
          <w:bCs/>
          <w:szCs w:val="24"/>
          <w:lang w:val="es-ES" w:eastAsia="es-ES"/>
        </w:rPr>
        <w:t>3</w:t>
      </w:r>
    </w:p>
    <w:p w14:paraId="7734250A" w14:textId="7F3A7D7A" w:rsidR="00575758" w:rsidRPr="00002A97" w:rsidRDefault="00575758" w:rsidP="00575758">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BC54CA">
        <w:rPr>
          <w:rFonts w:eastAsia="Times New Roman" w:cs="Arial"/>
          <w:szCs w:val="24"/>
          <w:lang w:val="es-ES" w:eastAsia="es-ES"/>
        </w:rPr>
        <w:t>30.3</w:t>
      </w:r>
      <w:r w:rsidRPr="00002A97">
        <w:rPr>
          <w:rFonts w:eastAsia="Times New Roman" w:cs="Arial"/>
          <w:szCs w:val="24"/>
          <w:lang w:val="es-ES" w:eastAsia="es-ES"/>
        </w:rPr>
        <w:t xml:space="preserve"> del orden del día</w:t>
      </w:r>
    </w:p>
    <w:p w14:paraId="7408EC0D"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lang w:val="es-ES"/>
        </w:rPr>
      </w:pPr>
    </w:p>
    <w:p w14:paraId="77B86421" w14:textId="77777777" w:rsidR="00575758" w:rsidRDefault="00575758"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lang w:val="es-ES"/>
        </w:rPr>
      </w:pPr>
    </w:p>
    <w:p w14:paraId="6C96AE1E" w14:textId="01F0389C" w:rsidR="002E0DE9" w:rsidRPr="00B542D5" w:rsidRDefault="00971887"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B542D5">
        <w:rPr>
          <w:rFonts w:eastAsia="Times New Roman" w:cs="Arial"/>
          <w:b/>
          <w:bCs/>
          <w:lang w:val="es-ES"/>
        </w:rPr>
        <w:t>ENERGÍA RENOVABLE Y ESPECIES MIGRATORIAS</w:t>
      </w:r>
    </w:p>
    <w:p w14:paraId="57504EB6" w14:textId="5DB70EF5" w:rsidR="002E0DE9" w:rsidRPr="00B542D5"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B542D5">
        <w:rPr>
          <w:rFonts w:eastAsia="Times New Roman" w:cs="Arial"/>
          <w:i/>
          <w:lang w:val="es-ES"/>
        </w:rPr>
        <w:t>(Preparado por la Secretaría)</w:t>
      </w:r>
    </w:p>
    <w:p w14:paraId="7A54E364" w14:textId="77777777" w:rsidR="002E0DE9" w:rsidRPr="00B542D5"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B542D5"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B542D5">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6E001CF5">
                <wp:simplePos x="0" y="0"/>
                <wp:positionH relativeFrom="column">
                  <wp:posOffset>944245</wp:posOffset>
                </wp:positionH>
                <wp:positionV relativeFrom="paragraph">
                  <wp:posOffset>100965</wp:posOffset>
                </wp:positionV>
                <wp:extent cx="4629150" cy="1524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1524000"/>
                        </a:xfrm>
                        <a:prstGeom prst="rect">
                          <a:avLst/>
                        </a:prstGeom>
                        <a:solidFill>
                          <a:srgbClr val="FFFFFF"/>
                        </a:solidFill>
                        <a:ln w="3172">
                          <a:solidFill>
                            <a:srgbClr val="000000"/>
                          </a:solidFill>
                          <a:prstDash val="solid"/>
                        </a:ln>
                      </wps:spPr>
                      <wps:txbx>
                        <w:txbxContent>
                          <w:p w14:paraId="10BCBC8C" w14:textId="4635E6A3" w:rsidR="00661875" w:rsidRPr="00575758" w:rsidRDefault="002E0DE9" w:rsidP="00D95950">
                            <w:pPr>
                              <w:spacing w:after="0"/>
                              <w:rPr>
                                <w:rFonts w:cs="Arial"/>
                                <w:lang w:val="es-CO"/>
                              </w:rPr>
                            </w:pPr>
                            <w:r w:rsidRPr="00575758">
                              <w:rPr>
                                <w:rFonts w:cs="Arial"/>
                                <w:lang w:val="es-CO"/>
                              </w:rPr>
                              <w:t>Resumen:</w:t>
                            </w:r>
                          </w:p>
                          <w:p w14:paraId="3399EFB2" w14:textId="77777777" w:rsidR="00661875" w:rsidRPr="00BC54CA" w:rsidRDefault="00661875" w:rsidP="00661875">
                            <w:pPr>
                              <w:spacing w:after="0" w:line="240" w:lineRule="auto"/>
                              <w:jc w:val="both"/>
                              <w:rPr>
                                <w:rFonts w:cs="Arial"/>
                                <w:lang w:val="es-CO"/>
                              </w:rPr>
                            </w:pPr>
                          </w:p>
                          <w:p w14:paraId="0A7AC1E9" w14:textId="0E0FB4AA" w:rsidR="009C1079" w:rsidRDefault="0004511A" w:rsidP="00DE6D4D">
                            <w:pPr>
                              <w:spacing w:after="0"/>
                              <w:jc w:val="both"/>
                              <w:rPr>
                                <w:rFonts w:cs="Arial"/>
                              </w:rPr>
                            </w:pPr>
                            <w:r w:rsidRPr="00575758">
                              <w:rPr>
                                <w:rFonts w:cs="Arial"/>
                                <w:lang w:val="es-CO"/>
                              </w:rPr>
                              <w:t xml:space="preserve">Este documento informa sobre los avances en la implementación de la Resolución 10.11 (Rev.COP13) </w:t>
                            </w:r>
                            <w:r w:rsidR="00243179" w:rsidRPr="00575758">
                              <w:rPr>
                                <w:rFonts w:cs="Arial"/>
                                <w:i/>
                                <w:iCs/>
                                <w:lang w:val="es-CO"/>
                              </w:rPr>
                              <w:t>Tendidos eléctricos y Aves migratorias</w:t>
                            </w:r>
                            <w:r w:rsidRPr="00575758">
                              <w:rPr>
                                <w:rFonts w:cs="Arial"/>
                                <w:lang w:val="es-CO"/>
                              </w:rPr>
                              <w:t xml:space="preserve">, la Resolución 11.27 (Rev.COP13) </w:t>
                            </w:r>
                            <w:r w:rsidR="006776DC" w:rsidRPr="00575758">
                              <w:rPr>
                                <w:rFonts w:cs="Arial"/>
                                <w:i/>
                                <w:iCs/>
                                <w:lang w:val="es-CO"/>
                              </w:rPr>
                              <w:t>Energías renovables y Especies migratorias</w:t>
                            </w:r>
                            <w:r w:rsidRPr="00575758">
                              <w:rPr>
                                <w:rFonts w:cs="Arial"/>
                                <w:lang w:val="es-CO"/>
                              </w:rPr>
                              <w:t xml:space="preserve"> y las Decisiones 13.106-13.108. </w:t>
                            </w:r>
                            <w:r w:rsidRPr="00624B47">
                              <w:rPr>
                                <w:rFonts w:cs="Arial"/>
                              </w:rPr>
                              <w:t>Incluye los proyectos de Decisión propuestos.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35pt;margin-top:7.95pt;width:364.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" strokeweight=".08811mm">
                <v:textbox>
                  <w:txbxContent>
                    <w:p w14:paraId="10BCBC8C" w14:textId="4635E6A3" w:rsidR="00661875" w:rsidRPr="00575758" w:rsidRDefault="002E0DE9" w:rsidP="00D95950">
                      <w:pPr>
                        <w:spacing w:after="0"/>
                        <w:rPr>
                          <w:rFonts w:cs="Arial"/>
                          <w:lang w:val="es-CO"/>
                        </w:rPr>
                      </w:pPr>
                      <w:r w:rsidRPr="00575758">
                        <w:rPr>
                          <w:rFonts w:cs="Arial"/>
                          <w:lang w:val="es-CO"/>
                        </w:rPr>
                        <w:t>Resumen:</w:t>
                      </w:r>
                    </w:p>
                    <w:p w14:paraId="3399EFB2" w14:textId="77777777" w:rsidR="00661875" w:rsidRPr="00BC54CA" w:rsidRDefault="00661875" w:rsidP="00661875">
                      <w:pPr>
                        <w:spacing w:after="0" w:line="240" w:lineRule="auto"/>
                        <w:jc w:val="both"/>
                        <w:rPr>
                          <w:rFonts w:cs="Arial"/>
                          <w:lang w:val="es-CO"/>
                        </w:rPr>
                      </w:pPr>
                    </w:p>
                    <w:p w14:paraId="0A7AC1E9" w14:textId="0E0FB4AA" w:rsidR="009C1079" w:rsidRDefault="0004511A" w:rsidP="00DE6D4D">
                      <w:pPr>
                        <w:spacing w:after="0"/>
                        <w:jc w:val="both"/>
                        <w:rPr>
                          <w:rFonts w:cs="Arial"/>
                        </w:rPr>
                      </w:pPr>
                      <w:r w:rsidRPr="00575758">
                        <w:rPr>
                          <w:rFonts w:cs="Arial"/>
                          <w:lang w:val="es-CO"/>
                        </w:rPr>
                        <w:t xml:space="preserve">Este documento informa sobre los avances en la implementación de la Resolución 10.11 (Rev.COP13) </w:t>
                      </w:r>
                      <w:r w:rsidR="00243179" w:rsidRPr="00575758">
                        <w:rPr>
                          <w:rFonts w:cs="Arial"/>
                          <w:i/>
                          <w:iCs/>
                          <w:lang w:val="es-CO"/>
                        </w:rPr>
                        <w:t>Tendidos eléctricos y Aves migratorias</w:t>
                      </w:r>
                      <w:r w:rsidRPr="00575758">
                        <w:rPr>
                          <w:rFonts w:cs="Arial"/>
                          <w:lang w:val="es-CO"/>
                        </w:rPr>
                        <w:t xml:space="preserve">, la Resolución 11.27 (Rev.COP13) </w:t>
                      </w:r>
                      <w:r w:rsidR="006776DC" w:rsidRPr="00575758">
                        <w:rPr>
                          <w:rFonts w:cs="Arial"/>
                          <w:i/>
                          <w:iCs/>
                          <w:lang w:val="es-CO"/>
                        </w:rPr>
                        <w:t>Energías renovables y Especies migratorias</w:t>
                      </w:r>
                      <w:r w:rsidRPr="00575758">
                        <w:rPr>
                          <w:rFonts w:cs="Arial"/>
                          <w:lang w:val="es-CO"/>
                        </w:rPr>
                        <w:t xml:space="preserve"> y las Decisiones 13.106-13.108. </w:t>
                      </w:r>
                      <w:r w:rsidRPr="00624B47">
                        <w:rPr>
                          <w:rFonts w:cs="Arial"/>
                        </w:rPr>
                        <w:t>Incluye los proyectos de Decisión propuestos.</w:t>
                      </w:r>
                    </w:p>
                  </w:txbxContent>
                </v:textbox>
              </v:shape>
            </w:pict>
          </mc:Fallback>
        </mc:AlternateContent>
      </w:r>
    </w:p>
    <w:p w14:paraId="320AAD7B"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B542D5"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B542D5"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B542D5" w:rsidRDefault="005330F7" w:rsidP="00EC4F04">
      <w:pPr>
        <w:spacing w:after="0" w:line="240" w:lineRule="auto"/>
        <w:rPr>
          <w:lang w:val="es-ES"/>
        </w:rPr>
      </w:pPr>
    </w:p>
    <w:p w14:paraId="111843FD" w14:textId="77777777" w:rsidR="002E0DE9" w:rsidRPr="00B542D5" w:rsidRDefault="002E0DE9" w:rsidP="00EC4F04">
      <w:pPr>
        <w:spacing w:after="0" w:line="240" w:lineRule="auto"/>
        <w:rPr>
          <w:lang w:val="es-ES"/>
        </w:rPr>
      </w:pPr>
    </w:p>
    <w:p w14:paraId="6AF4E8FF" w14:textId="77777777" w:rsidR="002E0DE9" w:rsidRPr="00B542D5" w:rsidRDefault="002E0DE9" w:rsidP="00EC4F04">
      <w:pPr>
        <w:spacing w:after="0" w:line="240" w:lineRule="auto"/>
        <w:rPr>
          <w:lang w:val="es-ES"/>
        </w:rPr>
      </w:pPr>
    </w:p>
    <w:p w14:paraId="509B5F4B" w14:textId="77777777" w:rsidR="002E0DE9" w:rsidRPr="00B542D5" w:rsidRDefault="002E0DE9" w:rsidP="00EC4F04">
      <w:pPr>
        <w:spacing w:after="0" w:line="240" w:lineRule="auto"/>
        <w:rPr>
          <w:lang w:val="es-ES"/>
        </w:rPr>
      </w:pPr>
    </w:p>
    <w:p w14:paraId="73A3A65F" w14:textId="77777777" w:rsidR="00661875" w:rsidRPr="00B542D5" w:rsidRDefault="00661875" w:rsidP="00EC4F04">
      <w:pPr>
        <w:spacing w:after="0" w:line="240" w:lineRule="auto"/>
        <w:rPr>
          <w:lang w:val="es-ES"/>
        </w:rPr>
        <w:sectPr w:rsidR="00661875" w:rsidRPr="00B542D5" w:rsidSect="00BC54C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73909C5D" w14:textId="2CB26A8D" w:rsidR="002E0DE9" w:rsidRPr="00B542D5" w:rsidRDefault="00F73DE9" w:rsidP="004B7071">
      <w:pPr>
        <w:pStyle w:val="Title1"/>
        <w:rPr>
          <w:lang w:val="es-ES"/>
        </w:rPr>
      </w:pPr>
      <w:r w:rsidRPr="00B542D5">
        <w:rPr>
          <w:lang w:val="es-ES"/>
        </w:rPr>
        <w:lastRenderedPageBreak/>
        <w:t>Energía renovable y especies migratorias</w:t>
      </w:r>
    </w:p>
    <w:p w14:paraId="0DCB8F07" w14:textId="77777777" w:rsidR="002E0DE9" w:rsidRPr="00B542D5" w:rsidRDefault="002E0DE9" w:rsidP="00EC4F04">
      <w:pPr>
        <w:suppressAutoHyphens/>
        <w:autoSpaceDN w:val="0"/>
        <w:spacing w:after="0" w:line="240" w:lineRule="auto"/>
        <w:textAlignment w:val="baseline"/>
        <w:rPr>
          <w:rFonts w:eastAsia="Calibri" w:cs="Arial"/>
          <w:lang w:val="es-ES"/>
        </w:rPr>
      </w:pPr>
    </w:p>
    <w:p w14:paraId="4A0F002D" w14:textId="77777777" w:rsidR="00661875" w:rsidRPr="00B542D5" w:rsidRDefault="00661875" w:rsidP="00EC4F04">
      <w:pPr>
        <w:suppressAutoHyphens/>
        <w:autoSpaceDN w:val="0"/>
        <w:spacing w:after="0" w:line="240" w:lineRule="auto"/>
        <w:textAlignment w:val="baseline"/>
        <w:rPr>
          <w:rFonts w:eastAsia="Calibri" w:cs="Arial"/>
          <w:lang w:val="es-ES"/>
        </w:rPr>
      </w:pPr>
    </w:p>
    <w:p w14:paraId="3C86903F" w14:textId="77777777" w:rsidR="002E0DE9" w:rsidRPr="00B542D5" w:rsidRDefault="002E0DE9" w:rsidP="00EC4F04">
      <w:pPr>
        <w:suppressAutoHyphens/>
        <w:autoSpaceDN w:val="0"/>
        <w:spacing w:after="0" w:line="240" w:lineRule="auto"/>
        <w:textAlignment w:val="baseline"/>
        <w:rPr>
          <w:rFonts w:eastAsia="Calibri" w:cs="Arial"/>
          <w:sz w:val="21"/>
          <w:szCs w:val="21"/>
          <w:u w:val="single"/>
          <w:lang w:val="es-ES"/>
        </w:rPr>
      </w:pPr>
      <w:r w:rsidRPr="00B542D5">
        <w:rPr>
          <w:rFonts w:eastAsia="Calibri" w:cs="Arial"/>
          <w:sz w:val="21"/>
          <w:szCs w:val="21"/>
          <w:u w:val="single"/>
          <w:lang w:val="es-ES"/>
        </w:rPr>
        <w:t>Antecedentes</w:t>
      </w:r>
    </w:p>
    <w:p w14:paraId="115888D2" w14:textId="77777777" w:rsidR="002E0DE9" w:rsidRPr="00B542D5" w:rsidRDefault="002E0DE9" w:rsidP="00EC4F04">
      <w:pPr>
        <w:spacing w:after="0" w:line="240" w:lineRule="auto"/>
        <w:rPr>
          <w:rFonts w:cs="Arial"/>
          <w:sz w:val="20"/>
          <w:szCs w:val="20"/>
          <w:lang w:val="es-ES"/>
        </w:rPr>
      </w:pPr>
    </w:p>
    <w:p w14:paraId="279C5CFB" w14:textId="02CC3D75" w:rsidR="002F0686" w:rsidRPr="00B542D5" w:rsidRDefault="002F0686" w:rsidP="00343F27">
      <w:pPr>
        <w:pStyle w:val="ListParagraph"/>
        <w:numPr>
          <w:ilvl w:val="0"/>
          <w:numId w:val="6"/>
        </w:numPr>
        <w:spacing w:after="0" w:line="240" w:lineRule="auto"/>
        <w:ind w:left="540" w:hanging="540"/>
        <w:jc w:val="both"/>
        <w:rPr>
          <w:lang w:val="es-ES"/>
        </w:rPr>
      </w:pPr>
      <w:r w:rsidRPr="00B542D5">
        <w:rPr>
          <w:lang w:val="es-ES"/>
        </w:rPr>
        <w:t>La energía renovable es una parte fundamental para abordar el cambio climático, una de las mayores amenazas para las personas y la biodiversidad. Satisfacer la demanda de energía mundial, lista para aumentar un 30 por ciento en 2040, al tiempo que se logran los objetivos del Acuerdo de París para mantener el aumento de la temperatura global muy por debajo de los 2˚C, preferiblemente a 1,5</w:t>
      </w:r>
      <w:bookmarkStart w:id="0" w:name="_Hlk138682377"/>
      <w:r w:rsidRPr="00B542D5">
        <w:rPr>
          <w:lang w:val="es-ES"/>
        </w:rPr>
        <w:t>˚C</w:t>
      </w:r>
      <w:bookmarkEnd w:id="0"/>
      <w:r w:rsidRPr="00B542D5">
        <w:rPr>
          <w:lang w:val="es-ES"/>
        </w:rPr>
        <w:t>, requiere una transición urgente a las economías bajas en carbono. Sin embargo, las infraestructuras de energías renovables pueden tener un impacto muy negativo en las especies y los ecosistemas si se instalan en zonas sensibles de fauna salvaje.</w:t>
      </w:r>
    </w:p>
    <w:p w14:paraId="6B101AE6" w14:textId="77777777" w:rsidR="002D6506" w:rsidRPr="00B542D5" w:rsidRDefault="002D6506" w:rsidP="00BC53DD">
      <w:pPr>
        <w:pStyle w:val="ListParagraph"/>
        <w:spacing w:after="0" w:line="240" w:lineRule="auto"/>
        <w:ind w:left="540"/>
        <w:jc w:val="both"/>
        <w:rPr>
          <w:lang w:val="es-ES"/>
        </w:rPr>
      </w:pPr>
    </w:p>
    <w:p w14:paraId="6880DF97" w14:textId="4CD77E8E" w:rsidR="00B54557" w:rsidRPr="00B542D5" w:rsidRDefault="00566A6A" w:rsidP="00343F27">
      <w:pPr>
        <w:pStyle w:val="ListParagraph"/>
        <w:numPr>
          <w:ilvl w:val="0"/>
          <w:numId w:val="6"/>
        </w:numPr>
        <w:spacing w:after="0" w:line="240" w:lineRule="auto"/>
        <w:ind w:left="540" w:hanging="540"/>
        <w:jc w:val="both"/>
        <w:rPr>
          <w:lang w:val="es-ES"/>
        </w:rPr>
      </w:pPr>
      <w:r w:rsidRPr="00B542D5">
        <w:rPr>
          <w:lang w:val="es-ES"/>
        </w:rPr>
        <w:t xml:space="preserve">La Conferencia de las Partes (COP, por sus siglas en inglés) ha estado abordando el problema de la energía y las especies migratorias mediante diversas Resoluciones y Decisiones. La Resolución 7.05 (Rev.COP12) </w:t>
      </w:r>
      <w:r w:rsidR="00DE65D4" w:rsidRPr="00B542D5">
        <w:rPr>
          <w:i/>
          <w:iCs/>
          <w:lang w:val="es-ES"/>
        </w:rPr>
        <w:t>Turbinas eólicas y Especies migratorias</w:t>
      </w:r>
      <w:r w:rsidRPr="00B542D5">
        <w:rPr>
          <w:lang w:val="es-ES"/>
        </w:rPr>
        <w:t xml:space="preserve"> y la Resolución 7.04 </w:t>
      </w:r>
      <w:r w:rsidR="00464E11" w:rsidRPr="00B542D5">
        <w:rPr>
          <w:i/>
          <w:iCs/>
          <w:lang w:val="es-ES"/>
        </w:rPr>
        <w:t xml:space="preserve">Electrocución de las Aves Migratorias </w:t>
      </w:r>
      <w:r w:rsidRPr="00B542D5">
        <w:rPr>
          <w:lang w:val="es-ES"/>
        </w:rPr>
        <w:t xml:space="preserve">dan instrucciones a la Secretaría para compilar información sobre la colisión y la electrocución de aves migratorias. La Resolución 10.11 (Rev.COP13) </w:t>
      </w:r>
      <w:r w:rsidR="004B07AD" w:rsidRPr="00B542D5">
        <w:rPr>
          <w:i/>
          <w:iCs/>
          <w:lang w:val="es-ES"/>
        </w:rPr>
        <w:t>Tendidos eléctricos y Aves migratorias</w:t>
      </w:r>
      <w:r w:rsidRPr="00B542D5">
        <w:rPr>
          <w:lang w:val="es-ES"/>
        </w:rPr>
        <w:t xml:space="preserve"> también da instrucciones a la Secretaría para actualizar la información disponible sobre la mitigación de estas amenazas para las aves migratorias. Estas solicitudes se abordaron en detalle más adelante mediante la Resolución 11.27 (Rev.COP13) </w:t>
      </w:r>
      <w:r w:rsidR="000C7326" w:rsidRPr="00B542D5">
        <w:rPr>
          <w:i/>
          <w:iCs/>
          <w:lang w:val="es-ES"/>
        </w:rPr>
        <w:t>Energías renovables y Especies migratorias</w:t>
      </w:r>
      <w:r w:rsidRPr="00B542D5">
        <w:rPr>
          <w:lang w:val="es-ES"/>
        </w:rPr>
        <w:t xml:space="preserve"> de la CMS</w:t>
      </w:r>
      <w:r w:rsidR="00754DE3" w:rsidRPr="00B542D5">
        <w:rPr>
          <w:lang w:val="es-ES"/>
        </w:rPr>
        <w:t>.</w:t>
      </w:r>
    </w:p>
    <w:p w14:paraId="32B4FA6C" w14:textId="77777777" w:rsidR="005E7DB0" w:rsidRPr="00B542D5" w:rsidRDefault="005E7DB0" w:rsidP="00BC53DD">
      <w:pPr>
        <w:pStyle w:val="ListParagraph"/>
        <w:spacing w:after="0" w:line="240" w:lineRule="auto"/>
        <w:ind w:left="540"/>
        <w:jc w:val="both"/>
        <w:rPr>
          <w:lang w:val="es-ES"/>
        </w:rPr>
      </w:pPr>
    </w:p>
    <w:p w14:paraId="02171B21" w14:textId="30C7E0D7" w:rsidR="00D27D9E" w:rsidRPr="00B542D5" w:rsidRDefault="000C7326" w:rsidP="00A03770">
      <w:pPr>
        <w:pStyle w:val="ListParagraph"/>
        <w:numPr>
          <w:ilvl w:val="0"/>
          <w:numId w:val="6"/>
        </w:numPr>
        <w:spacing w:after="0" w:line="240" w:lineRule="auto"/>
        <w:ind w:left="540" w:hanging="540"/>
        <w:jc w:val="both"/>
        <w:rPr>
          <w:lang w:val="es-ES"/>
        </w:rPr>
      </w:pPr>
      <w:r w:rsidRPr="00B542D5">
        <w:rPr>
          <w:lang w:val="es-ES"/>
        </w:rPr>
        <w:t xml:space="preserve">La Resolución 11.27 (Rev.COP13) apoya las </w:t>
      </w:r>
      <w:r w:rsidR="00CB00ED" w:rsidRPr="00B542D5">
        <w:rPr>
          <w:i/>
          <w:iCs/>
          <w:lang w:val="es-ES"/>
        </w:rPr>
        <w:t>Directrices para el Desarrollo Sostenible</w:t>
      </w:r>
      <w:r w:rsidRPr="00B542D5">
        <w:rPr>
          <w:lang w:val="es-ES"/>
        </w:rPr>
        <w:t xml:space="preserve"> (</w:t>
      </w:r>
      <w:hyperlink r:id="rId18" w:history="1">
        <w:r w:rsidR="005275F9" w:rsidRPr="00B542D5">
          <w:rPr>
            <w:rStyle w:val="Hyperlink"/>
            <w:lang w:val="es-ES"/>
          </w:rPr>
          <w:t>UNEP/CMS/COP11/Doc.23.4.3.22</w:t>
        </w:r>
      </w:hyperlink>
      <w:r w:rsidRPr="00B542D5">
        <w:rPr>
          <w:lang w:val="es-ES"/>
        </w:rPr>
        <w:t xml:space="preserve">) y da instrucciones a la Secretaría para convocar al Grupo Operativo de múltiples partes interesadas para la Conciliación de Desarrollos Selectos del Sector de la Energía con la Conservación de las Especies Migratorias (el </w:t>
      </w:r>
      <w:hyperlink r:id="rId19" w:history="1">
        <w:r w:rsidR="00193B93" w:rsidRPr="00B542D5">
          <w:rPr>
            <w:rStyle w:val="Hyperlink"/>
            <w:lang w:val="es-ES"/>
          </w:rPr>
          <w:t>Grupo Operativo sobre la Energía [ETF])</w:t>
        </w:r>
      </w:hyperlink>
      <w:r w:rsidR="0047273E" w:rsidRPr="00B542D5">
        <w:rPr>
          <w:lang w:val="es-ES"/>
        </w:rPr>
        <w:t>).</w:t>
      </w:r>
      <w:r w:rsidR="00754DE3" w:rsidRPr="00B542D5">
        <w:rPr>
          <w:lang w:val="es-ES"/>
        </w:rPr>
        <w:t xml:space="preserve"> </w:t>
      </w:r>
    </w:p>
    <w:p w14:paraId="63AA9A9E" w14:textId="77777777" w:rsidR="009979CB" w:rsidRPr="00B542D5" w:rsidRDefault="009979CB" w:rsidP="009979CB">
      <w:pPr>
        <w:pStyle w:val="ListParagraph"/>
        <w:spacing w:after="0" w:line="240" w:lineRule="auto"/>
        <w:ind w:left="540"/>
        <w:jc w:val="both"/>
        <w:rPr>
          <w:i/>
          <w:iCs/>
          <w:sz w:val="20"/>
          <w:szCs w:val="20"/>
          <w:lang w:val="es-ES"/>
        </w:rPr>
      </w:pPr>
    </w:p>
    <w:p w14:paraId="50136AF3" w14:textId="692839C5" w:rsidR="00D27D9E" w:rsidRPr="00B542D5" w:rsidRDefault="009979CB" w:rsidP="00A03770">
      <w:pPr>
        <w:pStyle w:val="ListParagraph"/>
        <w:numPr>
          <w:ilvl w:val="0"/>
          <w:numId w:val="6"/>
        </w:numPr>
        <w:spacing w:after="0" w:line="240" w:lineRule="auto"/>
        <w:ind w:left="540" w:hanging="540"/>
        <w:jc w:val="both"/>
        <w:rPr>
          <w:lang w:val="es-ES"/>
        </w:rPr>
      </w:pPr>
      <w:r w:rsidRPr="00B542D5">
        <w:rPr>
          <w:lang w:val="es-ES"/>
        </w:rPr>
        <w:t xml:space="preserve">La COP13 también adoptó las </w:t>
      </w:r>
      <w:hyperlink r:id="rId20" w:history="1">
        <w:r w:rsidRPr="00B542D5">
          <w:rPr>
            <w:rStyle w:val="Hyperlink"/>
            <w:lang w:val="es-ES"/>
          </w:rPr>
          <w:t>Decisiones 13.106-13.108</w:t>
        </w:r>
      </w:hyperlink>
      <w:r w:rsidRPr="00B542D5">
        <w:rPr>
          <w:lang w:val="es-ES"/>
        </w:rPr>
        <w:t xml:space="preserve"> </w:t>
      </w:r>
      <w:r w:rsidR="00F568D7" w:rsidRPr="00B542D5">
        <w:rPr>
          <w:i/>
          <w:iCs/>
          <w:lang w:val="es-ES"/>
        </w:rPr>
        <w:t xml:space="preserve">Apoyo al Grupo Operativo sobre la Energía, </w:t>
      </w:r>
      <w:r w:rsidRPr="00B542D5">
        <w:rPr>
          <w:lang w:val="es-ES"/>
        </w:rPr>
        <w:t>que dice</w:t>
      </w:r>
      <w:r w:rsidR="00641C09" w:rsidRPr="00B542D5">
        <w:rPr>
          <w:i/>
          <w:iCs/>
          <w:lang w:val="es-ES"/>
        </w:rPr>
        <w:t xml:space="preserve">: </w:t>
      </w:r>
    </w:p>
    <w:p w14:paraId="3D1A92E3" w14:textId="77777777" w:rsidR="00CB240A" w:rsidRPr="00B542D5" w:rsidRDefault="00CB240A" w:rsidP="00AC3522">
      <w:pPr>
        <w:pStyle w:val="ListParagraph"/>
        <w:spacing w:after="0" w:line="240" w:lineRule="auto"/>
        <w:ind w:left="540"/>
        <w:jc w:val="both"/>
        <w:rPr>
          <w:lang w:val="es-ES"/>
        </w:rPr>
      </w:pPr>
    </w:p>
    <w:p w14:paraId="5326CA67" w14:textId="319F9ECD" w:rsidR="00C443BA" w:rsidRPr="00A24837" w:rsidRDefault="000750D5" w:rsidP="00A24837">
      <w:pPr>
        <w:spacing w:after="0" w:line="240" w:lineRule="auto"/>
        <w:ind w:left="720"/>
        <w:jc w:val="both"/>
        <w:rPr>
          <w:b/>
          <w:bCs/>
          <w:i/>
          <w:iCs/>
          <w:sz w:val="20"/>
          <w:szCs w:val="20"/>
          <w:lang w:val="es-ES"/>
        </w:rPr>
      </w:pPr>
      <w:r w:rsidRPr="00A24837">
        <w:rPr>
          <w:b/>
          <w:bCs/>
          <w:i/>
          <w:iCs/>
          <w:sz w:val="20"/>
          <w:szCs w:val="20"/>
          <w:lang w:val="es-ES"/>
        </w:rPr>
        <w:t xml:space="preserve">13.106 </w:t>
      </w:r>
      <w:proofErr w:type="gramStart"/>
      <w:r w:rsidR="00A24837" w:rsidRPr="00A24837">
        <w:rPr>
          <w:b/>
          <w:bCs/>
          <w:i/>
          <w:iCs/>
          <w:sz w:val="20"/>
          <w:szCs w:val="20"/>
          <w:lang w:val="es-ES"/>
        </w:rPr>
        <w:t>Decisión</w:t>
      </w:r>
      <w:proofErr w:type="gramEnd"/>
      <w:r w:rsidR="00C443BA" w:rsidRPr="00A24837">
        <w:rPr>
          <w:b/>
          <w:bCs/>
          <w:i/>
          <w:iCs/>
          <w:sz w:val="20"/>
          <w:szCs w:val="20"/>
          <w:lang w:val="es-ES"/>
        </w:rPr>
        <w:t xml:space="preserve"> dirigido a: Partes, </w:t>
      </w:r>
      <w:proofErr w:type="spellStart"/>
      <w:r w:rsidR="00C443BA" w:rsidRPr="00A24837">
        <w:rPr>
          <w:b/>
          <w:bCs/>
          <w:i/>
          <w:iCs/>
          <w:sz w:val="20"/>
          <w:szCs w:val="20"/>
          <w:lang w:val="es-ES"/>
        </w:rPr>
        <w:t>OIGs</w:t>
      </w:r>
      <w:proofErr w:type="spellEnd"/>
      <w:r w:rsidR="00C443BA" w:rsidRPr="00A24837">
        <w:rPr>
          <w:b/>
          <w:bCs/>
          <w:i/>
          <w:iCs/>
          <w:sz w:val="20"/>
          <w:szCs w:val="20"/>
          <w:lang w:val="es-ES"/>
        </w:rPr>
        <w:t xml:space="preserve"> &amp; </w:t>
      </w:r>
      <w:proofErr w:type="spellStart"/>
      <w:r w:rsidR="00C443BA" w:rsidRPr="00A24837">
        <w:rPr>
          <w:b/>
          <w:bCs/>
          <w:i/>
          <w:iCs/>
          <w:sz w:val="20"/>
          <w:szCs w:val="20"/>
          <w:lang w:val="es-ES"/>
        </w:rPr>
        <w:t>ONGs</w:t>
      </w:r>
      <w:proofErr w:type="spellEnd"/>
      <w:r w:rsidR="00C443BA" w:rsidRPr="00A24837">
        <w:rPr>
          <w:b/>
          <w:bCs/>
          <w:i/>
          <w:iCs/>
          <w:sz w:val="20"/>
          <w:szCs w:val="20"/>
          <w:lang w:val="es-ES"/>
        </w:rPr>
        <w:t>, Otras</w:t>
      </w:r>
    </w:p>
    <w:p w14:paraId="122FB3CD" w14:textId="77777777" w:rsidR="00C443BA" w:rsidRPr="00A24837" w:rsidRDefault="00C443BA" w:rsidP="00A24837">
      <w:pPr>
        <w:spacing w:after="0" w:line="240" w:lineRule="auto"/>
        <w:ind w:left="720"/>
        <w:jc w:val="both"/>
        <w:rPr>
          <w:b/>
          <w:bCs/>
          <w:i/>
          <w:iCs/>
          <w:sz w:val="20"/>
          <w:szCs w:val="20"/>
          <w:lang w:val="es-ES"/>
        </w:rPr>
      </w:pPr>
    </w:p>
    <w:p w14:paraId="311E4688" w14:textId="4B1185E8" w:rsidR="00B70C80" w:rsidRPr="00C443BA" w:rsidRDefault="00C443BA" w:rsidP="00A24837">
      <w:pPr>
        <w:spacing w:after="0" w:line="240" w:lineRule="auto"/>
        <w:ind w:left="720"/>
        <w:jc w:val="both"/>
        <w:rPr>
          <w:rFonts w:cs="Arial"/>
          <w:i/>
          <w:iCs/>
          <w:sz w:val="20"/>
          <w:szCs w:val="20"/>
          <w:highlight w:val="yellow"/>
          <w:lang w:val="es-ES"/>
        </w:rPr>
      </w:pPr>
      <w:r w:rsidRPr="00C443BA">
        <w:rPr>
          <w:i/>
          <w:iCs/>
          <w:sz w:val="20"/>
          <w:szCs w:val="20"/>
          <w:lang w:val="es-ES"/>
        </w:rPr>
        <w:t>Se alienta a las Partes, incluida su representación, tanto de los ministerios y autoridades de medio ambiente como de energía, organizaciones intergubernamentales y no gubernamentales y otros interesados del sector de la energía, a que examinen la posibilidad de contribuir a la aplicación del Plan de trabajo del Grupo operativo sobre la energía, incluso mediante la prestación de asistencia financiera y técnica para respaldar las actividades en curso del Grupo operativo sobre la energía.</w:t>
      </w:r>
    </w:p>
    <w:p w14:paraId="34463976" w14:textId="77777777" w:rsidR="00C443BA" w:rsidRPr="00881760" w:rsidRDefault="00C443BA" w:rsidP="00A24837">
      <w:pPr>
        <w:spacing w:after="0" w:line="240" w:lineRule="auto"/>
        <w:ind w:left="720"/>
        <w:rPr>
          <w:i/>
          <w:iCs/>
          <w:sz w:val="20"/>
          <w:szCs w:val="20"/>
          <w:highlight w:val="yellow"/>
          <w:lang w:val="es-ES"/>
        </w:rPr>
      </w:pPr>
      <w:bookmarkStart w:id="1" w:name="13.107"/>
      <w:bookmarkEnd w:id="1"/>
    </w:p>
    <w:p w14:paraId="7E21895A" w14:textId="44D03450" w:rsidR="000750D5" w:rsidRPr="00A24837" w:rsidRDefault="00A24837" w:rsidP="00A24837">
      <w:pPr>
        <w:spacing w:after="0" w:line="240" w:lineRule="auto"/>
        <w:ind w:left="720"/>
        <w:jc w:val="both"/>
        <w:rPr>
          <w:b/>
          <w:bCs/>
          <w:i/>
          <w:iCs/>
          <w:sz w:val="20"/>
          <w:szCs w:val="20"/>
          <w:lang w:val="es-ES"/>
        </w:rPr>
      </w:pPr>
      <w:r w:rsidRPr="00A24837">
        <w:rPr>
          <w:b/>
          <w:bCs/>
          <w:i/>
          <w:iCs/>
          <w:sz w:val="20"/>
          <w:szCs w:val="20"/>
          <w:lang w:val="es-ES"/>
        </w:rPr>
        <w:t xml:space="preserve">13.107 </w:t>
      </w:r>
      <w:proofErr w:type="gramStart"/>
      <w:r w:rsidRPr="00A24837">
        <w:rPr>
          <w:b/>
          <w:bCs/>
          <w:i/>
          <w:iCs/>
          <w:sz w:val="20"/>
          <w:szCs w:val="20"/>
          <w:lang w:val="es-ES"/>
        </w:rPr>
        <w:t>Decisión</w:t>
      </w:r>
      <w:proofErr w:type="gramEnd"/>
      <w:r w:rsidR="000750D5" w:rsidRPr="00A24837">
        <w:rPr>
          <w:b/>
          <w:bCs/>
          <w:i/>
          <w:iCs/>
          <w:sz w:val="20"/>
          <w:szCs w:val="20"/>
          <w:lang w:val="es-ES"/>
        </w:rPr>
        <w:t xml:space="preserve"> dirigido a: Consejo Científico, Grupos de trabajo y Grupos de acción</w:t>
      </w:r>
    </w:p>
    <w:p w14:paraId="679F4AE3" w14:textId="77777777" w:rsidR="000750D5" w:rsidRPr="000750D5" w:rsidRDefault="000750D5" w:rsidP="00A24837">
      <w:pPr>
        <w:spacing w:after="0" w:line="240" w:lineRule="auto"/>
        <w:ind w:left="720"/>
        <w:jc w:val="both"/>
        <w:rPr>
          <w:i/>
          <w:iCs/>
          <w:sz w:val="20"/>
          <w:szCs w:val="20"/>
          <w:lang w:val="es-ES"/>
        </w:rPr>
      </w:pPr>
    </w:p>
    <w:p w14:paraId="6508D6C8" w14:textId="77777777" w:rsidR="000750D5" w:rsidRPr="000750D5" w:rsidRDefault="000750D5" w:rsidP="00A24837">
      <w:pPr>
        <w:spacing w:after="0" w:line="240" w:lineRule="auto"/>
        <w:ind w:left="720"/>
        <w:jc w:val="both"/>
        <w:rPr>
          <w:i/>
          <w:iCs/>
          <w:sz w:val="20"/>
          <w:szCs w:val="20"/>
          <w:lang w:val="es-ES"/>
        </w:rPr>
      </w:pPr>
      <w:r w:rsidRPr="000750D5">
        <w:rPr>
          <w:i/>
          <w:iCs/>
          <w:sz w:val="20"/>
          <w:szCs w:val="20"/>
          <w:lang w:val="es-ES"/>
        </w:rPr>
        <w:t>Se solicita al Grupo operativo sobre la Energía, con aportes del Consejo Científico según proceda, sujeto a la disponibilidad de recursos, a:</w:t>
      </w:r>
    </w:p>
    <w:p w14:paraId="1F249B36" w14:textId="77777777" w:rsidR="000750D5" w:rsidRPr="000750D5" w:rsidRDefault="000750D5" w:rsidP="00A24837">
      <w:pPr>
        <w:spacing w:after="0" w:line="240" w:lineRule="auto"/>
        <w:ind w:left="720"/>
        <w:jc w:val="both"/>
        <w:rPr>
          <w:i/>
          <w:iCs/>
          <w:sz w:val="20"/>
          <w:szCs w:val="20"/>
          <w:lang w:val="es-ES"/>
        </w:rPr>
      </w:pPr>
    </w:p>
    <w:p w14:paraId="5A633750" w14:textId="5A945F16" w:rsidR="000750D5" w:rsidRPr="00A24837" w:rsidRDefault="000750D5" w:rsidP="00A24837">
      <w:pPr>
        <w:pStyle w:val="ListParagraph"/>
        <w:numPr>
          <w:ilvl w:val="0"/>
          <w:numId w:val="23"/>
        </w:numPr>
        <w:spacing w:after="0" w:line="240" w:lineRule="auto"/>
        <w:jc w:val="both"/>
        <w:rPr>
          <w:i/>
          <w:iCs/>
          <w:sz w:val="20"/>
          <w:szCs w:val="20"/>
          <w:lang w:val="es-ES"/>
        </w:rPr>
      </w:pPr>
      <w:r w:rsidRPr="00A24837">
        <w:rPr>
          <w:i/>
          <w:iCs/>
          <w:sz w:val="20"/>
          <w:szCs w:val="20"/>
          <w:lang w:val="es-ES"/>
        </w:rPr>
        <w:t>indagar sobre las buenas prácticas con el fin de estandarizar las metodologías de planificación, gestión y supervisión de la infraestructura de energía renovable y su impacto sobre la biodiversidad, las medidas de mitigación efectivas basadas en la evidencia científica, así como en métodos de evaluación acumulativa;</w:t>
      </w:r>
    </w:p>
    <w:p w14:paraId="2B4DE9F5" w14:textId="77777777" w:rsidR="000750D5" w:rsidRPr="000750D5" w:rsidRDefault="000750D5" w:rsidP="00A24837">
      <w:pPr>
        <w:spacing w:after="0" w:line="240" w:lineRule="auto"/>
        <w:ind w:left="720"/>
        <w:jc w:val="both"/>
        <w:rPr>
          <w:i/>
          <w:iCs/>
          <w:sz w:val="20"/>
          <w:szCs w:val="20"/>
          <w:lang w:val="es-ES"/>
        </w:rPr>
      </w:pPr>
    </w:p>
    <w:p w14:paraId="67151313" w14:textId="476B2B33" w:rsidR="000750D5" w:rsidRPr="00A24837" w:rsidRDefault="000750D5" w:rsidP="00A24837">
      <w:pPr>
        <w:pStyle w:val="ListParagraph"/>
        <w:numPr>
          <w:ilvl w:val="0"/>
          <w:numId w:val="23"/>
        </w:numPr>
        <w:spacing w:after="0" w:line="240" w:lineRule="auto"/>
        <w:jc w:val="both"/>
        <w:rPr>
          <w:i/>
          <w:iCs/>
          <w:sz w:val="20"/>
          <w:szCs w:val="20"/>
          <w:lang w:val="es-ES"/>
        </w:rPr>
      </w:pPr>
      <w:r w:rsidRPr="00A24837">
        <w:rPr>
          <w:i/>
          <w:iCs/>
          <w:sz w:val="20"/>
          <w:szCs w:val="20"/>
          <w:lang w:val="es-ES"/>
        </w:rPr>
        <w:t>recopilar las prácticas recomendadas y sugiera medios para integrar la biodiversidad en las políticas nacionales relativas al conjunto de fuentes de energías renovables y a las contribuciones determinadas a nivel nacional (CDN), de acuerdo con la Decisión 13.108, a continuación;</w:t>
      </w:r>
    </w:p>
    <w:p w14:paraId="2E89AD26" w14:textId="77777777" w:rsidR="000750D5" w:rsidRPr="000750D5" w:rsidRDefault="000750D5" w:rsidP="000750D5">
      <w:pPr>
        <w:spacing w:after="0" w:line="240" w:lineRule="auto"/>
        <w:ind w:left="1440" w:hanging="360"/>
        <w:jc w:val="both"/>
        <w:rPr>
          <w:i/>
          <w:iCs/>
          <w:sz w:val="20"/>
          <w:szCs w:val="20"/>
          <w:lang w:val="es-ES"/>
        </w:rPr>
      </w:pPr>
    </w:p>
    <w:p w14:paraId="72C45E32" w14:textId="3ACEA2D9" w:rsidR="000750D5" w:rsidRPr="00A24837" w:rsidRDefault="000750D5" w:rsidP="00A24837">
      <w:pPr>
        <w:pStyle w:val="ListParagraph"/>
        <w:numPr>
          <w:ilvl w:val="0"/>
          <w:numId w:val="23"/>
        </w:numPr>
        <w:spacing w:after="0" w:line="240" w:lineRule="auto"/>
        <w:jc w:val="both"/>
        <w:rPr>
          <w:i/>
          <w:iCs/>
          <w:sz w:val="20"/>
          <w:szCs w:val="20"/>
          <w:lang w:val="es-ES"/>
        </w:rPr>
      </w:pPr>
      <w:r w:rsidRPr="00A24837">
        <w:rPr>
          <w:i/>
          <w:iCs/>
          <w:sz w:val="20"/>
          <w:szCs w:val="20"/>
          <w:lang w:val="es-ES"/>
        </w:rPr>
        <w:t>proporcionar orientación y herramientas de revisión para la evaluación y la mitigación de los impactos acumulativos de las energías (renovables) y el desarrollo de los tendidos eléctricos sobre las especies migratorias, incluso más allá de las fronteras nacionales, a lo largo de las rutas de vuelo migratorio y de las áreas de distribución geográfica de las especies; esto incluye:</w:t>
      </w:r>
    </w:p>
    <w:p w14:paraId="725EAABC" w14:textId="77777777" w:rsidR="000750D5" w:rsidRPr="000750D5" w:rsidRDefault="000750D5" w:rsidP="000750D5">
      <w:pPr>
        <w:spacing w:after="0" w:line="240" w:lineRule="auto"/>
        <w:ind w:left="1440" w:hanging="360"/>
        <w:jc w:val="both"/>
        <w:rPr>
          <w:i/>
          <w:iCs/>
          <w:sz w:val="20"/>
          <w:szCs w:val="20"/>
          <w:lang w:val="es-ES"/>
        </w:rPr>
      </w:pPr>
    </w:p>
    <w:p w14:paraId="34C8D0D4" w14:textId="77777777" w:rsidR="000750D5" w:rsidRPr="000750D5" w:rsidRDefault="000750D5" w:rsidP="000750D5">
      <w:pPr>
        <w:spacing w:after="0" w:line="240" w:lineRule="auto"/>
        <w:ind w:left="1440" w:hanging="360"/>
        <w:jc w:val="both"/>
        <w:rPr>
          <w:i/>
          <w:iCs/>
          <w:sz w:val="20"/>
          <w:szCs w:val="20"/>
          <w:lang w:val="es-ES"/>
        </w:rPr>
      </w:pPr>
      <w:r w:rsidRPr="000750D5">
        <w:rPr>
          <w:i/>
          <w:iCs/>
          <w:sz w:val="20"/>
          <w:szCs w:val="20"/>
          <w:lang w:val="es-ES"/>
        </w:rPr>
        <w:t xml:space="preserve">i. enfoques estandarizados para la supervisión posterior a la construcción de proyectos de energía renovable y la revisión de las herramientas existentes, como </w:t>
      </w:r>
      <w:proofErr w:type="spellStart"/>
      <w:r w:rsidRPr="000750D5">
        <w:rPr>
          <w:i/>
          <w:iCs/>
          <w:sz w:val="20"/>
          <w:szCs w:val="20"/>
          <w:lang w:val="es-ES"/>
        </w:rPr>
        <w:t>GenEst</w:t>
      </w:r>
      <w:proofErr w:type="spellEnd"/>
      <w:r w:rsidRPr="000750D5">
        <w:rPr>
          <w:i/>
          <w:iCs/>
          <w:sz w:val="20"/>
          <w:szCs w:val="20"/>
          <w:lang w:val="es-ES"/>
        </w:rPr>
        <w:t>;</w:t>
      </w:r>
    </w:p>
    <w:p w14:paraId="17002976" w14:textId="77777777" w:rsidR="000750D5" w:rsidRPr="000750D5" w:rsidRDefault="000750D5" w:rsidP="000750D5">
      <w:pPr>
        <w:spacing w:after="0" w:line="240" w:lineRule="auto"/>
        <w:ind w:left="1440" w:hanging="360"/>
        <w:jc w:val="both"/>
        <w:rPr>
          <w:i/>
          <w:iCs/>
          <w:sz w:val="20"/>
          <w:szCs w:val="20"/>
          <w:lang w:val="es-ES"/>
        </w:rPr>
      </w:pPr>
      <w:proofErr w:type="spellStart"/>
      <w:r w:rsidRPr="000750D5">
        <w:rPr>
          <w:i/>
          <w:iCs/>
          <w:sz w:val="20"/>
          <w:szCs w:val="20"/>
          <w:lang w:val="es-ES"/>
        </w:rPr>
        <w:t>ii</w:t>
      </w:r>
      <w:proofErr w:type="spellEnd"/>
      <w:r w:rsidRPr="000750D5">
        <w:rPr>
          <w:i/>
          <w:iCs/>
          <w:sz w:val="20"/>
          <w:szCs w:val="20"/>
          <w:lang w:val="es-ES"/>
        </w:rPr>
        <w:t>. la recopilación de los datos de mortalidad de las especies en bases de datos sobre mortalidad nacionales y mundiales;</w:t>
      </w:r>
    </w:p>
    <w:p w14:paraId="7C43628A" w14:textId="77777777" w:rsidR="000750D5" w:rsidRPr="000750D5" w:rsidRDefault="000750D5" w:rsidP="000750D5">
      <w:pPr>
        <w:spacing w:after="0" w:line="240" w:lineRule="auto"/>
        <w:ind w:left="1440" w:hanging="360"/>
        <w:jc w:val="both"/>
        <w:rPr>
          <w:i/>
          <w:iCs/>
          <w:sz w:val="20"/>
          <w:szCs w:val="20"/>
          <w:lang w:val="es-ES"/>
        </w:rPr>
      </w:pPr>
      <w:proofErr w:type="spellStart"/>
      <w:r w:rsidRPr="000750D5">
        <w:rPr>
          <w:i/>
          <w:iCs/>
          <w:sz w:val="20"/>
          <w:szCs w:val="20"/>
          <w:lang w:val="es-ES"/>
        </w:rPr>
        <w:t>iii</w:t>
      </w:r>
      <w:proofErr w:type="spellEnd"/>
      <w:r w:rsidRPr="000750D5">
        <w:rPr>
          <w:i/>
          <w:iCs/>
          <w:sz w:val="20"/>
          <w:szCs w:val="20"/>
          <w:lang w:val="es-ES"/>
        </w:rPr>
        <w:t>. análisis de métodos para el establecimiento de los impactos acumulativos en el marco de los efectos determinados a nivel poblacional y a escala espacial, entre otros los que se derivan del desplazamiento de las especies debido a la construcción y el funcionamiento de infraestructuras energéticas;</w:t>
      </w:r>
    </w:p>
    <w:p w14:paraId="40283DB2" w14:textId="77777777" w:rsidR="000750D5" w:rsidRPr="000750D5" w:rsidRDefault="000750D5" w:rsidP="000750D5">
      <w:pPr>
        <w:spacing w:after="0" w:line="240" w:lineRule="auto"/>
        <w:ind w:left="1440" w:hanging="360"/>
        <w:jc w:val="both"/>
        <w:rPr>
          <w:i/>
          <w:iCs/>
          <w:sz w:val="20"/>
          <w:szCs w:val="20"/>
          <w:lang w:val="es-ES"/>
        </w:rPr>
      </w:pPr>
      <w:proofErr w:type="spellStart"/>
      <w:r w:rsidRPr="000750D5">
        <w:rPr>
          <w:i/>
          <w:iCs/>
          <w:sz w:val="20"/>
          <w:szCs w:val="20"/>
          <w:lang w:val="es-ES"/>
        </w:rPr>
        <w:t>iv</w:t>
      </w:r>
      <w:proofErr w:type="spellEnd"/>
      <w:r w:rsidRPr="000750D5">
        <w:rPr>
          <w:i/>
          <w:iCs/>
          <w:sz w:val="20"/>
          <w:szCs w:val="20"/>
          <w:lang w:val="es-ES"/>
        </w:rPr>
        <w:t>. refuerzo de los procedimientos para la concesión de licencias y la aprobación de infraestructuras energéticas a escala nacional.</w:t>
      </w:r>
    </w:p>
    <w:p w14:paraId="62D3AF5A" w14:textId="77777777" w:rsidR="000750D5" w:rsidRPr="000750D5" w:rsidRDefault="000750D5" w:rsidP="000750D5">
      <w:pPr>
        <w:spacing w:after="0" w:line="240" w:lineRule="auto"/>
        <w:ind w:left="1440" w:hanging="360"/>
        <w:jc w:val="both"/>
        <w:rPr>
          <w:i/>
          <w:iCs/>
          <w:sz w:val="20"/>
          <w:szCs w:val="20"/>
          <w:lang w:val="es-ES"/>
        </w:rPr>
      </w:pPr>
    </w:p>
    <w:p w14:paraId="6DFAF9CB" w14:textId="28894B36" w:rsidR="000750D5" w:rsidRPr="00A24837" w:rsidRDefault="000750D5" w:rsidP="00A24837">
      <w:pPr>
        <w:pStyle w:val="ListParagraph"/>
        <w:numPr>
          <w:ilvl w:val="0"/>
          <w:numId w:val="23"/>
        </w:numPr>
        <w:spacing w:after="0" w:line="240" w:lineRule="auto"/>
        <w:jc w:val="both"/>
        <w:rPr>
          <w:i/>
          <w:iCs/>
          <w:sz w:val="20"/>
          <w:szCs w:val="20"/>
          <w:lang w:val="es-ES"/>
        </w:rPr>
      </w:pPr>
      <w:r w:rsidRPr="00A24837">
        <w:rPr>
          <w:i/>
          <w:iCs/>
          <w:sz w:val="20"/>
          <w:szCs w:val="20"/>
          <w:lang w:val="es-ES"/>
        </w:rPr>
        <w:t>emprender estas actividades en colaboración con las organizaciones especializadas mencionadas en la UNEP/CMS/Resolución 7.2 (Rev. COP12) Evaluación de los efectos y especies migratorias, sobre la base de los principios expresados en esa Resolución;</w:t>
      </w:r>
    </w:p>
    <w:p w14:paraId="504DC261" w14:textId="77777777" w:rsidR="000750D5" w:rsidRPr="000750D5" w:rsidRDefault="000750D5" w:rsidP="000750D5">
      <w:pPr>
        <w:spacing w:after="0" w:line="240" w:lineRule="auto"/>
        <w:ind w:left="1440" w:hanging="360"/>
        <w:jc w:val="both"/>
        <w:rPr>
          <w:i/>
          <w:iCs/>
          <w:sz w:val="20"/>
          <w:szCs w:val="20"/>
          <w:lang w:val="es-ES"/>
        </w:rPr>
      </w:pPr>
    </w:p>
    <w:p w14:paraId="600B5CE6" w14:textId="53407A9D" w:rsidR="006B346B" w:rsidRPr="00A24837" w:rsidRDefault="000750D5" w:rsidP="00A24837">
      <w:pPr>
        <w:pStyle w:val="ListParagraph"/>
        <w:numPr>
          <w:ilvl w:val="0"/>
          <w:numId w:val="23"/>
        </w:numPr>
        <w:spacing w:after="0" w:line="240" w:lineRule="auto"/>
        <w:jc w:val="both"/>
        <w:rPr>
          <w:rFonts w:cs="Arial"/>
          <w:i/>
          <w:iCs/>
          <w:sz w:val="20"/>
          <w:szCs w:val="20"/>
          <w:lang w:val="es-ES"/>
        </w:rPr>
      </w:pPr>
      <w:r w:rsidRPr="00A24837">
        <w:rPr>
          <w:i/>
          <w:iCs/>
          <w:sz w:val="20"/>
          <w:szCs w:val="20"/>
          <w:lang w:val="es-ES"/>
        </w:rPr>
        <w:t>informar a la 14ª Reunión de la Conferencia de las Partes (COP14) sobre las actividades anteriores.</w:t>
      </w:r>
    </w:p>
    <w:p w14:paraId="653865AC" w14:textId="77777777" w:rsidR="009F0E48" w:rsidRPr="00A24837" w:rsidRDefault="009F0E48" w:rsidP="00B70C80">
      <w:pPr>
        <w:spacing w:after="0" w:line="240" w:lineRule="auto"/>
        <w:ind w:left="1134"/>
        <w:jc w:val="both"/>
        <w:rPr>
          <w:rFonts w:cs="Arial"/>
          <w:i/>
          <w:iCs/>
          <w:sz w:val="20"/>
          <w:szCs w:val="20"/>
          <w:lang w:val="es-ES"/>
        </w:rPr>
      </w:pPr>
    </w:p>
    <w:p w14:paraId="55F34830" w14:textId="77777777" w:rsidR="00A24837" w:rsidRPr="00A24837" w:rsidRDefault="00A24837" w:rsidP="00A24837">
      <w:pPr>
        <w:spacing w:after="0" w:line="240" w:lineRule="auto"/>
        <w:ind w:left="720"/>
        <w:rPr>
          <w:i/>
          <w:iCs/>
          <w:sz w:val="20"/>
          <w:szCs w:val="20"/>
          <w:lang w:val="es-ES"/>
        </w:rPr>
      </w:pPr>
      <w:bookmarkStart w:id="2" w:name="13.108"/>
      <w:bookmarkEnd w:id="2"/>
    </w:p>
    <w:p w14:paraId="4996DAF9" w14:textId="18933825" w:rsidR="00A24837" w:rsidRPr="00A24837" w:rsidRDefault="006B346B" w:rsidP="00A24837">
      <w:pPr>
        <w:spacing w:after="0" w:line="240" w:lineRule="auto"/>
        <w:ind w:left="720"/>
        <w:rPr>
          <w:i/>
          <w:iCs/>
          <w:sz w:val="20"/>
          <w:szCs w:val="20"/>
          <w:lang w:val="es-ES"/>
        </w:rPr>
      </w:pPr>
      <w:r w:rsidRPr="00A24837">
        <w:rPr>
          <w:i/>
          <w:iCs/>
          <w:sz w:val="20"/>
          <w:szCs w:val="20"/>
          <w:lang w:val="es-ES"/>
        </w:rPr>
        <w:t>13.108</w:t>
      </w:r>
      <w:r w:rsidR="009F0E48" w:rsidRPr="00A24837">
        <w:rPr>
          <w:i/>
          <w:iCs/>
          <w:sz w:val="20"/>
          <w:szCs w:val="20"/>
          <w:lang w:val="es-ES"/>
        </w:rPr>
        <w:t xml:space="preserve"> </w:t>
      </w:r>
      <w:proofErr w:type="gramStart"/>
      <w:r w:rsidR="00A24837" w:rsidRPr="00A24837">
        <w:rPr>
          <w:i/>
          <w:iCs/>
          <w:sz w:val="20"/>
          <w:szCs w:val="20"/>
          <w:lang w:val="es-ES"/>
        </w:rPr>
        <w:t>Decisión</w:t>
      </w:r>
      <w:proofErr w:type="gramEnd"/>
      <w:r w:rsidR="00A24837" w:rsidRPr="00A24837">
        <w:rPr>
          <w:i/>
          <w:iCs/>
          <w:sz w:val="20"/>
          <w:szCs w:val="20"/>
          <w:lang w:val="es-ES"/>
        </w:rPr>
        <w:t xml:space="preserve"> dirigido a: Partes</w:t>
      </w:r>
    </w:p>
    <w:p w14:paraId="3B5B5D58" w14:textId="77777777" w:rsidR="00A24837" w:rsidRPr="00A24837" w:rsidRDefault="00A24837" w:rsidP="00A24837">
      <w:pPr>
        <w:spacing w:after="0" w:line="240" w:lineRule="auto"/>
        <w:ind w:left="720"/>
        <w:rPr>
          <w:i/>
          <w:iCs/>
          <w:sz w:val="20"/>
          <w:szCs w:val="20"/>
          <w:lang w:val="es-ES"/>
        </w:rPr>
      </w:pPr>
    </w:p>
    <w:p w14:paraId="3B18DF79" w14:textId="77777777" w:rsidR="00A24837" w:rsidRPr="00A24837" w:rsidRDefault="00A24837" w:rsidP="00A24837">
      <w:pPr>
        <w:spacing w:after="0" w:line="240" w:lineRule="auto"/>
        <w:ind w:left="720"/>
        <w:rPr>
          <w:i/>
          <w:iCs/>
          <w:sz w:val="20"/>
          <w:szCs w:val="20"/>
          <w:lang w:val="es-ES"/>
        </w:rPr>
      </w:pPr>
      <w:r w:rsidRPr="00A24837">
        <w:rPr>
          <w:i/>
          <w:iCs/>
          <w:sz w:val="20"/>
          <w:szCs w:val="20"/>
          <w:lang w:val="es-ES"/>
        </w:rPr>
        <w:t>Las Partes:</w:t>
      </w:r>
    </w:p>
    <w:p w14:paraId="4441EB04" w14:textId="77777777" w:rsidR="00A24837" w:rsidRPr="00A24837" w:rsidRDefault="00A24837" w:rsidP="00A24837">
      <w:pPr>
        <w:spacing w:after="0" w:line="240" w:lineRule="auto"/>
        <w:ind w:left="720"/>
        <w:rPr>
          <w:i/>
          <w:iCs/>
          <w:sz w:val="20"/>
          <w:szCs w:val="20"/>
          <w:lang w:val="es-ES"/>
        </w:rPr>
      </w:pPr>
    </w:p>
    <w:p w14:paraId="2FE1CBED" w14:textId="073EA9C9" w:rsidR="00A24837" w:rsidRPr="00A24837" w:rsidRDefault="00A24837" w:rsidP="00A24837">
      <w:pPr>
        <w:pStyle w:val="ListParagraph"/>
        <w:numPr>
          <w:ilvl w:val="0"/>
          <w:numId w:val="24"/>
        </w:numPr>
        <w:spacing w:after="0" w:line="240" w:lineRule="auto"/>
        <w:jc w:val="both"/>
        <w:rPr>
          <w:i/>
          <w:iCs/>
          <w:sz w:val="20"/>
          <w:szCs w:val="20"/>
          <w:lang w:val="es-ES"/>
        </w:rPr>
      </w:pPr>
      <w:r w:rsidRPr="00A24837">
        <w:rPr>
          <w:i/>
          <w:iCs/>
          <w:sz w:val="20"/>
          <w:szCs w:val="20"/>
          <w:lang w:val="es-ES"/>
        </w:rPr>
        <w:t>son alentadas a integrar las consideraciones relativas a la diversidad biológica y las especies migratorias en las políticas y planes de acción nacionales en materia de energía y clima, proporcionando datos y recomendaciones a los procesos de los gobiernos nacionales, a fin de mejorar las sinergias entre la Convención Marco de las Naciones Unidas sobre el Cambio Climático (CMNUCC) y la CMS, y a apoyar una combinación de energías renovables basada en datos empíricos en el diseño y la aplicación de políticas de energías renovables, como las Contribuciones Determinadas a Nivel Nacional y los Planes Nacionales de Energía y Clima, entre otras cosas, integrando las Evaluaciones Estratégicas Medioambientales y el mapeo de la sensibilidad de las especies a la toma de decisiones sobre los objetivos del clima;</w:t>
      </w:r>
    </w:p>
    <w:p w14:paraId="045903EA" w14:textId="77777777" w:rsidR="00A24837" w:rsidRPr="00A24837" w:rsidRDefault="00A24837" w:rsidP="00A24837">
      <w:pPr>
        <w:spacing w:after="0" w:line="240" w:lineRule="auto"/>
        <w:ind w:left="720"/>
        <w:jc w:val="both"/>
        <w:rPr>
          <w:i/>
          <w:iCs/>
          <w:sz w:val="20"/>
          <w:szCs w:val="20"/>
          <w:lang w:val="es-ES"/>
        </w:rPr>
      </w:pPr>
    </w:p>
    <w:p w14:paraId="65F7E00D" w14:textId="46E22FFF" w:rsidR="00A24837" w:rsidRPr="00A24837" w:rsidRDefault="00A24837" w:rsidP="00A24837">
      <w:pPr>
        <w:pStyle w:val="ListParagraph"/>
        <w:numPr>
          <w:ilvl w:val="0"/>
          <w:numId w:val="24"/>
        </w:numPr>
        <w:spacing w:after="0" w:line="240" w:lineRule="auto"/>
        <w:jc w:val="both"/>
        <w:rPr>
          <w:i/>
          <w:iCs/>
          <w:sz w:val="20"/>
          <w:szCs w:val="20"/>
          <w:lang w:val="es-ES"/>
        </w:rPr>
      </w:pPr>
      <w:r w:rsidRPr="00A24837">
        <w:rPr>
          <w:i/>
          <w:iCs/>
          <w:sz w:val="20"/>
          <w:szCs w:val="20"/>
          <w:lang w:val="es-ES"/>
        </w:rPr>
        <w:t>son invitadas a proporcionar al Grupo de Trabajo sobre Energía y a la Secretaría información e indicadores que se han integrado en los planes de acción nacionales sobre el clima y los centros nacionales de datos;</w:t>
      </w:r>
    </w:p>
    <w:p w14:paraId="715B4DD4" w14:textId="77777777" w:rsidR="00A24837" w:rsidRPr="00A24837" w:rsidRDefault="00A24837" w:rsidP="00A24837">
      <w:pPr>
        <w:spacing w:after="0" w:line="240" w:lineRule="auto"/>
        <w:ind w:left="720"/>
        <w:jc w:val="both"/>
        <w:rPr>
          <w:i/>
          <w:iCs/>
          <w:sz w:val="20"/>
          <w:szCs w:val="20"/>
          <w:lang w:val="es-ES"/>
        </w:rPr>
      </w:pPr>
    </w:p>
    <w:p w14:paraId="2B2AD689" w14:textId="77AE0765" w:rsidR="005F638F" w:rsidRPr="00A24837" w:rsidRDefault="00A24837" w:rsidP="00A24837">
      <w:pPr>
        <w:pStyle w:val="ListParagraph"/>
        <w:numPr>
          <w:ilvl w:val="0"/>
          <w:numId w:val="24"/>
        </w:numPr>
        <w:spacing w:after="0" w:line="240" w:lineRule="auto"/>
        <w:jc w:val="both"/>
        <w:rPr>
          <w:rFonts w:eastAsia="Arial" w:cs="Arial"/>
          <w:u w:val="single"/>
          <w:lang w:val="es-ES"/>
        </w:rPr>
      </w:pPr>
      <w:r w:rsidRPr="00A24837">
        <w:rPr>
          <w:i/>
          <w:iCs/>
          <w:sz w:val="20"/>
          <w:szCs w:val="20"/>
          <w:lang w:val="es-ES"/>
        </w:rPr>
        <w:t>se les pide informar a la COP14 sobre las actividades mencionadas en sus Informes Nacionales.</w:t>
      </w:r>
      <w:r w:rsidR="005C5033" w:rsidRPr="00A24837">
        <w:rPr>
          <w:rFonts w:eastAsia="Arial" w:cs="Arial"/>
          <w:u w:val="single"/>
          <w:lang w:val="es-ES"/>
        </w:rPr>
        <w:t xml:space="preserve"> </w:t>
      </w:r>
    </w:p>
    <w:p w14:paraId="41D1ACB5" w14:textId="77777777" w:rsidR="00A24837" w:rsidRDefault="00A24837" w:rsidP="005F638F">
      <w:pPr>
        <w:spacing w:after="0" w:line="240" w:lineRule="auto"/>
        <w:jc w:val="both"/>
        <w:rPr>
          <w:rFonts w:eastAsia="Arial" w:cs="Arial"/>
          <w:u w:val="single"/>
          <w:lang w:val="es-ES"/>
        </w:rPr>
      </w:pPr>
    </w:p>
    <w:p w14:paraId="74459E57" w14:textId="70FD55CE" w:rsidR="00830B3B" w:rsidRPr="00B542D5" w:rsidRDefault="00830B3B" w:rsidP="005F638F">
      <w:pPr>
        <w:spacing w:after="0" w:line="240" w:lineRule="auto"/>
        <w:jc w:val="both"/>
        <w:rPr>
          <w:rFonts w:eastAsia="Arial" w:cs="Arial"/>
          <w:u w:val="single"/>
          <w:lang w:val="es-ES"/>
        </w:rPr>
      </w:pPr>
      <w:r w:rsidRPr="00B542D5">
        <w:rPr>
          <w:rFonts w:eastAsia="Arial" w:cs="Arial"/>
          <w:u w:val="single"/>
          <w:lang w:val="es-ES"/>
        </w:rPr>
        <w:t xml:space="preserve">Actividades para implementar la Resolución 11.27 (Rev.COP13) </w:t>
      </w:r>
      <w:r w:rsidR="00F36BAE" w:rsidRPr="00B542D5">
        <w:rPr>
          <w:rFonts w:eastAsia="Arial" w:cs="Arial"/>
          <w:i/>
          <w:iCs/>
          <w:u w:val="single"/>
          <w:lang w:val="es-ES"/>
        </w:rPr>
        <w:t>Energías renovables y Especies migratorias</w:t>
      </w:r>
      <w:r w:rsidR="007E0AB4" w:rsidRPr="00B542D5">
        <w:rPr>
          <w:rFonts w:eastAsia="Arial" w:cs="Arial"/>
          <w:u w:val="single"/>
          <w:lang w:val="es-ES"/>
        </w:rPr>
        <w:t xml:space="preserve"> y las Decisiones 13.106-13.108</w:t>
      </w:r>
    </w:p>
    <w:p w14:paraId="33169254" w14:textId="77777777" w:rsidR="00204F71" w:rsidRPr="00B542D5" w:rsidRDefault="00204F71" w:rsidP="005F638F">
      <w:pPr>
        <w:spacing w:after="0" w:line="240" w:lineRule="auto"/>
        <w:jc w:val="both"/>
        <w:rPr>
          <w:rFonts w:eastAsia="Arial" w:cs="Arial"/>
          <w:u w:val="single"/>
          <w:lang w:val="es-ES"/>
        </w:rPr>
      </w:pPr>
    </w:p>
    <w:p w14:paraId="1C91AAAF" w14:textId="285889DF" w:rsidR="006C1E4A" w:rsidRPr="00B542D5" w:rsidRDefault="00FC2AAD" w:rsidP="006C1E4A">
      <w:pPr>
        <w:pStyle w:val="ListParagraph"/>
        <w:numPr>
          <w:ilvl w:val="0"/>
          <w:numId w:val="6"/>
        </w:numPr>
        <w:spacing w:after="0" w:line="240" w:lineRule="auto"/>
        <w:ind w:left="540" w:hanging="540"/>
        <w:jc w:val="both"/>
        <w:rPr>
          <w:lang w:val="es-ES"/>
        </w:rPr>
      </w:pPr>
      <w:r w:rsidRPr="00B542D5">
        <w:rPr>
          <w:lang w:val="es-ES"/>
        </w:rPr>
        <w:t xml:space="preserve">Durante el actual período entre sesiones se definió el </w:t>
      </w:r>
      <w:hyperlink r:id="rId21" w:history="1">
        <w:r w:rsidR="007B136A" w:rsidRPr="00B542D5">
          <w:rPr>
            <w:rStyle w:val="Hyperlink"/>
            <w:lang w:val="es-ES"/>
          </w:rPr>
          <w:t>Plan de trabajo marco del Grupo Operativo sobre la Energía (ETF)</w:t>
        </w:r>
      </w:hyperlink>
      <w:r w:rsidR="00772163" w:rsidRPr="00B542D5">
        <w:rPr>
          <w:rStyle w:val="Hyperlink"/>
          <w:lang w:val="es-ES"/>
        </w:rPr>
        <w:t xml:space="preserve"> 2021-2024</w:t>
      </w:r>
      <w:r w:rsidRPr="00B542D5">
        <w:rPr>
          <w:lang w:val="es-ES"/>
        </w:rPr>
        <w:t>. El principal objetivo del ETF sigue siendo mitigar las amenazas para las especies migratorias fomentando las salvaguardias, la planificación y la participación de las partes interesadas. El Plan de trabajo del ETF es su documento guía, así como la herramienta de seguimiento clave para medir el progreso en cada una de sus reuniones anuales. La implementación del Plan de trabajo del ETF ha estado apoyada a nivel económico por los Gobiernos de Francia, India y Alemania.</w:t>
      </w:r>
    </w:p>
    <w:p w14:paraId="55AD47F6" w14:textId="77777777" w:rsidR="006C1E4A" w:rsidRPr="00B542D5" w:rsidRDefault="006C1E4A" w:rsidP="00A020A4">
      <w:pPr>
        <w:pStyle w:val="ListParagraph"/>
        <w:spacing w:after="0" w:line="240" w:lineRule="auto"/>
        <w:ind w:left="540"/>
        <w:jc w:val="both"/>
        <w:rPr>
          <w:lang w:val="es-ES"/>
        </w:rPr>
      </w:pPr>
    </w:p>
    <w:p w14:paraId="6CDF542F" w14:textId="7E2E7443" w:rsidR="009B36F0" w:rsidRPr="00B542D5" w:rsidRDefault="0040385B" w:rsidP="006C1E4A">
      <w:pPr>
        <w:pStyle w:val="ListParagraph"/>
        <w:numPr>
          <w:ilvl w:val="0"/>
          <w:numId w:val="6"/>
        </w:numPr>
        <w:spacing w:after="0" w:line="240" w:lineRule="auto"/>
        <w:ind w:left="540" w:hanging="540"/>
        <w:jc w:val="both"/>
        <w:rPr>
          <w:lang w:val="es-ES"/>
        </w:rPr>
      </w:pPr>
      <w:r w:rsidRPr="00B542D5">
        <w:rPr>
          <w:lang w:val="es-ES"/>
        </w:rPr>
        <w:t xml:space="preserve">En mayo de 2022 se firmó un nuevo Proyecto de acuerdo de cooperación (PCA) con BirdLife International para la coordinación del Grupo Operativo sobre la energía. Este PCA establece un programa de actividades detallado, relacionado con el Plan de trabajo del ETF, y los mecanismos para realizar el seguimiento de su implementación. </w:t>
      </w:r>
    </w:p>
    <w:p w14:paraId="5AFD1A0E" w14:textId="77777777" w:rsidR="002D6506" w:rsidRPr="00B542D5" w:rsidRDefault="002D6506" w:rsidP="00A020A4">
      <w:pPr>
        <w:pStyle w:val="ListParagraph"/>
        <w:spacing w:after="0" w:line="240" w:lineRule="auto"/>
        <w:ind w:left="540"/>
        <w:jc w:val="both"/>
        <w:rPr>
          <w:lang w:val="es-ES"/>
        </w:rPr>
      </w:pPr>
    </w:p>
    <w:p w14:paraId="4121274F" w14:textId="4FA3A3A9" w:rsidR="002D6506" w:rsidRPr="00B542D5" w:rsidRDefault="00983089" w:rsidP="00BE41BC">
      <w:pPr>
        <w:pStyle w:val="ListParagraph"/>
        <w:numPr>
          <w:ilvl w:val="0"/>
          <w:numId w:val="6"/>
        </w:numPr>
        <w:ind w:left="540" w:hanging="540"/>
        <w:jc w:val="both"/>
        <w:rPr>
          <w:lang w:val="es-ES"/>
        </w:rPr>
      </w:pPr>
      <w:r w:rsidRPr="00B542D5">
        <w:rPr>
          <w:lang w:val="es-ES"/>
        </w:rPr>
        <w:t xml:space="preserve">La </w:t>
      </w:r>
      <w:hyperlink r:id="rId22" w:history="1">
        <w:r w:rsidR="00772163" w:rsidRPr="00B542D5">
          <w:rPr>
            <w:rStyle w:val="Hyperlink"/>
            <w:lang w:val="es-ES"/>
          </w:rPr>
          <w:t>5.</w:t>
        </w:r>
        <w:r w:rsidR="00772163" w:rsidRPr="00B542D5">
          <w:rPr>
            <w:rStyle w:val="Hyperlink"/>
            <w:vertAlign w:val="superscript"/>
            <w:lang w:val="es-ES"/>
          </w:rPr>
          <w:t>ª</w:t>
        </w:r>
      </w:hyperlink>
      <w:r w:rsidR="00772163" w:rsidRPr="00B542D5">
        <w:rPr>
          <w:lang w:val="es-ES"/>
        </w:rPr>
        <w:t xml:space="preserve"> y la </w:t>
      </w:r>
      <w:hyperlink r:id="rId23" w:history="1">
        <w:r w:rsidR="00772163" w:rsidRPr="00B542D5">
          <w:rPr>
            <w:rStyle w:val="Hyperlink"/>
            <w:lang w:val="es-ES"/>
          </w:rPr>
          <w:t>6.</w:t>
        </w:r>
        <w:r w:rsidR="00772163" w:rsidRPr="00B542D5">
          <w:rPr>
            <w:rStyle w:val="Hyperlink"/>
            <w:vertAlign w:val="superscript"/>
            <w:lang w:val="es-ES"/>
          </w:rPr>
          <w:t>ª</w:t>
        </w:r>
      </w:hyperlink>
      <w:r w:rsidR="00772163" w:rsidRPr="00B542D5">
        <w:rPr>
          <w:lang w:val="es-ES"/>
        </w:rPr>
        <w:t xml:space="preserve"> reunión del ETF (ETF5 y ETF6) tuvieron lugar en 2020 y 2022. Además, se han realizado diversas actividades tanto en línea como en persona para cumplir el mandato de la CMS. Esto talleres y seminarios web han abordado todas las áreas temáticas de trabajo del Plan de trabajo del ETF, desde el fomento de las nuevas directrices y de la integración de la conservación de las especies migratorias en las políticas de las Instituciones Financieras Internacionales (IFI) para ampliar su competencia geográfica a las regiones poco investigadas (tales como las Américas). En el Anexo 1 de este documento se puede ver una descripción detallada de todas las actividades llevas a cabo.</w:t>
      </w:r>
    </w:p>
    <w:p w14:paraId="3B707396" w14:textId="77777777" w:rsidR="00823BEA" w:rsidRPr="00B542D5" w:rsidRDefault="00823BEA" w:rsidP="00A020A4">
      <w:pPr>
        <w:pStyle w:val="ListParagraph"/>
        <w:ind w:left="540"/>
        <w:rPr>
          <w:lang w:val="es-ES"/>
        </w:rPr>
      </w:pPr>
    </w:p>
    <w:p w14:paraId="6E4751FC" w14:textId="0E726EC4" w:rsidR="002D6506" w:rsidRPr="00B542D5" w:rsidRDefault="00823BEA" w:rsidP="00A020A4">
      <w:pPr>
        <w:pStyle w:val="ListParagraph"/>
        <w:numPr>
          <w:ilvl w:val="0"/>
          <w:numId w:val="6"/>
        </w:numPr>
        <w:spacing w:after="0" w:line="240" w:lineRule="auto"/>
        <w:ind w:left="540" w:hanging="540"/>
        <w:jc w:val="both"/>
        <w:rPr>
          <w:lang w:val="es-ES"/>
        </w:rPr>
      </w:pPr>
      <w:r w:rsidRPr="00B542D5">
        <w:rPr>
          <w:lang w:val="es-ES"/>
        </w:rPr>
        <w:t xml:space="preserve">Se puede encontrar un informe detallado sobre el progreso con respecto al Plan de trabajo del ETF 2021-2024 en </w:t>
      </w:r>
      <w:hyperlink r:id="rId24">
        <w:r w:rsidRPr="00B542D5">
          <w:rPr>
            <w:rStyle w:val="Hyperlink"/>
            <w:lang w:val="es-ES"/>
          </w:rPr>
          <w:t>ETF6/Doc2</w:t>
        </w:r>
      </w:hyperlink>
      <w:r w:rsidRPr="00B542D5">
        <w:rPr>
          <w:lang w:val="es-ES"/>
        </w:rPr>
        <w:t>. Las actividades relacionadas con la priorización científica y la movilización de recursos se marcaron como áreas en las que se necesitaba un mayor avance. Por otro lado, las actividades relacionadas con el fomento de directrices relevantes y la estimulación de la comunicación y el intercambio de información han mostrado un buen avance.</w:t>
      </w:r>
    </w:p>
    <w:p w14:paraId="55BC78B6" w14:textId="709C295E" w:rsidR="002D6506" w:rsidRPr="00B542D5" w:rsidRDefault="002D6506" w:rsidP="00A020A4">
      <w:pPr>
        <w:pStyle w:val="ListParagraph"/>
        <w:spacing w:after="0" w:line="240" w:lineRule="auto"/>
        <w:ind w:left="540"/>
        <w:jc w:val="both"/>
        <w:rPr>
          <w:lang w:val="es-ES"/>
        </w:rPr>
      </w:pPr>
    </w:p>
    <w:p w14:paraId="0EA206D0" w14:textId="66245E83" w:rsidR="00EE7745" w:rsidRPr="00B542D5" w:rsidRDefault="00E700DF" w:rsidP="00E700DF">
      <w:pPr>
        <w:pStyle w:val="ListParagraph"/>
        <w:numPr>
          <w:ilvl w:val="0"/>
          <w:numId w:val="6"/>
        </w:numPr>
        <w:spacing w:after="0" w:line="240" w:lineRule="auto"/>
        <w:ind w:left="540" w:hanging="540"/>
        <w:jc w:val="both"/>
        <w:rPr>
          <w:lang w:val="es-ES"/>
        </w:rPr>
      </w:pPr>
      <w:proofErr w:type="gramStart"/>
      <w:r w:rsidRPr="00B542D5">
        <w:rPr>
          <w:lang w:val="es-ES"/>
        </w:rPr>
        <w:t>En relación a</w:t>
      </w:r>
      <w:proofErr w:type="gramEnd"/>
      <w:r w:rsidRPr="00B542D5">
        <w:rPr>
          <w:lang w:val="es-ES"/>
        </w:rPr>
        <w:t xml:space="preserve"> la Decisión 13.107 (a), el ETF, a través de las partes interesadas, los miembros y el socio implementador ha podido difundir y promover diversas herramientas centradas en la gestión y supervisión del impacto de las infraestructuras de energía renovable. Entre estas herramientas se incluyen la </w:t>
      </w:r>
      <w:hyperlink r:id="rId25" w:history="1">
        <w:proofErr w:type="spellStart"/>
        <w:r w:rsidRPr="00B542D5">
          <w:rPr>
            <w:rStyle w:val="Hyperlink"/>
            <w:lang w:val="es-ES"/>
          </w:rPr>
          <w:t>Migratory</w:t>
        </w:r>
        <w:proofErr w:type="spellEnd"/>
        <w:r w:rsidRPr="00B542D5">
          <w:rPr>
            <w:rStyle w:val="Hyperlink"/>
            <w:lang w:val="es-ES"/>
          </w:rPr>
          <w:t xml:space="preserve"> </w:t>
        </w:r>
        <w:proofErr w:type="spellStart"/>
        <w:r w:rsidRPr="00B542D5">
          <w:rPr>
            <w:rStyle w:val="Hyperlink"/>
            <w:lang w:val="es-ES"/>
          </w:rPr>
          <w:t>Soaring</w:t>
        </w:r>
        <w:proofErr w:type="spellEnd"/>
        <w:r w:rsidRPr="00B542D5">
          <w:rPr>
            <w:rStyle w:val="Hyperlink"/>
            <w:lang w:val="es-ES"/>
          </w:rPr>
          <w:t xml:space="preserve"> </w:t>
        </w:r>
        <w:proofErr w:type="spellStart"/>
        <w:r w:rsidRPr="00B542D5">
          <w:rPr>
            <w:rStyle w:val="Hyperlink"/>
            <w:lang w:val="es-ES"/>
          </w:rPr>
          <w:t>Bird</w:t>
        </w:r>
        <w:proofErr w:type="spellEnd"/>
        <w:r w:rsidRPr="00B542D5">
          <w:rPr>
            <w:rStyle w:val="Hyperlink"/>
            <w:lang w:val="es-ES"/>
          </w:rPr>
          <w:t xml:space="preserve"> Tool</w:t>
        </w:r>
      </w:hyperlink>
      <w:r w:rsidRPr="00B542D5">
        <w:rPr>
          <w:lang w:val="es-ES"/>
        </w:rPr>
        <w:t xml:space="preserve"> y la </w:t>
      </w:r>
      <w:hyperlink r:id="rId26" w:history="1">
        <w:r w:rsidRPr="00B542D5">
          <w:rPr>
            <w:rStyle w:val="Hyperlink"/>
            <w:lang w:val="es-ES"/>
          </w:rPr>
          <w:t>AVISTEP</w:t>
        </w:r>
      </w:hyperlink>
      <w:r w:rsidRPr="00B542D5">
        <w:rPr>
          <w:lang w:val="es-ES"/>
        </w:rPr>
        <w:t xml:space="preserve">, lazadas en 2022 por BirdLife International y presentadas en varios seminarios web del ETF. La lista completa de las directrices técnicas facilitadas por el ETF se puede encontrar en la página web del </w:t>
      </w:r>
      <w:hyperlink r:id="rId27" w:history="1">
        <w:r w:rsidR="00C43F41" w:rsidRPr="00B542D5">
          <w:rPr>
            <w:rStyle w:val="Hyperlink"/>
            <w:lang w:val="es-ES"/>
          </w:rPr>
          <w:t>ETF</w:t>
        </w:r>
      </w:hyperlink>
      <w:r w:rsidRPr="00B542D5">
        <w:rPr>
          <w:lang w:val="es-ES"/>
        </w:rPr>
        <w:t xml:space="preserve"> dentro de la sección «recursos». </w:t>
      </w:r>
    </w:p>
    <w:p w14:paraId="792AE4F4" w14:textId="77777777" w:rsidR="00EE7745" w:rsidRPr="00B542D5" w:rsidRDefault="00EE7745" w:rsidP="00A020A4">
      <w:pPr>
        <w:pStyle w:val="ListParagraph"/>
        <w:spacing w:after="0" w:line="240" w:lineRule="auto"/>
        <w:ind w:left="540"/>
        <w:jc w:val="both"/>
        <w:rPr>
          <w:lang w:val="es-ES"/>
        </w:rPr>
      </w:pPr>
    </w:p>
    <w:p w14:paraId="700EE8C8" w14:textId="2D882DCD" w:rsidR="00EE7745" w:rsidRPr="00B542D5" w:rsidRDefault="003A6318" w:rsidP="00A020A4">
      <w:pPr>
        <w:pStyle w:val="ListParagraph"/>
        <w:numPr>
          <w:ilvl w:val="0"/>
          <w:numId w:val="6"/>
        </w:numPr>
        <w:spacing w:after="0" w:line="240" w:lineRule="auto"/>
        <w:ind w:left="540" w:hanging="540"/>
        <w:jc w:val="both"/>
        <w:rPr>
          <w:lang w:val="es-ES"/>
        </w:rPr>
      </w:pPr>
      <w:r w:rsidRPr="00B542D5">
        <w:rPr>
          <w:lang w:val="es-ES"/>
        </w:rPr>
        <w:t>En relación con el compromiso con los IFI, el ETF ha apoyado, tanto de forma virtual como en persona, diversas consultas sobre salvaguardias y políticas actualizadas del Banco Europeo de Reconstrucción y Desarrollo, el Banco Europeo de Inversiones, el Banco Interamericano de Desarrollo, los Principios del Ecuador EP4 y el Banco Asiático de Inversión en Infraestructura. </w:t>
      </w:r>
    </w:p>
    <w:p w14:paraId="663A63CF" w14:textId="070542A9" w:rsidR="006E6152" w:rsidRPr="00B542D5" w:rsidRDefault="006E6152" w:rsidP="00A020A4">
      <w:pPr>
        <w:pStyle w:val="ListParagraph"/>
        <w:spacing w:after="0" w:line="240" w:lineRule="auto"/>
        <w:ind w:left="540"/>
        <w:jc w:val="both"/>
        <w:rPr>
          <w:lang w:val="es-ES"/>
        </w:rPr>
      </w:pPr>
    </w:p>
    <w:p w14:paraId="7BBA0344" w14:textId="5D0CAB7B" w:rsidR="00CC1983" w:rsidRPr="00B542D5" w:rsidRDefault="009C545D" w:rsidP="00CC1983">
      <w:pPr>
        <w:pStyle w:val="ListParagraph"/>
        <w:numPr>
          <w:ilvl w:val="0"/>
          <w:numId w:val="6"/>
        </w:numPr>
        <w:spacing w:after="0" w:line="240" w:lineRule="auto"/>
        <w:ind w:left="540" w:hanging="540"/>
        <w:jc w:val="both"/>
        <w:rPr>
          <w:lang w:val="es-ES"/>
        </w:rPr>
      </w:pPr>
      <w:r w:rsidRPr="00B542D5">
        <w:rPr>
          <w:lang w:val="es-ES"/>
        </w:rPr>
        <w:t xml:space="preserve">A lo largo del actual período entre sesiones, el número de miembros del ETF ha aumentado, con 24 nuevos miembros y observadores que incluyen Partes de la CMS, instituciones financieras internacionales, organizaciones de investigación y ONG. La lista constantemente actualizada de miembros y observadores se encuentra disponible en el </w:t>
      </w:r>
      <w:hyperlink r:id="rId28" w:history="1">
        <w:r w:rsidR="00CC1983" w:rsidRPr="00B542D5">
          <w:rPr>
            <w:rStyle w:val="Hyperlink"/>
            <w:lang w:val="es-ES"/>
          </w:rPr>
          <w:t>sitio web del Grupo Operativo sobre la Energía</w:t>
        </w:r>
      </w:hyperlink>
      <w:r w:rsidRPr="00B542D5">
        <w:rPr>
          <w:lang w:val="es-ES"/>
        </w:rPr>
        <w:t xml:space="preserve"> (</w:t>
      </w:r>
      <w:hyperlink r:id="rId29">
        <w:r w:rsidR="00CC1983" w:rsidRPr="00B542D5">
          <w:rPr>
            <w:rStyle w:val="Hyperlink"/>
            <w:lang w:val="es-ES"/>
          </w:rPr>
          <w:t>listas de miembros y observadores del ETF)</w:t>
        </w:r>
      </w:hyperlink>
      <w:r w:rsidR="00CC1983" w:rsidRPr="00B542D5">
        <w:rPr>
          <w:lang w:val="es-ES"/>
        </w:rPr>
        <w:t xml:space="preserve">). </w:t>
      </w:r>
    </w:p>
    <w:p w14:paraId="52064BDB" w14:textId="77777777" w:rsidR="00663279" w:rsidRPr="00B542D5" w:rsidRDefault="00663279" w:rsidP="00A020A4">
      <w:pPr>
        <w:spacing w:after="0" w:line="240" w:lineRule="auto"/>
        <w:jc w:val="both"/>
        <w:rPr>
          <w:lang w:val="es-ES"/>
        </w:rPr>
      </w:pPr>
    </w:p>
    <w:p w14:paraId="3C67EC18" w14:textId="5E7319A9" w:rsidR="0008089C" w:rsidRPr="00B542D5" w:rsidRDefault="007F6B8E" w:rsidP="00A03770">
      <w:pPr>
        <w:pStyle w:val="ListParagraph"/>
        <w:numPr>
          <w:ilvl w:val="0"/>
          <w:numId w:val="6"/>
        </w:numPr>
        <w:spacing w:after="0" w:line="240" w:lineRule="auto"/>
        <w:ind w:left="540" w:hanging="540"/>
        <w:jc w:val="both"/>
        <w:rPr>
          <w:lang w:val="es-ES"/>
        </w:rPr>
      </w:pPr>
      <w:r w:rsidRPr="00B542D5">
        <w:rPr>
          <w:lang w:val="es-ES"/>
        </w:rPr>
        <w:t>El ETF ha seguido facilitando la cooperación entre la CMS y sus acuerdos hijos tales como el Acuerdo sobre la Conservación de las Aves Acuáticas Migratorias de África y Eurasia (AEWA), el Acuerdo sobre la Conservación de Poblaciones de Murciélagos en Europa (EUROBATS), el Acuerdo sobre la conservación de los pequeños cetáceos del Báltico, el Atlántico Nororiental, el Mar de Irlanda y el Mar del Norte (ASCOBANS), el Acuerdo sobre la Conservación de Cetáceos del Mar Negro, el Mar Mediterráneo y la zona Atlántica contigua (ACCOBAMS) y el Memorando de Entendimiento sobre la Conservación de las Aves Migratorias de Presa en África y Eurasia (</w:t>
      </w:r>
      <w:proofErr w:type="spellStart"/>
      <w:r w:rsidRPr="00B542D5">
        <w:rPr>
          <w:lang w:val="es-ES"/>
        </w:rPr>
        <w:t>MdE</w:t>
      </w:r>
      <w:proofErr w:type="spellEnd"/>
      <w:r w:rsidRPr="00B542D5">
        <w:rPr>
          <w:lang w:val="es-ES"/>
        </w:rPr>
        <w:t xml:space="preserve"> Aves rapaces). Las Secretarías, los cuerpos técnicos y los grupos de trabajo relevantes han seguido cooperando y han realizado trabajos relevantes sobre el impacto de las líneas eléctricas, </w:t>
      </w:r>
      <w:r w:rsidRPr="00B542D5">
        <w:rPr>
          <w:lang w:val="es-ES"/>
        </w:rPr>
        <w:lastRenderedPageBreak/>
        <w:t>las turbinas eólicas y otras tecnologías de energía renovable sobre especies migratorias, tal y como se reflejó en las diversas directrices elaboradas dentro del marco del ETF.</w:t>
      </w:r>
    </w:p>
    <w:p w14:paraId="660B5411" w14:textId="77777777" w:rsidR="00204F71" w:rsidRPr="00B542D5" w:rsidRDefault="00204F71" w:rsidP="00204F71">
      <w:pPr>
        <w:pStyle w:val="ListParagraph"/>
        <w:spacing w:after="0" w:line="240" w:lineRule="auto"/>
        <w:ind w:left="540"/>
        <w:jc w:val="both"/>
        <w:rPr>
          <w:lang w:val="es-ES"/>
        </w:rPr>
      </w:pPr>
    </w:p>
    <w:p w14:paraId="23E0C073" w14:textId="2CC2A5BD" w:rsidR="00663279" w:rsidRPr="00B542D5" w:rsidRDefault="00663279" w:rsidP="00663279">
      <w:pPr>
        <w:pStyle w:val="ListParagraph"/>
        <w:numPr>
          <w:ilvl w:val="0"/>
          <w:numId w:val="6"/>
        </w:numPr>
        <w:spacing w:after="0" w:line="240" w:lineRule="auto"/>
        <w:ind w:left="540" w:hanging="540"/>
        <w:jc w:val="both"/>
        <w:rPr>
          <w:lang w:val="es-ES"/>
        </w:rPr>
      </w:pPr>
      <w:r w:rsidRPr="00B542D5">
        <w:rPr>
          <w:lang w:val="es-ES"/>
        </w:rPr>
        <w:t xml:space="preserve">El Grupo de trabajo técnico (TWG, por sus siglas en inglés) del ETF tuvo su primera reunión en febrero de 2021, e informó sobre su composición actualizada y el avance en relación con sus prioridades de investigación en la </w:t>
      </w:r>
      <w:hyperlink r:id="rId30" w:history="1">
        <w:r w:rsidRPr="00B542D5">
          <w:rPr>
            <w:rStyle w:val="Hyperlink"/>
            <w:lang w:val="es-ES"/>
          </w:rPr>
          <w:t>ETF6</w:t>
        </w:r>
      </w:hyperlink>
      <w:r w:rsidRPr="00B542D5">
        <w:rPr>
          <w:lang w:val="es-ES"/>
        </w:rPr>
        <w:t xml:space="preserve">. El TWG informó de los escasos avances </w:t>
      </w:r>
      <w:proofErr w:type="gramStart"/>
      <w:r w:rsidRPr="00B542D5">
        <w:rPr>
          <w:lang w:val="es-ES"/>
        </w:rPr>
        <w:t>en relación a</w:t>
      </w:r>
      <w:proofErr w:type="gramEnd"/>
      <w:r w:rsidRPr="00B542D5">
        <w:rPr>
          <w:lang w:val="es-ES"/>
        </w:rPr>
        <w:t xml:space="preserve"> estas prioridades, fundamentalmente debido a la falta de recursos financieros.</w:t>
      </w:r>
    </w:p>
    <w:p w14:paraId="0043B15B" w14:textId="77777777" w:rsidR="00663279" w:rsidRPr="00B542D5" w:rsidRDefault="00663279" w:rsidP="00663279">
      <w:pPr>
        <w:spacing w:after="0"/>
        <w:jc w:val="both"/>
        <w:rPr>
          <w:lang w:val="es-ES"/>
        </w:rPr>
      </w:pPr>
    </w:p>
    <w:p w14:paraId="3FF79EAA" w14:textId="4E547FCA" w:rsidR="00663279" w:rsidRPr="00B542D5" w:rsidRDefault="00663279" w:rsidP="00663279">
      <w:pPr>
        <w:pStyle w:val="ListParagraph"/>
        <w:numPr>
          <w:ilvl w:val="0"/>
          <w:numId w:val="6"/>
        </w:numPr>
        <w:spacing w:after="0" w:line="240" w:lineRule="auto"/>
        <w:ind w:left="540" w:hanging="540"/>
        <w:jc w:val="both"/>
        <w:rPr>
          <w:lang w:val="es-ES"/>
        </w:rPr>
      </w:pPr>
      <w:r w:rsidRPr="00B542D5">
        <w:rPr>
          <w:lang w:val="es-ES"/>
        </w:rPr>
        <w:t xml:space="preserve">El Grupo de trabajo de la Línea Eléctrica del ETF convocó su primera reunión en febrero de 2021 y también informó de su composición actualizada y de sus resultados en la </w:t>
      </w:r>
      <w:hyperlink r:id="rId31" w:history="1">
        <w:r w:rsidRPr="00B542D5">
          <w:rPr>
            <w:rStyle w:val="Hyperlink"/>
            <w:lang w:val="es-ES"/>
          </w:rPr>
          <w:t>ETF6</w:t>
        </w:r>
      </w:hyperlink>
      <w:r w:rsidRPr="00B542D5">
        <w:rPr>
          <w:lang w:val="es-ES"/>
        </w:rPr>
        <w:t xml:space="preserve">. </w:t>
      </w:r>
    </w:p>
    <w:p w14:paraId="6F78FF43" w14:textId="77777777" w:rsidR="00663279" w:rsidRPr="00B542D5" w:rsidRDefault="00663279" w:rsidP="00663279">
      <w:pPr>
        <w:spacing w:after="0" w:line="240" w:lineRule="auto"/>
        <w:jc w:val="both"/>
        <w:rPr>
          <w:lang w:val="es-ES"/>
        </w:rPr>
      </w:pPr>
    </w:p>
    <w:p w14:paraId="0FE5AC92" w14:textId="4AEF6A51" w:rsidR="00663279" w:rsidRPr="00B542D5" w:rsidRDefault="00663279" w:rsidP="00663279">
      <w:pPr>
        <w:pStyle w:val="ListParagraph"/>
        <w:numPr>
          <w:ilvl w:val="0"/>
          <w:numId w:val="6"/>
        </w:numPr>
        <w:spacing w:after="0" w:line="240" w:lineRule="auto"/>
        <w:ind w:left="540" w:hanging="540"/>
        <w:jc w:val="both"/>
        <w:rPr>
          <w:lang w:val="es-ES"/>
        </w:rPr>
      </w:pPr>
      <w:proofErr w:type="gramStart"/>
      <w:r w:rsidRPr="00B542D5">
        <w:rPr>
          <w:lang w:val="es-ES"/>
        </w:rPr>
        <w:t>En relación a</w:t>
      </w:r>
      <w:proofErr w:type="gramEnd"/>
      <w:r w:rsidRPr="00B542D5">
        <w:rPr>
          <w:lang w:val="es-ES"/>
        </w:rPr>
        <w:t xml:space="preserve"> la Decisión 13.107 (b) - (e) y tal y como se trató en un seminario web del ETF organizado en marzo de 2023, los miembros y observadores del ETF indicaron que la recopilación de los datos sobre mortalidad de las especies en bases de datos mundiales era una tarea muy compleja por sí sola para el ETF, y recomendó definir un enfoque más claro a través de una nueva Decisión.  </w:t>
      </w:r>
    </w:p>
    <w:p w14:paraId="012D2E2C" w14:textId="57580A31" w:rsidR="0028761A" w:rsidRPr="00B542D5" w:rsidRDefault="0028761A" w:rsidP="00A24837">
      <w:pPr>
        <w:pStyle w:val="ListParagraph"/>
        <w:spacing w:after="0" w:line="240" w:lineRule="auto"/>
        <w:ind w:left="360"/>
        <w:contextualSpacing w:val="0"/>
        <w:rPr>
          <w:lang w:val="es-ES"/>
        </w:rPr>
      </w:pPr>
    </w:p>
    <w:p w14:paraId="52FE0CCA" w14:textId="68BA5845" w:rsidR="00246A7C" w:rsidRPr="00B542D5" w:rsidRDefault="004E4CB5" w:rsidP="00246A7C">
      <w:pPr>
        <w:spacing w:after="0" w:line="240" w:lineRule="auto"/>
        <w:jc w:val="both"/>
        <w:rPr>
          <w:rFonts w:cs="Arial"/>
          <w:u w:val="single"/>
          <w:lang w:val="es-ES"/>
        </w:rPr>
      </w:pPr>
      <w:r w:rsidRPr="00B542D5">
        <w:rPr>
          <w:lang w:val="es-ES"/>
        </w:rPr>
        <w:t xml:space="preserve"> </w:t>
      </w:r>
      <w:r w:rsidR="00246A7C" w:rsidRPr="00B542D5">
        <w:rPr>
          <w:rFonts w:cs="Arial"/>
          <w:u w:val="single"/>
          <w:lang w:val="es-ES"/>
        </w:rPr>
        <w:t>Debate y análisis</w:t>
      </w:r>
    </w:p>
    <w:p w14:paraId="6C0D40C8" w14:textId="77777777" w:rsidR="00246A7C" w:rsidRPr="00B542D5" w:rsidRDefault="00246A7C" w:rsidP="00246A7C">
      <w:pPr>
        <w:spacing w:after="0" w:line="240" w:lineRule="auto"/>
        <w:jc w:val="both"/>
        <w:rPr>
          <w:lang w:val="es-ES"/>
        </w:rPr>
      </w:pPr>
    </w:p>
    <w:p w14:paraId="4664B5E6" w14:textId="62D1C2AA" w:rsidR="00117A63" w:rsidRPr="00B542D5" w:rsidRDefault="00117A63" w:rsidP="00117A63">
      <w:pPr>
        <w:pStyle w:val="ListParagraph"/>
        <w:numPr>
          <w:ilvl w:val="0"/>
          <w:numId w:val="6"/>
        </w:numPr>
        <w:spacing w:after="0" w:line="240" w:lineRule="auto"/>
        <w:ind w:left="540" w:hanging="540"/>
        <w:jc w:val="both"/>
        <w:rPr>
          <w:lang w:val="es-ES"/>
        </w:rPr>
      </w:pPr>
      <w:r w:rsidRPr="00B542D5">
        <w:rPr>
          <w:lang w:val="es-ES"/>
        </w:rPr>
        <w:t xml:space="preserve">El ETF está implementando con éxito su Plan de trabajo, aumentando el número de miembros y contactando con nuevos aliados y partes interesadas. El ETF ha participado en la mayoría de los foros de conservación y energía renovable tales como, por ejemplo, la Convención Marco de las Naciones Unidas sobre el Cambio Climático (UNFCCC, por sus siglas en inglés) COP27. A partir de ahora, el ETF está en proceso de transición pasando de su objetivo inicial centrado en las aves migratorias en la región de África y Eurasia a una agenda </w:t>
      </w:r>
      <w:proofErr w:type="spellStart"/>
      <w:r w:rsidRPr="00B542D5">
        <w:rPr>
          <w:lang w:val="es-ES"/>
        </w:rPr>
        <w:t>multi-taxón</w:t>
      </w:r>
      <w:proofErr w:type="spellEnd"/>
      <w:r w:rsidRPr="00B542D5">
        <w:rPr>
          <w:lang w:val="es-ES"/>
        </w:rPr>
        <w:t xml:space="preserve"> que incluye aves, especies de murciélagos, mamíferos marinos y terrestres y sus interacciones con las infraestructuras de energía renovable. Las directrices técnicas del ETF también se están </w:t>
      </w:r>
      <w:proofErr w:type="gramStart"/>
      <w:r w:rsidRPr="00B542D5">
        <w:rPr>
          <w:lang w:val="es-ES"/>
        </w:rPr>
        <w:t>ampliando pasando</w:t>
      </w:r>
      <w:proofErr w:type="gramEnd"/>
      <w:r w:rsidRPr="00B542D5">
        <w:rPr>
          <w:lang w:val="es-ES"/>
        </w:rPr>
        <w:t xml:space="preserve"> de las líneas eléctricas y los parques eólicos a la elaboración de mapas de sensibilidad y otras fuentes de energía renovable tales como las tecnologías solar o hidroeléctrica.</w:t>
      </w:r>
    </w:p>
    <w:p w14:paraId="1EC63B1E" w14:textId="77777777" w:rsidR="00EC7C63" w:rsidRPr="00B542D5" w:rsidRDefault="00EC7C63" w:rsidP="00A020A4">
      <w:pPr>
        <w:pStyle w:val="ListParagraph"/>
        <w:spacing w:after="0" w:line="240" w:lineRule="auto"/>
        <w:ind w:left="540"/>
        <w:jc w:val="both"/>
        <w:rPr>
          <w:lang w:val="es-ES"/>
        </w:rPr>
      </w:pPr>
    </w:p>
    <w:p w14:paraId="57235313" w14:textId="358C28D8" w:rsidR="00246A7C" w:rsidRPr="00B542D5" w:rsidRDefault="00213602" w:rsidP="00246A7C">
      <w:pPr>
        <w:pStyle w:val="ListParagraph"/>
        <w:numPr>
          <w:ilvl w:val="0"/>
          <w:numId w:val="6"/>
        </w:numPr>
        <w:spacing w:after="0" w:line="240" w:lineRule="auto"/>
        <w:ind w:left="540" w:hanging="540"/>
        <w:jc w:val="both"/>
        <w:rPr>
          <w:lang w:val="es-ES"/>
        </w:rPr>
      </w:pPr>
      <w:r w:rsidRPr="00B542D5">
        <w:rPr>
          <w:lang w:val="es-ES"/>
        </w:rPr>
        <w:t xml:space="preserve">La implementación del Plan de trabajo del ETF avanza, con un nuevo enfoque en áreas geográficas clave en las que, anteriormente, el ETF había tenido poca participación (como las rutas migratorias de América y Asia), la elaboración de documentos estratégicos que deberían facilitar el compromiso con los IFI, un programa de pequeñas becas que será lanzado por BirdLife International en la segunda parte del 2023, y la elaboración y adopción de nuevas directrices en áreas tales como la energía solar y eólica marina. </w:t>
      </w:r>
    </w:p>
    <w:p w14:paraId="06D972CB" w14:textId="77777777" w:rsidR="00397287" w:rsidRPr="00B542D5" w:rsidRDefault="00397287" w:rsidP="00397287">
      <w:pPr>
        <w:pStyle w:val="ListParagraph"/>
        <w:spacing w:after="0" w:line="240" w:lineRule="auto"/>
        <w:ind w:left="540"/>
        <w:jc w:val="both"/>
        <w:rPr>
          <w:lang w:val="es-ES"/>
        </w:rPr>
      </w:pPr>
    </w:p>
    <w:p w14:paraId="606D4F76" w14:textId="452C32E1" w:rsidR="00246A7C" w:rsidRPr="00B542D5" w:rsidRDefault="556CC695" w:rsidP="00246A7C">
      <w:pPr>
        <w:pStyle w:val="ListParagraph"/>
        <w:numPr>
          <w:ilvl w:val="0"/>
          <w:numId w:val="6"/>
        </w:numPr>
        <w:spacing w:after="0" w:line="240" w:lineRule="auto"/>
        <w:ind w:left="540" w:hanging="540"/>
        <w:jc w:val="both"/>
        <w:rPr>
          <w:lang w:val="es-ES"/>
        </w:rPr>
      </w:pPr>
      <w:r w:rsidRPr="00B542D5">
        <w:rPr>
          <w:lang w:val="es-ES"/>
        </w:rPr>
        <w:t xml:space="preserve">En la ETF6, los miembros destacaron la necesidad de involucrar al sector corporativo y a los IFI para integrar la protección de las especies migratorias en las salvaguardias y políticas industriales. Los observadores y socios también destacaron la necesidad de animar a la comunidad internacional de donantes para incorporar la financiación relacionada con la transición a las energías renovables. Para terminar, solicitaron una evaluación del impacto de las infraestructuras relacionadas con la energía tales como las minas de litio o la producción de paneles fotovoltaicos. Se espera que el ETF cree unas directrices para estas áreas durante el próximo período entre sesiones. </w:t>
      </w:r>
    </w:p>
    <w:p w14:paraId="68B2C91C" w14:textId="77777777" w:rsidR="00594ABF" w:rsidRPr="00B542D5" w:rsidRDefault="00594ABF" w:rsidP="00594ABF">
      <w:pPr>
        <w:pStyle w:val="ListParagraph"/>
        <w:rPr>
          <w:lang w:val="es-ES"/>
        </w:rPr>
      </w:pPr>
    </w:p>
    <w:p w14:paraId="793105A7" w14:textId="11261D31" w:rsidR="00594ABF" w:rsidRPr="00B542D5" w:rsidRDefault="002F3BBB" w:rsidP="00246A7C">
      <w:pPr>
        <w:pStyle w:val="ListParagraph"/>
        <w:numPr>
          <w:ilvl w:val="0"/>
          <w:numId w:val="6"/>
        </w:numPr>
        <w:spacing w:after="0" w:line="240" w:lineRule="auto"/>
        <w:ind w:left="540" w:hanging="540"/>
        <w:jc w:val="both"/>
        <w:rPr>
          <w:lang w:val="es-ES"/>
        </w:rPr>
      </w:pPr>
      <w:r w:rsidRPr="00B542D5">
        <w:rPr>
          <w:lang w:val="es-ES"/>
        </w:rPr>
        <w:t>Si bien, desde que se estableció, el ETF se ha centrado en las aves migratorias, sus Términos de referencia</w:t>
      </w:r>
      <w:r w:rsidR="00BC34DC" w:rsidRPr="00B542D5">
        <w:rPr>
          <w:rStyle w:val="FootnoteReference"/>
          <w:lang w:val="es-ES"/>
        </w:rPr>
        <w:footnoteReference w:id="2"/>
      </w:r>
      <w:r w:rsidRPr="00B542D5">
        <w:rPr>
          <w:lang w:val="es-ES"/>
        </w:rPr>
        <w:t xml:space="preserve"> indican que cubrirá a todos los taxones migratorios identificados </w:t>
      </w:r>
      <w:r w:rsidRPr="00B542D5">
        <w:rPr>
          <w:lang w:val="es-ES"/>
        </w:rPr>
        <w:lastRenderedPageBreak/>
        <w:t>por la CMS y sus instrumentos asociados, y que la programación y el alcance de las expansiones taxonómicas serán decididos por los miembros del ETF, dependiendo de los fondos disponibles. Durante el seminario web del ETF en octubre de 2022, los representantes de ASCOBANS hicieron una presentación sobre construcción eólica marina y su impacto sobre los cetáceos, teniendo en cuenta el desarrollo rápido de la industria para cumplir los objetivos de la energía renovable. Por lo tanto, se propone una nueva Decisión para ampliar el objetivo del ETF para los cetáceos.</w:t>
      </w:r>
    </w:p>
    <w:p w14:paraId="46A25D9A" w14:textId="77777777" w:rsidR="005A718B" w:rsidRPr="00B542D5" w:rsidRDefault="005A718B" w:rsidP="00D0610F">
      <w:pPr>
        <w:pStyle w:val="ListParagraph"/>
        <w:rPr>
          <w:lang w:val="es-ES"/>
        </w:rPr>
      </w:pPr>
    </w:p>
    <w:p w14:paraId="517D152E" w14:textId="5E342C55" w:rsidR="005A718B" w:rsidRPr="00B542D5" w:rsidRDefault="00F95028" w:rsidP="00246A7C">
      <w:pPr>
        <w:pStyle w:val="ListParagraph"/>
        <w:numPr>
          <w:ilvl w:val="0"/>
          <w:numId w:val="6"/>
        </w:numPr>
        <w:spacing w:after="0" w:line="240" w:lineRule="auto"/>
        <w:ind w:left="540" w:hanging="540"/>
        <w:jc w:val="both"/>
        <w:rPr>
          <w:lang w:val="es-ES"/>
        </w:rPr>
      </w:pPr>
      <w:r w:rsidRPr="00B542D5">
        <w:rPr>
          <w:lang w:val="es-ES"/>
        </w:rPr>
        <w:t xml:space="preserve">Tal y como lo exigen las </w:t>
      </w:r>
      <w:hyperlink r:id="rId32" w:history="1">
        <w:r w:rsidR="00DA58C7" w:rsidRPr="00B542D5">
          <w:rPr>
            <w:rStyle w:val="Hyperlink"/>
            <w:i/>
            <w:iCs/>
            <w:lang w:val="es-ES"/>
          </w:rPr>
          <w:t>Decisiones 13.130-13.134 Desarrollo de infraestructura y especies migratorias</w:t>
        </w:r>
      </w:hyperlink>
      <w:r w:rsidRPr="00B542D5">
        <w:rPr>
          <w:lang w:val="es-ES"/>
        </w:rPr>
        <w:t>, el Comité del Período de Sesiones del Consejo Científico estableció un Grupo de trabajo de múltiples partes interesadas en su 5.</w:t>
      </w:r>
      <w:r w:rsidR="00DA58C7" w:rsidRPr="00B542D5">
        <w:rPr>
          <w:vertAlign w:val="superscript"/>
          <w:lang w:val="es-ES"/>
        </w:rPr>
        <w:t>ª</w:t>
      </w:r>
      <w:r w:rsidRPr="00B542D5">
        <w:rPr>
          <w:lang w:val="es-ES"/>
        </w:rPr>
        <w:t xml:space="preserve"> reunión (</w:t>
      </w:r>
      <w:hyperlink r:id="rId33" w:history="1">
        <w:r w:rsidR="00E70188" w:rsidRPr="00B542D5">
          <w:rPr>
            <w:rStyle w:val="Hyperlink"/>
            <w:lang w:val="es-ES"/>
          </w:rPr>
          <w:t>UNEP/CMS/ScC-SC5/Resultado 13</w:t>
        </w:r>
      </w:hyperlink>
      <w:r w:rsidRPr="00B542D5">
        <w:rPr>
          <w:lang w:val="es-ES"/>
        </w:rPr>
        <w:t xml:space="preserve">). El Grupo de trabajo se encargó de revisar la información disponible relevante para el desarrollo de la infraestructura lineal y el posible impacto sobre las especies migratorias, identificando las zonas en las que se necesita más ayuda para mejorar la implementación de la Resolución 7.2 (Rev.COP12) </w:t>
      </w:r>
      <w:r w:rsidR="007A2D7B" w:rsidRPr="00B542D5">
        <w:rPr>
          <w:i/>
          <w:iCs/>
          <w:lang w:val="es-ES"/>
        </w:rPr>
        <w:t>Evaluación del impacto y especies migratorias</w:t>
      </w:r>
      <w:r w:rsidRPr="00B542D5">
        <w:rPr>
          <w:lang w:val="es-ES"/>
        </w:rPr>
        <w:t xml:space="preserve"> y proporcionar recomendaciones sobre la futura dirección del trabajo sobre este tema dentro de la CMS. Las recomendaciones del Grupo de Trabajo contenidas en el Anexo 2 del Documento </w:t>
      </w:r>
      <w:hyperlink r:id="rId34" w:history="1">
        <w:r w:rsidR="00580E51" w:rsidRPr="00B542D5">
          <w:rPr>
            <w:rStyle w:val="Hyperlink"/>
            <w:lang w:val="es-ES"/>
          </w:rPr>
          <w:t>UNEP/CMS/LI-IWG/Informe</w:t>
        </w:r>
      </w:hyperlink>
      <w:r w:rsidRPr="00B542D5">
        <w:rPr>
          <w:lang w:val="es-ES"/>
        </w:rPr>
        <w:t xml:space="preserve"> están sujetas a discusión por parte del Comité del Período de Sesiones del Consejo Científico en su 6.</w:t>
      </w:r>
      <w:r w:rsidR="00DC6E88" w:rsidRPr="00B542D5">
        <w:rPr>
          <w:vertAlign w:val="superscript"/>
          <w:lang w:val="es-ES"/>
        </w:rPr>
        <w:t>ª</w:t>
      </w:r>
      <w:r w:rsidRPr="00B542D5">
        <w:rPr>
          <w:lang w:val="es-ES"/>
        </w:rPr>
        <w:t xml:space="preserve"> reunión. </w:t>
      </w:r>
    </w:p>
    <w:p w14:paraId="7524F4F2" w14:textId="77777777" w:rsidR="00661875" w:rsidRPr="00B542D5" w:rsidRDefault="00661875" w:rsidP="00661875">
      <w:pPr>
        <w:spacing w:after="0" w:line="240" w:lineRule="auto"/>
        <w:jc w:val="both"/>
        <w:rPr>
          <w:rFonts w:cs="Arial"/>
          <w:lang w:val="es-ES"/>
        </w:rPr>
      </w:pPr>
    </w:p>
    <w:p w14:paraId="25D5D96F" w14:textId="77777777" w:rsidR="00661875" w:rsidRPr="00B542D5" w:rsidRDefault="00661875" w:rsidP="00661875">
      <w:pPr>
        <w:spacing w:after="0" w:line="240" w:lineRule="auto"/>
        <w:rPr>
          <w:rFonts w:cs="Arial"/>
          <w:lang w:val="es-ES"/>
        </w:rPr>
      </w:pPr>
      <w:r w:rsidRPr="00B542D5">
        <w:rPr>
          <w:rFonts w:cs="Arial"/>
          <w:u w:val="single"/>
          <w:lang w:val="es-ES"/>
        </w:rPr>
        <w:t>Acciones recomendadas</w:t>
      </w:r>
    </w:p>
    <w:p w14:paraId="180331FF" w14:textId="77777777" w:rsidR="00661875" w:rsidRPr="00B542D5" w:rsidRDefault="00661875" w:rsidP="00661875">
      <w:pPr>
        <w:spacing w:after="0" w:line="240" w:lineRule="auto"/>
        <w:rPr>
          <w:rFonts w:cs="Arial"/>
          <w:lang w:val="es-ES"/>
        </w:rPr>
      </w:pPr>
    </w:p>
    <w:p w14:paraId="67424D11" w14:textId="2337D9F6" w:rsidR="00661875" w:rsidRPr="00E9367B" w:rsidRDefault="00661875" w:rsidP="00E825F6">
      <w:pPr>
        <w:pStyle w:val="ListParagraph"/>
        <w:widowControl w:val="0"/>
        <w:numPr>
          <w:ilvl w:val="0"/>
          <w:numId w:val="25"/>
        </w:numPr>
        <w:autoSpaceDE w:val="0"/>
        <w:autoSpaceDN w:val="0"/>
        <w:adjustRightInd w:val="0"/>
        <w:spacing w:after="0" w:line="240" w:lineRule="auto"/>
        <w:ind w:left="540" w:hanging="540"/>
        <w:jc w:val="both"/>
        <w:rPr>
          <w:rFonts w:cs="Arial"/>
          <w:lang w:val="es-ES"/>
        </w:rPr>
      </w:pPr>
      <w:r w:rsidRPr="00E9367B">
        <w:rPr>
          <w:rFonts w:cs="Arial"/>
          <w:lang w:val="es-ES" w:eastAsia="es-ES"/>
        </w:rPr>
        <w:t>Se recomienda a la Conferencia de las Partes que:</w:t>
      </w:r>
      <w:r w:rsidRPr="00E9367B">
        <w:rPr>
          <w:rFonts w:cs="Arial"/>
          <w:i/>
          <w:color w:val="0000FF"/>
          <w:lang w:val="es-ES"/>
        </w:rPr>
        <w:t xml:space="preserve"> </w:t>
      </w:r>
    </w:p>
    <w:p w14:paraId="267A2529" w14:textId="65752E97" w:rsidR="00352923" w:rsidRPr="00B542D5" w:rsidRDefault="00352923" w:rsidP="00E825F6">
      <w:pPr>
        <w:pStyle w:val="Secondnumbering"/>
        <w:numPr>
          <w:ilvl w:val="0"/>
          <w:numId w:val="0"/>
        </w:numPr>
        <w:jc w:val="both"/>
        <w:rPr>
          <w:lang w:val="es-ES"/>
        </w:rPr>
      </w:pPr>
    </w:p>
    <w:p w14:paraId="4C3252AC" w14:textId="2DD506B6" w:rsidR="003D3DEC" w:rsidRPr="00B542D5" w:rsidRDefault="008C6CA6" w:rsidP="00E825F6">
      <w:pPr>
        <w:pStyle w:val="Secondnumbering"/>
        <w:numPr>
          <w:ilvl w:val="1"/>
          <w:numId w:val="13"/>
        </w:numPr>
        <w:jc w:val="both"/>
        <w:rPr>
          <w:lang w:val="es-ES"/>
        </w:rPr>
      </w:pPr>
      <w:r w:rsidRPr="00B542D5">
        <w:rPr>
          <w:lang w:val="es-ES"/>
        </w:rPr>
        <w:t>tome nota de la lista detallada de actividades llevadas a cabo por el ETF contenidas en el Anexo 1 de este documento;</w:t>
      </w:r>
    </w:p>
    <w:p w14:paraId="0667737F" w14:textId="77777777" w:rsidR="00BE2B29" w:rsidRPr="00B542D5" w:rsidRDefault="00BE2B29" w:rsidP="00E825F6">
      <w:pPr>
        <w:pStyle w:val="Secondnumbering"/>
        <w:numPr>
          <w:ilvl w:val="0"/>
          <w:numId w:val="0"/>
        </w:numPr>
        <w:ind w:left="1440"/>
        <w:jc w:val="both"/>
        <w:rPr>
          <w:lang w:val="es-ES"/>
        </w:rPr>
      </w:pPr>
    </w:p>
    <w:p w14:paraId="6F65035F" w14:textId="5E11B297" w:rsidR="0018519A" w:rsidRPr="00B542D5" w:rsidRDefault="008C6CA6" w:rsidP="00E825F6">
      <w:pPr>
        <w:pStyle w:val="Secondnumbering"/>
        <w:numPr>
          <w:ilvl w:val="1"/>
          <w:numId w:val="13"/>
        </w:numPr>
        <w:jc w:val="both"/>
        <w:rPr>
          <w:lang w:val="es-ES"/>
        </w:rPr>
      </w:pPr>
      <w:r w:rsidRPr="00B542D5">
        <w:rPr>
          <w:rFonts w:cs="Arial"/>
          <w:lang w:val="es-ES"/>
        </w:rPr>
        <w:t>adopte el proyecto de Decisiones incluido en el Anexo 2 de este documento;</w:t>
      </w:r>
    </w:p>
    <w:p w14:paraId="2C0CD301" w14:textId="77777777" w:rsidR="00F349CD" w:rsidRPr="00B542D5" w:rsidRDefault="00F349CD" w:rsidP="00E825F6">
      <w:pPr>
        <w:pStyle w:val="ListParagraph"/>
        <w:spacing w:after="0"/>
        <w:jc w:val="both"/>
        <w:rPr>
          <w:lang w:val="es-ES"/>
        </w:rPr>
      </w:pPr>
    </w:p>
    <w:p w14:paraId="22AB98AC" w14:textId="520D8C95" w:rsidR="00F349CD" w:rsidRPr="00B542D5" w:rsidRDefault="00DC6E56" w:rsidP="00E825F6">
      <w:pPr>
        <w:pStyle w:val="Secondnumbering"/>
        <w:numPr>
          <w:ilvl w:val="1"/>
          <w:numId w:val="13"/>
        </w:numPr>
        <w:jc w:val="both"/>
        <w:rPr>
          <w:lang w:val="es-ES"/>
        </w:rPr>
      </w:pPr>
      <w:r w:rsidRPr="00B542D5">
        <w:rPr>
          <w:lang w:val="es-ES"/>
        </w:rPr>
        <w:t>derogue las Decisiones 13.106-13.108.</w:t>
      </w:r>
    </w:p>
    <w:p w14:paraId="2ADB697D" w14:textId="77777777" w:rsidR="002A012C" w:rsidRPr="00B542D5" w:rsidRDefault="002A012C" w:rsidP="002A012C">
      <w:pPr>
        <w:pStyle w:val="Secondnumbering"/>
        <w:numPr>
          <w:ilvl w:val="0"/>
          <w:numId w:val="0"/>
        </w:numPr>
        <w:ind w:left="1134"/>
        <w:rPr>
          <w:lang w:val="es-ES"/>
        </w:rPr>
      </w:pPr>
    </w:p>
    <w:p w14:paraId="5E7835BB" w14:textId="77777777" w:rsidR="00DD07FD" w:rsidRPr="00B542D5" w:rsidRDefault="00DD07FD" w:rsidP="00831DC2">
      <w:pPr>
        <w:pStyle w:val="Secondnumbering"/>
        <w:numPr>
          <w:ilvl w:val="0"/>
          <w:numId w:val="0"/>
        </w:numPr>
        <w:rPr>
          <w:sz w:val="18"/>
          <w:szCs w:val="18"/>
          <w:lang w:val="es-ES"/>
        </w:rPr>
      </w:pPr>
    </w:p>
    <w:p w14:paraId="2D5C0D9E" w14:textId="77777777" w:rsidR="00BC34DC" w:rsidRPr="00B542D5" w:rsidRDefault="00BC34DC" w:rsidP="00BC34DC">
      <w:pPr>
        <w:rPr>
          <w:lang w:val="es-ES"/>
        </w:rPr>
      </w:pPr>
    </w:p>
    <w:p w14:paraId="55EA5D85" w14:textId="77777777" w:rsidR="00BC34DC" w:rsidRPr="00B542D5" w:rsidRDefault="00BC34DC" w:rsidP="00BC34DC">
      <w:pPr>
        <w:rPr>
          <w:lang w:val="es-ES"/>
        </w:rPr>
      </w:pPr>
    </w:p>
    <w:p w14:paraId="3185A6A5" w14:textId="72267294" w:rsidR="00BC34DC" w:rsidRPr="00B542D5" w:rsidRDefault="00BC34DC" w:rsidP="00BC34DC">
      <w:pPr>
        <w:tabs>
          <w:tab w:val="left" w:pos="3694"/>
        </w:tabs>
        <w:rPr>
          <w:lang w:val="es-ES"/>
        </w:rPr>
      </w:pPr>
      <w:r w:rsidRPr="00B542D5">
        <w:rPr>
          <w:lang w:val="es-ES"/>
        </w:rPr>
        <w:tab/>
      </w:r>
    </w:p>
    <w:p w14:paraId="683D566A" w14:textId="6F56DB42" w:rsidR="00BC34DC" w:rsidRPr="00B542D5" w:rsidRDefault="00BC34DC" w:rsidP="00BC34DC">
      <w:pPr>
        <w:tabs>
          <w:tab w:val="left" w:pos="3694"/>
        </w:tabs>
        <w:rPr>
          <w:lang w:val="es-ES"/>
        </w:rPr>
        <w:sectPr w:rsidR="00BC34DC" w:rsidRPr="00B542D5" w:rsidSect="00BC54CA">
          <w:headerReference w:type="even" r:id="rId35"/>
          <w:headerReference w:type="default" r:id="rId36"/>
          <w:footerReference w:type="default" r:id="rId37"/>
          <w:headerReference w:type="first" r:id="rId38"/>
          <w:footerReference w:type="first" r:id="rId39"/>
          <w:pgSz w:w="11906" w:h="16838" w:code="9"/>
          <w:pgMar w:top="1440" w:right="1440" w:bottom="1440" w:left="1440" w:header="720" w:footer="720" w:gutter="0"/>
          <w:cols w:space="720"/>
          <w:titlePg/>
          <w:docGrid w:linePitch="360"/>
        </w:sectPr>
      </w:pPr>
      <w:r w:rsidRPr="00B542D5">
        <w:rPr>
          <w:lang w:val="es-ES"/>
        </w:rPr>
        <w:tab/>
      </w:r>
    </w:p>
    <w:p w14:paraId="14291FF7" w14:textId="3D6637B8" w:rsidR="00DD07FD" w:rsidRPr="00B542D5" w:rsidRDefault="00DD07FD" w:rsidP="00DD07FD">
      <w:pPr>
        <w:spacing w:after="0" w:line="240" w:lineRule="auto"/>
        <w:jc w:val="right"/>
        <w:rPr>
          <w:rFonts w:cs="Arial"/>
          <w:b/>
          <w:bCs/>
          <w:caps/>
          <w:lang w:val="es-ES"/>
        </w:rPr>
      </w:pPr>
      <w:r w:rsidRPr="00B542D5">
        <w:rPr>
          <w:rFonts w:cs="Arial"/>
          <w:b/>
          <w:caps/>
          <w:lang w:val="es-ES"/>
        </w:rPr>
        <w:lastRenderedPageBreak/>
        <w:t>Anexo</w:t>
      </w:r>
      <w:r w:rsidR="006A1037" w:rsidRPr="00B542D5">
        <w:rPr>
          <w:rFonts w:cs="Arial"/>
          <w:b/>
          <w:caps/>
          <w:lang w:val="es-ES"/>
        </w:rPr>
        <w:t xml:space="preserve"> 1</w:t>
      </w:r>
    </w:p>
    <w:p w14:paraId="08BBF916" w14:textId="77777777" w:rsidR="00DD07FD" w:rsidRPr="00B542D5" w:rsidRDefault="00DD07FD" w:rsidP="00DD07FD">
      <w:pPr>
        <w:spacing w:after="0" w:line="240" w:lineRule="auto"/>
        <w:rPr>
          <w:rFonts w:cs="Arial"/>
          <w:lang w:val="es-ES"/>
        </w:rPr>
      </w:pPr>
    </w:p>
    <w:p w14:paraId="0F298CF5" w14:textId="77777777" w:rsidR="00797FCF" w:rsidRPr="00B542D5" w:rsidRDefault="00797FCF" w:rsidP="00DD07FD">
      <w:pPr>
        <w:spacing w:after="0" w:line="240" w:lineRule="auto"/>
        <w:jc w:val="center"/>
        <w:rPr>
          <w:rFonts w:cs="Arial"/>
          <w:lang w:val="es-ES"/>
        </w:rPr>
      </w:pPr>
    </w:p>
    <w:p w14:paraId="1E34694C" w14:textId="77777777" w:rsidR="00797FCF" w:rsidRPr="00B542D5" w:rsidRDefault="00797FCF" w:rsidP="00DD07FD">
      <w:pPr>
        <w:spacing w:after="0" w:line="240" w:lineRule="auto"/>
        <w:jc w:val="center"/>
        <w:rPr>
          <w:rFonts w:cs="Arial"/>
          <w:lang w:val="es-ES"/>
        </w:rPr>
      </w:pPr>
    </w:p>
    <w:p w14:paraId="091B1BE7" w14:textId="2AD3BC4D" w:rsidR="00797FCF" w:rsidRPr="00E9367B" w:rsidRDefault="00797FCF" w:rsidP="00E825F6">
      <w:pPr>
        <w:spacing w:after="0" w:line="240" w:lineRule="auto"/>
        <w:jc w:val="both"/>
        <w:rPr>
          <w:rFonts w:cs="Arial"/>
          <w:b/>
          <w:bCs/>
          <w:lang w:val="es-ES"/>
        </w:rPr>
      </w:pPr>
      <w:r w:rsidRPr="00E9367B">
        <w:rPr>
          <w:rFonts w:cs="Arial"/>
          <w:b/>
          <w:bCs/>
          <w:lang w:val="es-ES"/>
        </w:rPr>
        <w:t xml:space="preserve">ACTIVIDADES LLEVADAS A CABO POR EL ETF </w:t>
      </w:r>
    </w:p>
    <w:p w14:paraId="7BF6B536" w14:textId="77777777" w:rsidR="00797FCF" w:rsidRPr="00B542D5" w:rsidRDefault="00797FCF" w:rsidP="00E825F6">
      <w:pPr>
        <w:spacing w:after="0" w:line="240" w:lineRule="auto"/>
        <w:jc w:val="both"/>
        <w:rPr>
          <w:rFonts w:cs="Arial"/>
          <w:lang w:val="es-ES"/>
        </w:rPr>
      </w:pPr>
    </w:p>
    <w:p w14:paraId="4AA3A2DC" w14:textId="77777777" w:rsidR="00797FCF" w:rsidRPr="00B542D5" w:rsidRDefault="00797FCF" w:rsidP="00E825F6">
      <w:pPr>
        <w:spacing w:after="0" w:line="240" w:lineRule="auto"/>
        <w:jc w:val="both"/>
        <w:rPr>
          <w:rFonts w:cs="Arial"/>
          <w:lang w:val="es-ES"/>
        </w:rPr>
      </w:pPr>
    </w:p>
    <w:p w14:paraId="12F9F79F" w14:textId="7A1FF78C" w:rsidR="00797FCF" w:rsidRPr="00B542D5" w:rsidRDefault="00797FCF" w:rsidP="00E825F6">
      <w:pPr>
        <w:spacing w:after="0" w:line="240" w:lineRule="auto"/>
        <w:jc w:val="both"/>
        <w:rPr>
          <w:lang w:val="es-ES"/>
        </w:rPr>
      </w:pPr>
    </w:p>
    <w:p w14:paraId="1A9D56B2" w14:textId="011CF3B5" w:rsidR="00797FCF" w:rsidRPr="00B542D5" w:rsidRDefault="00797FCF" w:rsidP="00E825F6">
      <w:pPr>
        <w:pStyle w:val="ListParagraph"/>
        <w:numPr>
          <w:ilvl w:val="1"/>
          <w:numId w:val="20"/>
        </w:numPr>
        <w:spacing w:after="80" w:line="240" w:lineRule="auto"/>
        <w:ind w:left="360"/>
        <w:contextualSpacing w:val="0"/>
        <w:jc w:val="both"/>
        <w:rPr>
          <w:lang w:val="es-ES"/>
        </w:rPr>
      </w:pPr>
      <w:r w:rsidRPr="00B542D5">
        <w:rPr>
          <w:lang w:val="es-ES"/>
        </w:rPr>
        <w:t>Documentos de comunicación del ETF, herramientas de mapeo espacial y publicaciones de los Observadores y Miembros del ETF: </w:t>
      </w:r>
    </w:p>
    <w:p w14:paraId="2113AC87" w14:textId="35B7FF1D"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0" w:tgtFrame="_blank" w:history="1">
        <w:r w:rsidR="00797FCF" w:rsidRPr="00B542D5">
          <w:rPr>
            <w:rStyle w:val="Hyperlink"/>
            <w:lang w:val="es-ES"/>
          </w:rPr>
          <w:t>El proyecto LIFE BTP, «Biodiversidad integrada en los territorios y las políticas»</w:t>
        </w:r>
      </w:hyperlink>
      <w:r w:rsidR="00DE64CA" w:rsidRPr="00B542D5">
        <w:rPr>
          <w:lang w:val="es-ES"/>
        </w:rPr>
        <w:t>’</w:t>
      </w:r>
      <w:r w:rsidR="00797FCF" w:rsidRPr="00B542D5">
        <w:rPr>
          <w:lang w:val="es-ES"/>
        </w:rPr>
        <w:t> </w:t>
      </w:r>
    </w:p>
    <w:p w14:paraId="0ACE83EC" w14:textId="77777777"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1" w:tgtFrame="_blank" w:history="1">
        <w:r w:rsidR="00797FCF" w:rsidRPr="00B542D5">
          <w:rPr>
            <w:rStyle w:val="Hyperlink"/>
            <w:lang w:val="es-ES"/>
          </w:rPr>
          <w:t>Mitigar los impactos en la biodiversidad asociados al desarrollo de la energía solar y eólica: directrices para promotores de proyectos</w:t>
        </w:r>
      </w:hyperlink>
      <w:r w:rsidR="00797FCF" w:rsidRPr="00B542D5">
        <w:rPr>
          <w:lang w:val="es-ES"/>
        </w:rPr>
        <w:t> </w:t>
      </w:r>
    </w:p>
    <w:p w14:paraId="2FA7B626" w14:textId="77777777"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2" w:tgtFrame="_blank" w:history="1">
        <w:r w:rsidR="00797FCF" w:rsidRPr="00B542D5">
          <w:rPr>
            <w:rStyle w:val="Hyperlink"/>
            <w:lang w:val="es-ES"/>
          </w:rPr>
          <w:t>Guía rápida para la prevención de la electrocución de las aves</w:t>
        </w:r>
      </w:hyperlink>
      <w:r w:rsidR="00797FCF" w:rsidRPr="00B542D5">
        <w:rPr>
          <w:lang w:val="es-ES"/>
        </w:rPr>
        <w:t> </w:t>
      </w:r>
    </w:p>
    <w:p w14:paraId="5003993C" w14:textId="77777777"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3" w:tgtFrame="_blank" w:history="1">
        <w:r w:rsidR="00797FCF" w:rsidRPr="00B542D5">
          <w:rPr>
            <w:rStyle w:val="Hyperlink"/>
            <w:lang w:val="es-ES"/>
          </w:rPr>
          <w:t>Vida silvestre y tendido eléctrico: directrices para prevenir y mitigar la mortalidad de vida silvestre asociada a las redes de distribución eléctricas</w:t>
        </w:r>
      </w:hyperlink>
      <w:r w:rsidR="00797FCF" w:rsidRPr="00B542D5">
        <w:rPr>
          <w:lang w:val="es-ES"/>
        </w:rPr>
        <w:t> </w:t>
      </w:r>
    </w:p>
    <w:p w14:paraId="351A6CF0" w14:textId="5BA188E8"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4" w:tgtFrame="_blank" w:history="1">
        <w:r w:rsidR="00797FCF" w:rsidRPr="00B542D5">
          <w:rPr>
            <w:rStyle w:val="Hyperlink"/>
            <w:lang w:val="es-ES"/>
          </w:rPr>
          <w:t>AVISTEP</w:t>
        </w:r>
      </w:hyperlink>
      <w:r w:rsidR="00797FCF" w:rsidRPr="00B542D5">
        <w:rPr>
          <w:lang w:val="es-ES"/>
        </w:rPr>
        <w:t> – herramienta de sensibilidad aviar para la planificación energética</w:t>
      </w:r>
    </w:p>
    <w:p w14:paraId="51D1FA5E" w14:textId="750EF5BE"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5" w:tgtFrame="_blank" w:history="1">
        <w:proofErr w:type="spellStart"/>
        <w:r w:rsidR="00797FCF" w:rsidRPr="00B542D5">
          <w:rPr>
            <w:rStyle w:val="Hyperlink"/>
            <w:lang w:val="es-ES"/>
          </w:rPr>
          <w:t>TransMit</w:t>
        </w:r>
        <w:proofErr w:type="spellEnd"/>
      </w:hyperlink>
      <w:r w:rsidR="00797FCF" w:rsidRPr="00B542D5">
        <w:rPr>
          <w:lang w:val="es-ES"/>
        </w:rPr>
        <w:t>. – kit de herramientas basado en pruebas para mitigar la mortalidad de las aves relacionada con las líneas eléctricas</w:t>
      </w:r>
    </w:p>
    <w:p w14:paraId="36D6878D" w14:textId="77777777" w:rsidR="00EC7C63" w:rsidRPr="00B542D5" w:rsidRDefault="00EC7C63" w:rsidP="00E825F6">
      <w:pPr>
        <w:pStyle w:val="ListParagraph"/>
        <w:spacing w:after="80" w:line="240" w:lineRule="auto"/>
        <w:ind w:left="1080"/>
        <w:contextualSpacing w:val="0"/>
        <w:jc w:val="both"/>
        <w:rPr>
          <w:lang w:val="es-ES"/>
        </w:rPr>
      </w:pPr>
    </w:p>
    <w:p w14:paraId="401AF398" w14:textId="258BCF8D" w:rsidR="00797FCF" w:rsidRPr="00B542D5" w:rsidRDefault="00797FCF" w:rsidP="00E825F6">
      <w:pPr>
        <w:pStyle w:val="ListParagraph"/>
        <w:numPr>
          <w:ilvl w:val="1"/>
          <w:numId w:val="20"/>
        </w:numPr>
        <w:spacing w:after="80" w:line="240" w:lineRule="auto"/>
        <w:ind w:left="360"/>
        <w:contextualSpacing w:val="0"/>
        <w:jc w:val="both"/>
        <w:rPr>
          <w:lang w:val="es-ES"/>
        </w:rPr>
      </w:pPr>
      <w:r w:rsidRPr="00B542D5">
        <w:rPr>
          <w:lang w:val="es-ES"/>
        </w:rPr>
        <w:t>Estudios de casos y fichas técnicas del Grupo Operativo sobre la Energía:  </w:t>
      </w:r>
    </w:p>
    <w:p w14:paraId="64FFF23F" w14:textId="7BFBC0E1"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6" w:history="1">
        <w:r w:rsidR="00B716FC" w:rsidRPr="00B542D5">
          <w:rPr>
            <w:rStyle w:val="Hyperlink"/>
            <w:lang w:val="es-ES"/>
          </w:rPr>
          <w:t>Especies de salvaguardia en la planificación energética</w:t>
        </w:r>
      </w:hyperlink>
      <w:r w:rsidR="00797FCF" w:rsidRPr="00B542D5">
        <w:rPr>
          <w:lang w:val="es-ES"/>
        </w:rPr>
        <w:t> </w:t>
      </w:r>
    </w:p>
    <w:p w14:paraId="49FD4788" w14:textId="6321CBCF"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7" w:tgtFrame="_blank" w:history="1">
        <w:r w:rsidR="00797FCF" w:rsidRPr="00B542D5">
          <w:rPr>
            <w:rStyle w:val="Hyperlink"/>
            <w:lang w:val="es-ES"/>
          </w:rPr>
          <w:t>Hacia líneas eléctricas respetuosas con las aves en Egipto</w:t>
        </w:r>
      </w:hyperlink>
      <w:r w:rsidR="00797FCF" w:rsidRPr="00B542D5">
        <w:rPr>
          <w:lang w:val="es-ES"/>
        </w:rPr>
        <w:t>  </w:t>
      </w:r>
    </w:p>
    <w:p w14:paraId="14AE14C9" w14:textId="4B8E4E47"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48" w:tgtFrame="_blank" w:history="1">
        <w:r w:rsidR="00797FCF" w:rsidRPr="00B542D5">
          <w:rPr>
            <w:rStyle w:val="Hyperlink"/>
            <w:lang w:val="es-ES"/>
          </w:rPr>
          <w:t>Planificación Regional de parques eólicos en Jordania</w:t>
        </w:r>
      </w:hyperlink>
      <w:r w:rsidR="00797FCF" w:rsidRPr="00B542D5">
        <w:rPr>
          <w:lang w:val="es-ES"/>
        </w:rPr>
        <w:t>  </w:t>
      </w:r>
    </w:p>
    <w:p w14:paraId="75601777" w14:textId="153B7ABC" w:rsidR="00797FCF" w:rsidRPr="00B542D5" w:rsidRDefault="00E825F6" w:rsidP="00E825F6">
      <w:pPr>
        <w:pStyle w:val="ListParagraph"/>
        <w:numPr>
          <w:ilvl w:val="2"/>
          <w:numId w:val="20"/>
        </w:numPr>
        <w:spacing w:after="80" w:line="240" w:lineRule="auto"/>
        <w:ind w:left="1080"/>
        <w:contextualSpacing w:val="0"/>
        <w:jc w:val="both"/>
        <w:rPr>
          <w:lang w:val="es-ES"/>
        </w:rPr>
      </w:pPr>
      <w:hyperlink r:id="rId49" w:tgtFrame="_blank" w:history="1">
        <w:r w:rsidR="00797FCF" w:rsidRPr="00B542D5">
          <w:rPr>
            <w:rStyle w:val="Hyperlink"/>
            <w:lang w:val="es-ES"/>
          </w:rPr>
          <w:t>Evaluación Ambiental Estratégica en Kenia</w:t>
        </w:r>
      </w:hyperlink>
      <w:r w:rsidR="00797FCF" w:rsidRPr="00B542D5">
        <w:rPr>
          <w:lang w:val="es-ES"/>
        </w:rPr>
        <w:t>  </w:t>
      </w:r>
    </w:p>
    <w:p w14:paraId="02713622" w14:textId="7CF118DE"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50" w:tgtFrame="_blank" w:history="1">
        <w:r w:rsidR="00797FCF" w:rsidRPr="00B542D5">
          <w:rPr>
            <w:rStyle w:val="Hyperlink"/>
            <w:lang w:val="es-ES"/>
          </w:rPr>
          <w:t>Directrices para la integración de las mejores prácticas para evaluar y supervisar los impactos en aves de las instalaciones de energía solar en Sudáfrica</w:t>
        </w:r>
      </w:hyperlink>
      <w:r w:rsidR="00797FCF" w:rsidRPr="00B542D5">
        <w:rPr>
          <w:lang w:val="es-ES"/>
        </w:rPr>
        <w:t>  </w:t>
      </w:r>
    </w:p>
    <w:p w14:paraId="4C365A3E" w14:textId="77858D04"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51" w:tgtFrame="_blank" w:history="1">
        <w:r w:rsidR="00797FCF" w:rsidRPr="00B542D5">
          <w:rPr>
            <w:rStyle w:val="Hyperlink"/>
            <w:lang w:val="es-ES"/>
          </w:rPr>
          <w:t>Reducir la brecha entre ciencia y aplicación en Sudáfrica</w:t>
        </w:r>
      </w:hyperlink>
      <w:r w:rsidR="00797FCF" w:rsidRPr="00B542D5">
        <w:rPr>
          <w:lang w:val="es-ES"/>
        </w:rPr>
        <w:t> </w:t>
      </w:r>
    </w:p>
    <w:p w14:paraId="5C30D697" w14:textId="20862D1E" w:rsidR="00797FCF" w:rsidRPr="00B542D5" w:rsidRDefault="00881760" w:rsidP="00E825F6">
      <w:pPr>
        <w:pStyle w:val="ListParagraph"/>
        <w:numPr>
          <w:ilvl w:val="2"/>
          <w:numId w:val="20"/>
        </w:numPr>
        <w:spacing w:after="80" w:line="240" w:lineRule="auto"/>
        <w:ind w:left="1080"/>
        <w:contextualSpacing w:val="0"/>
        <w:jc w:val="both"/>
        <w:rPr>
          <w:lang w:val="es-ES"/>
        </w:rPr>
      </w:pPr>
      <w:hyperlink r:id="rId52" w:tgtFrame="_blank" w:history="1">
        <w:r w:rsidR="00797FCF" w:rsidRPr="00B542D5">
          <w:rPr>
            <w:rStyle w:val="Hyperlink"/>
            <w:lang w:val="es-ES"/>
          </w:rPr>
          <w:t>Adaptación de las líneas eléctricas para los halcones sacre en Mongolia</w:t>
        </w:r>
      </w:hyperlink>
      <w:r w:rsidR="00797FCF" w:rsidRPr="00B542D5">
        <w:rPr>
          <w:lang w:val="es-ES"/>
        </w:rPr>
        <w:t> </w:t>
      </w:r>
    </w:p>
    <w:p w14:paraId="58A53612" w14:textId="11B0172D" w:rsidR="00797FCF" w:rsidRPr="00B542D5" w:rsidRDefault="00881760" w:rsidP="00E825F6">
      <w:pPr>
        <w:pStyle w:val="ListParagraph"/>
        <w:numPr>
          <w:ilvl w:val="2"/>
          <w:numId w:val="20"/>
        </w:numPr>
        <w:ind w:left="1080"/>
        <w:jc w:val="both"/>
        <w:rPr>
          <w:lang w:val="es-ES"/>
        </w:rPr>
      </w:pPr>
      <w:hyperlink r:id="rId53" w:tgtFrame="_blank" w:history="1">
        <w:r w:rsidR="00797FCF" w:rsidRPr="00B542D5">
          <w:rPr>
            <w:rStyle w:val="Hyperlink"/>
            <w:lang w:val="es-ES"/>
          </w:rPr>
          <w:t>Líneas eléctricas y Portal sobre información de aves - Alemania</w:t>
        </w:r>
      </w:hyperlink>
      <w:r w:rsidR="00797FCF" w:rsidRPr="00B542D5">
        <w:rPr>
          <w:lang w:val="es-ES"/>
        </w:rPr>
        <w:t> </w:t>
      </w:r>
    </w:p>
    <w:p w14:paraId="2AFD0D97" w14:textId="77777777" w:rsidR="00EC7C63" w:rsidRPr="00B542D5" w:rsidRDefault="00EC7C63" w:rsidP="00E825F6">
      <w:pPr>
        <w:pStyle w:val="ListParagraph"/>
        <w:ind w:left="1080"/>
        <w:jc w:val="both"/>
        <w:rPr>
          <w:lang w:val="es-ES"/>
        </w:rPr>
      </w:pPr>
    </w:p>
    <w:p w14:paraId="55183ADD" w14:textId="24D4772C" w:rsidR="00797FCF" w:rsidRPr="00B542D5" w:rsidRDefault="00797FCF" w:rsidP="00E825F6">
      <w:pPr>
        <w:pStyle w:val="ListParagraph"/>
        <w:numPr>
          <w:ilvl w:val="1"/>
          <w:numId w:val="20"/>
        </w:numPr>
        <w:spacing w:after="80" w:line="240" w:lineRule="auto"/>
        <w:ind w:left="360"/>
        <w:contextualSpacing w:val="0"/>
        <w:jc w:val="both"/>
        <w:rPr>
          <w:lang w:val="es-ES"/>
        </w:rPr>
      </w:pPr>
      <w:r w:rsidRPr="00B542D5">
        <w:rPr>
          <w:lang w:val="es-ES"/>
        </w:rPr>
        <w:t>Reuniones intermedias del ETF en abril de 2021, diciembre de 2021 y diciembre de 2022 </w:t>
      </w:r>
    </w:p>
    <w:p w14:paraId="1D970076" w14:textId="7EE21050" w:rsidR="00797FCF" w:rsidRPr="00B542D5" w:rsidRDefault="00EC7C63" w:rsidP="00E825F6">
      <w:pPr>
        <w:pStyle w:val="ListParagraph"/>
        <w:numPr>
          <w:ilvl w:val="1"/>
          <w:numId w:val="20"/>
        </w:numPr>
        <w:spacing w:after="80" w:line="240" w:lineRule="auto"/>
        <w:ind w:left="360"/>
        <w:contextualSpacing w:val="0"/>
        <w:jc w:val="both"/>
        <w:rPr>
          <w:lang w:val="es-ES"/>
        </w:rPr>
      </w:pPr>
      <w:r w:rsidRPr="00B542D5">
        <w:rPr>
          <w:lang w:val="es-ES"/>
        </w:rPr>
        <w:t xml:space="preserve">Taller en abril de 2020 organizado por la Unión Internacional para la Conservación de la Naturaleza (UICN) y The </w:t>
      </w:r>
      <w:proofErr w:type="spellStart"/>
      <w:r w:rsidRPr="00B542D5">
        <w:rPr>
          <w:lang w:val="es-ES"/>
        </w:rPr>
        <w:t>Biodiversity</w:t>
      </w:r>
      <w:proofErr w:type="spellEnd"/>
      <w:r w:rsidRPr="00B542D5">
        <w:rPr>
          <w:lang w:val="es-ES"/>
        </w:rPr>
        <w:t xml:space="preserve"> </w:t>
      </w:r>
      <w:proofErr w:type="spellStart"/>
      <w:r w:rsidRPr="00B542D5">
        <w:rPr>
          <w:lang w:val="es-ES"/>
        </w:rPr>
        <w:t>Consultancy</w:t>
      </w:r>
      <w:proofErr w:type="spellEnd"/>
      <w:r w:rsidRPr="00B542D5">
        <w:rPr>
          <w:lang w:val="es-ES"/>
        </w:rPr>
        <w:t xml:space="preserve"> centrado en la revisión de las nuevas directrices de la UICN sobre la Mitigación del impacto en la biodiversidad relacionado con las infraestructuras de energía solar y eólica </w:t>
      </w:r>
    </w:p>
    <w:p w14:paraId="44F96FFB" w14:textId="049F5FE7" w:rsidR="00797FCF" w:rsidRPr="00B542D5" w:rsidRDefault="002370F2" w:rsidP="00E825F6">
      <w:pPr>
        <w:pStyle w:val="ListParagraph"/>
        <w:numPr>
          <w:ilvl w:val="1"/>
          <w:numId w:val="20"/>
        </w:numPr>
        <w:spacing w:after="80" w:line="240" w:lineRule="auto"/>
        <w:ind w:left="360"/>
        <w:contextualSpacing w:val="0"/>
        <w:jc w:val="both"/>
        <w:rPr>
          <w:lang w:val="es-ES"/>
        </w:rPr>
      </w:pPr>
      <w:r w:rsidRPr="00B542D5">
        <w:rPr>
          <w:lang w:val="es-ES"/>
        </w:rPr>
        <w:t>Seminarios web/</w:t>
      </w:r>
      <w:proofErr w:type="gramStart"/>
      <w:r w:rsidRPr="00B542D5">
        <w:rPr>
          <w:lang w:val="es-ES"/>
        </w:rPr>
        <w:t>presentaciones organizados</w:t>
      </w:r>
      <w:proofErr w:type="gramEnd"/>
      <w:r w:rsidRPr="00B542D5">
        <w:rPr>
          <w:lang w:val="es-ES"/>
        </w:rPr>
        <w:t xml:space="preserve"> por el ETF: </w:t>
      </w:r>
    </w:p>
    <w:p w14:paraId="3049C41B" w14:textId="6FE4BE29"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 xml:space="preserve">Noviembre de 2020, «agenda de energía renovable sensible a la naturaleza» </w:t>
      </w:r>
    </w:p>
    <w:p w14:paraId="18F50412" w14:textId="70CE0855"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Diciembre de 2020, «</w:t>
      </w:r>
      <w:hyperlink r:id="rId54" w:tgtFrame="_blank" w:history="1">
        <w:r w:rsidRPr="00B542D5">
          <w:rPr>
            <w:rStyle w:val="Hyperlink"/>
            <w:lang w:val="es-ES"/>
          </w:rPr>
          <w:t>Energía renovable con la naturaleza como protagonista: El Grupo operativo sobre la energía»</w:t>
        </w:r>
      </w:hyperlink>
      <w:r w:rsidRPr="00B542D5">
        <w:rPr>
          <w:lang w:val="es-ES"/>
        </w:rPr>
        <w:t>’</w:t>
      </w:r>
    </w:p>
    <w:p w14:paraId="0AA9EC3A" w14:textId="4A795AEF"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Septiembre de 2021, organizado por la UICN «Energía renovable y biodiversidad: implementación de la jerarquía de mitigación» </w:t>
      </w:r>
    </w:p>
    <w:p w14:paraId="33D81DB3" w14:textId="5197312A"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Septiembre de 2021, Semana del clima, Nueva York, seminario web, «</w:t>
      </w:r>
      <w:hyperlink r:id="rId55" w:tgtFrame="_blank" w:history="1">
        <w:r w:rsidRPr="00B542D5">
          <w:rPr>
            <w:rStyle w:val="Hyperlink"/>
            <w:lang w:val="es-ES"/>
          </w:rPr>
          <w:t>Alcanzar los objetivos mundiales del clima, naturaleza y desarrollo sostenible a través de una transición a la energía renovable sensible a la naturaleza»</w:t>
        </w:r>
      </w:hyperlink>
      <w:r w:rsidR="002C2EAC" w:rsidRPr="00B542D5">
        <w:rPr>
          <w:lang w:val="es-ES"/>
        </w:rPr>
        <w:t>’</w:t>
      </w:r>
    </w:p>
    <w:p w14:paraId="04F83173" w14:textId="77777777"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Noviembre de 2021, 12.</w:t>
      </w:r>
      <w:r w:rsidRPr="00B542D5">
        <w:rPr>
          <w:vertAlign w:val="superscript"/>
          <w:lang w:val="es-ES"/>
        </w:rPr>
        <w:t>ª</w:t>
      </w:r>
      <w:r w:rsidRPr="00B542D5">
        <w:rPr>
          <w:lang w:val="es-ES"/>
        </w:rPr>
        <w:t xml:space="preserve"> Conferencia sobre conservación de aves MAVIR, «</w:t>
      </w:r>
      <w:hyperlink r:id="rId56" w:tgtFrame="_blank" w:history="1">
        <w:r w:rsidRPr="00B542D5">
          <w:rPr>
            <w:rStyle w:val="Hyperlink"/>
            <w:lang w:val="es-ES"/>
          </w:rPr>
          <w:t xml:space="preserve">Sinergias entre las infraestructuras de la energía y la conservación de especies </w:t>
        </w:r>
        <w:r w:rsidRPr="00B542D5">
          <w:rPr>
            <w:rStyle w:val="Hyperlink"/>
            <w:lang w:val="es-ES"/>
          </w:rPr>
          <w:lastRenderedPageBreak/>
          <w:t>migratorias: la necesidad de cooperación e innovación de múltiples partes interesadas»</w:t>
        </w:r>
      </w:hyperlink>
      <w:r w:rsidRPr="00B542D5">
        <w:rPr>
          <w:lang w:val="es-ES"/>
        </w:rPr>
        <w:t> </w:t>
      </w:r>
    </w:p>
    <w:p w14:paraId="408DBEF3" w14:textId="66AF8EA6"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De octubre a noviembre de 2021, UNFCCC COP26, «</w:t>
      </w:r>
      <w:hyperlink r:id="rId57" w:tgtFrame="_blank" w:history="1">
        <w:r w:rsidRPr="00B542D5">
          <w:rPr>
            <w:rStyle w:val="Hyperlink"/>
            <w:lang w:val="es-ES"/>
          </w:rPr>
          <w:t>Energía renovable con la naturaleza como protagonista</w:t>
        </w:r>
      </w:hyperlink>
      <w:r w:rsidRPr="00B542D5">
        <w:rPr>
          <w:lang w:val="es-ES"/>
        </w:rPr>
        <w:t>’</w:t>
      </w:r>
    </w:p>
    <w:p w14:paraId="18E356A2" w14:textId="40623C61"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Febrero de 2022, Diálogo de la Fundación China para la conservación de la biodiversidad y el desarrollo ecológico sobre energías renovables respetuosas con el medio ambiente</w:t>
      </w:r>
    </w:p>
    <w:p w14:paraId="647F3CF9" w14:textId="2D8084BC"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Marzo de 2022, Semana del Clima regional de Oriente Medio y el Norte de África de la UNFCCC, «</w:t>
      </w:r>
      <w:hyperlink r:id="rId58" w:tgtFrame="_blank" w:history="1">
        <w:r w:rsidRPr="00B542D5">
          <w:rPr>
            <w:rStyle w:val="Hyperlink"/>
            <w:lang w:val="es-ES"/>
          </w:rPr>
          <w:t>Despliegue de energías renovables sensibles a la naturaleza en MENA: Éxitos, retos y oportunidades»</w:t>
        </w:r>
      </w:hyperlink>
      <w:r w:rsidRPr="00B542D5">
        <w:rPr>
          <w:lang w:val="es-ES"/>
        </w:rPr>
        <w:t>’ </w:t>
      </w:r>
    </w:p>
    <w:p w14:paraId="0052F82C" w14:textId="5AA976B3"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Abril de 2022, 6.</w:t>
      </w:r>
      <w:r w:rsidRPr="00B542D5">
        <w:rPr>
          <w:vertAlign w:val="superscript"/>
          <w:lang w:val="es-ES"/>
        </w:rPr>
        <w:t>ª</w:t>
      </w:r>
      <w:r w:rsidRPr="00B542D5">
        <w:rPr>
          <w:lang w:val="es-ES"/>
        </w:rPr>
        <w:t xml:space="preserve"> Conferencia sobre energía eólica y su impacto sobre la vida salvaje, «Sinergias entre las infraestructuras de la energía y la conservación de las especies migratorias: Gobernanza a través de la colaboración de múltiples partes interesadas»</w:t>
      </w:r>
    </w:p>
    <w:p w14:paraId="0A07700D" w14:textId="27F3159D"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Junio de 2022, evento paralelo en la UNFCCC SBs56, «Soluciones transformadoras y seguras para la naturaleza para la adaptación y la energía renovable que queremos para África» </w:t>
      </w:r>
    </w:p>
    <w:p w14:paraId="5A6261D0" w14:textId="12C14F92"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 xml:space="preserve">Julio de 2022, evento del Dutch </w:t>
      </w:r>
      <w:proofErr w:type="spellStart"/>
      <w:r w:rsidRPr="00B542D5">
        <w:rPr>
          <w:lang w:val="es-ES"/>
        </w:rPr>
        <w:t>Development</w:t>
      </w:r>
      <w:proofErr w:type="spellEnd"/>
      <w:r w:rsidRPr="00B542D5">
        <w:rPr>
          <w:lang w:val="es-ES"/>
        </w:rPr>
        <w:t xml:space="preserve"> Bank FMO, «Sinergias entre las infraestructuras de la energía y la conservación de las especies migratorias: Gobernanza a través de la colaboración de múltiples partes interesadas» </w:t>
      </w:r>
    </w:p>
    <w:p w14:paraId="0B4F4E89" w14:textId="750C5280"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Agosto de 2022, Conferencia sobre aves y energía, «Grupo operativo sobre la energía de la CMS: Una plataforma mundial» </w:t>
      </w:r>
    </w:p>
    <w:p w14:paraId="7C848A20" w14:textId="172E2280"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 xml:space="preserve">Octubre de 2022, Energía segura: conferencia </w:t>
      </w:r>
      <w:proofErr w:type="spellStart"/>
      <w:r w:rsidRPr="00B542D5">
        <w:rPr>
          <w:lang w:val="es-ES"/>
        </w:rPr>
        <w:t>Flyways</w:t>
      </w:r>
      <w:proofErr w:type="spellEnd"/>
      <w:r w:rsidRPr="00B542D5">
        <w:rPr>
          <w:lang w:val="es-ES"/>
        </w:rPr>
        <w:t xml:space="preserve"> sobre energía y aves, «Sinergias entre las infraestructuras energéticas y la conservación de las especies migratorias: Gobernanza a través de la colaboración de múltiples partes interesadas» </w:t>
      </w:r>
    </w:p>
    <w:p w14:paraId="03B3DBD9" w14:textId="05D594B1" w:rsidR="00797FCF" w:rsidRPr="00B542D5" w:rsidRDefault="00797FCF" w:rsidP="00E825F6">
      <w:pPr>
        <w:pStyle w:val="ListParagraph"/>
        <w:numPr>
          <w:ilvl w:val="2"/>
          <w:numId w:val="20"/>
        </w:numPr>
        <w:spacing w:after="80" w:line="240" w:lineRule="auto"/>
        <w:ind w:left="1080"/>
        <w:contextualSpacing w:val="0"/>
        <w:jc w:val="both"/>
        <w:rPr>
          <w:lang w:val="es-ES"/>
        </w:rPr>
      </w:pPr>
      <w:r w:rsidRPr="00B542D5">
        <w:rPr>
          <w:lang w:val="es-ES"/>
        </w:rPr>
        <w:t>Octubre de 2022, seminario web en línea del ETF, «Eólicos marinos: nuevos desarrollos y lecciones aprendidas»</w:t>
      </w:r>
    </w:p>
    <w:p w14:paraId="2605CECD" w14:textId="0483CFB7" w:rsidR="00797FCF" w:rsidRPr="00B542D5" w:rsidRDefault="00797FCF" w:rsidP="00E825F6">
      <w:pPr>
        <w:pStyle w:val="ListParagraph"/>
        <w:numPr>
          <w:ilvl w:val="2"/>
          <w:numId w:val="20"/>
        </w:numPr>
        <w:ind w:left="1080"/>
        <w:jc w:val="both"/>
        <w:rPr>
          <w:lang w:val="es-ES"/>
        </w:rPr>
      </w:pPr>
      <w:r w:rsidRPr="00B542D5">
        <w:rPr>
          <w:lang w:val="es-ES"/>
        </w:rPr>
        <w:t>Noviembre de 2022, UNFCCC COP27, cuatro eventos paralelos sobre energía renovable y biodiversidad </w:t>
      </w:r>
    </w:p>
    <w:p w14:paraId="47DB6670" w14:textId="77777777" w:rsidR="00797FCF" w:rsidRPr="00B542D5" w:rsidRDefault="00797FCF" w:rsidP="00E825F6">
      <w:pPr>
        <w:pStyle w:val="ListParagraph"/>
        <w:ind w:left="397"/>
        <w:jc w:val="both"/>
        <w:rPr>
          <w:lang w:val="es-ES"/>
        </w:rPr>
      </w:pPr>
    </w:p>
    <w:p w14:paraId="37224495" w14:textId="77777777" w:rsidR="00797FCF" w:rsidRPr="00B542D5" w:rsidRDefault="00797FCF" w:rsidP="00E825F6">
      <w:pPr>
        <w:spacing w:after="0" w:line="240" w:lineRule="auto"/>
        <w:jc w:val="both"/>
        <w:rPr>
          <w:rFonts w:cs="Arial"/>
          <w:lang w:val="es-ES"/>
        </w:rPr>
      </w:pPr>
    </w:p>
    <w:p w14:paraId="4FC365C2" w14:textId="77777777" w:rsidR="00E9367B" w:rsidRDefault="00E9367B" w:rsidP="00E825F6">
      <w:pPr>
        <w:jc w:val="both"/>
        <w:rPr>
          <w:rFonts w:cs="Arial"/>
          <w:lang w:val="es-ES"/>
        </w:rPr>
        <w:sectPr w:rsidR="00E9367B" w:rsidSect="00BC54CA">
          <w:headerReference w:type="even" r:id="rId59"/>
          <w:headerReference w:type="default" r:id="rId60"/>
          <w:headerReference w:type="first" r:id="rId61"/>
          <w:pgSz w:w="11906" w:h="16838" w:code="9"/>
          <w:pgMar w:top="1440" w:right="1440" w:bottom="1440" w:left="1440" w:header="720" w:footer="720" w:gutter="0"/>
          <w:cols w:space="720"/>
          <w:titlePg/>
          <w:docGrid w:linePitch="360"/>
        </w:sectPr>
      </w:pPr>
    </w:p>
    <w:p w14:paraId="20C0E765" w14:textId="1155E14C" w:rsidR="002370F2" w:rsidRPr="00B542D5" w:rsidRDefault="002370F2" w:rsidP="00E825F6">
      <w:pPr>
        <w:spacing w:after="0" w:line="240" w:lineRule="auto"/>
        <w:jc w:val="right"/>
        <w:rPr>
          <w:rFonts w:cs="Arial"/>
          <w:b/>
          <w:bCs/>
          <w:caps/>
          <w:lang w:val="es-ES"/>
        </w:rPr>
      </w:pPr>
      <w:r w:rsidRPr="00B542D5">
        <w:rPr>
          <w:rFonts w:cs="Arial"/>
          <w:b/>
          <w:caps/>
          <w:lang w:val="es-ES"/>
        </w:rPr>
        <w:lastRenderedPageBreak/>
        <w:t>Anexo 2</w:t>
      </w:r>
    </w:p>
    <w:p w14:paraId="69F28FF3" w14:textId="77777777" w:rsidR="00797FCF" w:rsidRPr="00B542D5" w:rsidRDefault="00797FCF" w:rsidP="00E825F6">
      <w:pPr>
        <w:spacing w:after="0" w:line="240" w:lineRule="auto"/>
        <w:jc w:val="both"/>
        <w:rPr>
          <w:rFonts w:cs="Arial"/>
          <w:lang w:val="es-ES"/>
        </w:rPr>
      </w:pPr>
    </w:p>
    <w:p w14:paraId="0AF773E8" w14:textId="77777777" w:rsidR="00797FCF" w:rsidRPr="00B542D5" w:rsidRDefault="00797FCF" w:rsidP="00E825F6">
      <w:pPr>
        <w:spacing w:after="0" w:line="240" w:lineRule="auto"/>
        <w:jc w:val="both"/>
        <w:rPr>
          <w:rFonts w:cs="Arial"/>
          <w:lang w:val="es-ES"/>
        </w:rPr>
      </w:pPr>
    </w:p>
    <w:p w14:paraId="398FED21" w14:textId="75B3BA1A" w:rsidR="00DD07FD" w:rsidRPr="00B542D5" w:rsidRDefault="00DD07FD" w:rsidP="00E825F6">
      <w:pPr>
        <w:spacing w:after="0" w:line="240" w:lineRule="auto"/>
        <w:jc w:val="center"/>
        <w:rPr>
          <w:rFonts w:cs="Arial"/>
          <w:lang w:val="es-ES"/>
        </w:rPr>
      </w:pPr>
      <w:r w:rsidRPr="00B542D5">
        <w:rPr>
          <w:rFonts w:cs="Arial"/>
          <w:lang w:val="es-ES"/>
        </w:rPr>
        <w:t>PROYECTO DE DECISIÓN</w:t>
      </w:r>
    </w:p>
    <w:p w14:paraId="605F4AD2" w14:textId="77777777" w:rsidR="008C2EA1" w:rsidRPr="00B542D5" w:rsidRDefault="008C2EA1" w:rsidP="00E825F6">
      <w:pPr>
        <w:spacing w:after="0" w:line="240" w:lineRule="auto"/>
        <w:jc w:val="center"/>
        <w:rPr>
          <w:rFonts w:cs="Arial"/>
          <w:lang w:val="es-ES"/>
        </w:rPr>
      </w:pPr>
    </w:p>
    <w:p w14:paraId="2D562B10" w14:textId="44E0D265" w:rsidR="00B25BA3" w:rsidRPr="00B542D5" w:rsidRDefault="00B25BA3" w:rsidP="00E825F6">
      <w:pPr>
        <w:jc w:val="center"/>
        <w:rPr>
          <w:b/>
          <w:bCs/>
          <w:lang w:val="es-ES"/>
        </w:rPr>
      </w:pPr>
      <w:r w:rsidRPr="00B542D5">
        <w:rPr>
          <w:b/>
          <w:bCs/>
          <w:lang w:val="es-ES"/>
        </w:rPr>
        <w:t>ENERGÍA RENOVABLE Y ESPECIES MIGRATORIAS</w:t>
      </w:r>
    </w:p>
    <w:p w14:paraId="3610FD44" w14:textId="44D0F4BE" w:rsidR="00BE0EA7" w:rsidRPr="00B542D5" w:rsidRDefault="00BE0EA7" w:rsidP="00E825F6">
      <w:pPr>
        <w:spacing w:after="0" w:line="240" w:lineRule="auto"/>
        <w:jc w:val="both"/>
        <w:rPr>
          <w:rFonts w:cs="Arial"/>
          <w:lang w:val="es-ES"/>
        </w:rPr>
      </w:pPr>
    </w:p>
    <w:p w14:paraId="503DE3D0" w14:textId="77777777" w:rsidR="00684AE2" w:rsidRPr="00B542D5" w:rsidRDefault="00684AE2" w:rsidP="00E825F6">
      <w:pPr>
        <w:spacing w:after="0" w:line="240" w:lineRule="auto"/>
        <w:ind w:left="851" w:hanging="851"/>
        <w:jc w:val="both"/>
        <w:rPr>
          <w:rFonts w:cs="Arial"/>
          <w:lang w:val="es-ES"/>
        </w:rPr>
      </w:pPr>
    </w:p>
    <w:p w14:paraId="13DAAC81" w14:textId="4801006E" w:rsidR="00684AE2" w:rsidRPr="00B542D5" w:rsidRDefault="00AC35F9" w:rsidP="00E825F6">
      <w:pPr>
        <w:jc w:val="both"/>
        <w:rPr>
          <w:b/>
          <w:bCs/>
          <w:i/>
          <w:iCs/>
          <w:lang w:val="es-ES"/>
        </w:rPr>
      </w:pPr>
      <w:r w:rsidRPr="00B542D5">
        <w:rPr>
          <w:b/>
          <w:bCs/>
          <w:i/>
          <w:iCs/>
          <w:lang w:val="es-ES"/>
        </w:rPr>
        <w:t>Dirigido a las Partes</w:t>
      </w:r>
    </w:p>
    <w:p w14:paraId="34B6D474" w14:textId="77777777" w:rsidR="00AC35F9" w:rsidRPr="00B542D5" w:rsidRDefault="00AC35F9" w:rsidP="00E825F6">
      <w:pPr>
        <w:spacing w:after="0" w:line="240" w:lineRule="auto"/>
        <w:ind w:left="851" w:hanging="851"/>
        <w:jc w:val="both"/>
        <w:rPr>
          <w:rFonts w:cs="Arial"/>
          <w:lang w:val="es-ES"/>
        </w:rPr>
      </w:pPr>
    </w:p>
    <w:p w14:paraId="3D578B5E" w14:textId="32B7796B" w:rsidR="00845F94" w:rsidRPr="00B542D5" w:rsidRDefault="00684AE2" w:rsidP="00E825F6">
      <w:pPr>
        <w:spacing w:after="0" w:line="240" w:lineRule="auto"/>
        <w:ind w:left="851" w:hanging="851"/>
        <w:jc w:val="both"/>
        <w:rPr>
          <w:rFonts w:cs="Arial"/>
          <w:lang w:val="es-ES"/>
        </w:rPr>
      </w:pPr>
      <w:r w:rsidRPr="00B542D5">
        <w:rPr>
          <w:rFonts w:cs="Arial"/>
          <w:lang w:val="es-ES"/>
        </w:rPr>
        <w:t>14.AA</w:t>
      </w:r>
      <w:r w:rsidRPr="00B542D5">
        <w:rPr>
          <w:rFonts w:cs="Arial"/>
          <w:lang w:val="es-ES"/>
        </w:rPr>
        <w:tab/>
        <w:t xml:space="preserve"> A las Partes: </w:t>
      </w:r>
    </w:p>
    <w:p w14:paraId="6FCC0E92" w14:textId="77777777" w:rsidR="00845F94" w:rsidRPr="00B542D5" w:rsidRDefault="00845F94" w:rsidP="00E825F6">
      <w:pPr>
        <w:spacing w:after="0" w:line="240" w:lineRule="auto"/>
        <w:ind w:left="851" w:hanging="57"/>
        <w:jc w:val="both"/>
        <w:rPr>
          <w:rFonts w:cs="Arial"/>
          <w:lang w:val="es-ES"/>
        </w:rPr>
      </w:pPr>
    </w:p>
    <w:p w14:paraId="65D6F909" w14:textId="25EEADEC" w:rsidR="00AA4516" w:rsidRPr="00B542D5" w:rsidRDefault="005C7A02" w:rsidP="00E825F6">
      <w:pPr>
        <w:pStyle w:val="ListParagraph"/>
        <w:numPr>
          <w:ilvl w:val="0"/>
          <w:numId w:val="19"/>
        </w:numPr>
        <w:ind w:left="1260"/>
        <w:jc w:val="both"/>
        <w:rPr>
          <w:lang w:val="es-ES"/>
        </w:rPr>
      </w:pPr>
      <w:r w:rsidRPr="00B542D5">
        <w:rPr>
          <w:lang w:val="es-ES"/>
        </w:rPr>
        <w:t>se les solicita integrar las consideraciones sobre especies migratorias y biodiversidad en los planes de acción y las políticas climáticas y de energía a nivel nacional, y en la legislación y los reglamentos sobre colocación de nuevas infraestructuras de energía;</w:t>
      </w:r>
    </w:p>
    <w:p w14:paraId="5E15E7A2" w14:textId="562274EC" w:rsidR="00D1693D" w:rsidRPr="00B542D5" w:rsidRDefault="007061F4" w:rsidP="00E825F6">
      <w:pPr>
        <w:pStyle w:val="ListParagraph"/>
        <w:numPr>
          <w:ilvl w:val="0"/>
          <w:numId w:val="19"/>
        </w:numPr>
        <w:ind w:left="1260"/>
        <w:jc w:val="both"/>
        <w:rPr>
          <w:lang w:val="es-ES"/>
        </w:rPr>
      </w:pPr>
      <w:r w:rsidRPr="00B542D5">
        <w:rPr>
          <w:lang w:val="es-ES"/>
        </w:rPr>
        <w:t xml:space="preserve">se les anima a apoyar una combinación de energía renovable basada en pruebas en el diseño y la implementación de políticas de energías renovables tales como las Contribuciones determinadas a nivel nacional (NDC, por sus siglas en inglés) y los planes climáticos y energéticos nacionales, y a integrar Evaluaciones medioambientales estratégicas y mapeo de sensibilidad de especies en los procesos de toma de decisiones para los objetivos climáticos; </w:t>
      </w:r>
    </w:p>
    <w:p w14:paraId="37B790FC" w14:textId="5FA4B70B" w:rsidR="00AA4516" w:rsidRPr="00B542D5" w:rsidRDefault="00AC35F9" w:rsidP="00E825F6">
      <w:pPr>
        <w:pStyle w:val="ListParagraph"/>
        <w:numPr>
          <w:ilvl w:val="0"/>
          <w:numId w:val="19"/>
        </w:numPr>
        <w:ind w:left="1260"/>
        <w:jc w:val="both"/>
        <w:rPr>
          <w:lang w:val="es-ES"/>
        </w:rPr>
      </w:pPr>
      <w:r w:rsidRPr="00B542D5">
        <w:rPr>
          <w:lang w:val="es-ES"/>
        </w:rPr>
        <w:t xml:space="preserve">se les invita a proporcionar al Grupo Operativo sobre la Energía y a la Secretaría la información y los indicadores que se hubieran integrado en los planes de acción climáticos nacionales y NDC; </w:t>
      </w:r>
    </w:p>
    <w:p w14:paraId="45A60F5F" w14:textId="60A413A0" w:rsidR="00BC6D24" w:rsidRPr="00B542D5" w:rsidRDefault="00AC35F9" w:rsidP="00E825F6">
      <w:pPr>
        <w:pStyle w:val="ListParagraph"/>
        <w:numPr>
          <w:ilvl w:val="0"/>
          <w:numId w:val="19"/>
        </w:numPr>
        <w:ind w:left="1260"/>
        <w:jc w:val="both"/>
        <w:rPr>
          <w:lang w:val="es-ES"/>
        </w:rPr>
      </w:pPr>
      <w:r w:rsidRPr="00B542D5">
        <w:rPr>
          <w:lang w:val="es-ES"/>
        </w:rPr>
        <w:t xml:space="preserve">se les solicita que informen del progreso en sus Informes nacionales a la hora de implementar la Resolución 11.27 (Rev.COP13) </w:t>
      </w:r>
      <w:r w:rsidR="00BC6D24" w:rsidRPr="00B542D5">
        <w:rPr>
          <w:i/>
          <w:lang w:val="es-ES"/>
        </w:rPr>
        <w:t>Energía renovable y especies migratorias</w:t>
      </w:r>
      <w:r w:rsidRPr="00B542D5">
        <w:rPr>
          <w:lang w:val="es-ES"/>
        </w:rPr>
        <w:t>, incluyendo la supervisión de la eficacia de las medidas tomadas, para la 15.</w:t>
      </w:r>
      <w:r w:rsidR="00BC6D24" w:rsidRPr="00B542D5">
        <w:rPr>
          <w:vertAlign w:val="superscript"/>
          <w:lang w:val="es-ES"/>
        </w:rPr>
        <w:t>ª</w:t>
      </w:r>
      <w:r w:rsidRPr="00B542D5">
        <w:rPr>
          <w:lang w:val="es-ES"/>
        </w:rPr>
        <w:t xml:space="preserve"> reunión de la Conferencia de las partes (COP15).</w:t>
      </w:r>
    </w:p>
    <w:p w14:paraId="57623D68" w14:textId="5E237CC7" w:rsidR="00BC6D24" w:rsidRPr="00B542D5" w:rsidRDefault="00BC6D24" w:rsidP="00E825F6">
      <w:pPr>
        <w:jc w:val="both"/>
        <w:rPr>
          <w:b/>
          <w:bCs/>
          <w:i/>
          <w:iCs/>
          <w:lang w:val="es-ES"/>
        </w:rPr>
      </w:pPr>
      <w:r w:rsidRPr="00B542D5">
        <w:rPr>
          <w:b/>
          <w:bCs/>
          <w:i/>
          <w:iCs/>
          <w:lang w:val="es-ES"/>
        </w:rPr>
        <w:t>Dirigido a las Partes, a las organizaciones gubernamentales y no gubernamentales y a todos los demás</w:t>
      </w:r>
    </w:p>
    <w:p w14:paraId="6EDAAD4C" w14:textId="42FD6511" w:rsidR="00BC6D24" w:rsidRPr="00B542D5" w:rsidRDefault="00BC6D24" w:rsidP="00E825F6">
      <w:pPr>
        <w:spacing w:after="0" w:line="240" w:lineRule="auto"/>
        <w:ind w:left="851" w:hanging="851"/>
        <w:jc w:val="both"/>
        <w:rPr>
          <w:rFonts w:cs="Arial"/>
          <w:lang w:val="es-ES"/>
        </w:rPr>
      </w:pPr>
      <w:r w:rsidRPr="00B542D5">
        <w:rPr>
          <w:rFonts w:cs="Arial"/>
          <w:lang w:val="es-ES"/>
        </w:rPr>
        <w:t>14.BB</w:t>
      </w:r>
      <w:r w:rsidRPr="00B542D5">
        <w:rPr>
          <w:rFonts w:cs="Arial"/>
          <w:lang w:val="es-ES"/>
        </w:rPr>
        <w:tab/>
        <w:t>Se anima a las partes, incluidos sus representantes tanto de las autoridades como de los ministerios de energía y medio ambiente, a las organizaciones intergubernamentales y no gubernamentales, y a las demás partes interesadas del sector de la energía a apoyar la implementación del Plan de trabajo del Grupo de Operativo sobre la Energía y las operaciones en curso del Grupo Operativo sobre la Energía.</w:t>
      </w:r>
    </w:p>
    <w:p w14:paraId="40DADA7F" w14:textId="77777777" w:rsidR="00BC6D24" w:rsidRPr="00B542D5" w:rsidRDefault="00BC6D24" w:rsidP="00E825F6">
      <w:pPr>
        <w:jc w:val="both"/>
        <w:rPr>
          <w:b/>
          <w:bCs/>
          <w:i/>
          <w:iCs/>
          <w:lang w:val="es-ES"/>
        </w:rPr>
      </w:pPr>
    </w:p>
    <w:p w14:paraId="07637B08" w14:textId="057248F5" w:rsidR="00B6773D" w:rsidRPr="00B542D5" w:rsidRDefault="00110F8E" w:rsidP="00E825F6">
      <w:pPr>
        <w:jc w:val="both"/>
        <w:rPr>
          <w:b/>
          <w:bCs/>
          <w:i/>
          <w:iCs/>
          <w:lang w:val="es-ES"/>
        </w:rPr>
      </w:pPr>
      <w:r w:rsidRPr="00B542D5">
        <w:rPr>
          <w:b/>
          <w:bCs/>
          <w:i/>
          <w:iCs/>
          <w:lang w:val="es-ES"/>
        </w:rPr>
        <w:t>Dirigido al Grupo Operativo sobre la Energía</w:t>
      </w:r>
    </w:p>
    <w:p w14:paraId="47637F78" w14:textId="0BABD156" w:rsidR="00B441B2" w:rsidRPr="00B542D5" w:rsidRDefault="00687AFF" w:rsidP="00E825F6">
      <w:pPr>
        <w:ind w:left="993" w:hanging="993"/>
        <w:jc w:val="both"/>
        <w:rPr>
          <w:lang w:val="es-ES"/>
        </w:rPr>
      </w:pPr>
      <w:r w:rsidRPr="00B542D5">
        <w:rPr>
          <w:lang w:val="es-ES"/>
        </w:rPr>
        <w:t>14. CC</w:t>
      </w:r>
      <w:r w:rsidRPr="00B542D5">
        <w:rPr>
          <w:lang w:val="es-ES"/>
        </w:rPr>
        <w:tab/>
        <w:t xml:space="preserve">Al Grupo Operativo sobre la Energía se le solicita, en función de la disponibilidad de recursos: </w:t>
      </w:r>
    </w:p>
    <w:p w14:paraId="611947B4" w14:textId="1D0F2D2F" w:rsidR="00DE00CF" w:rsidRPr="00B542D5" w:rsidRDefault="00FD719B" w:rsidP="00E825F6">
      <w:pPr>
        <w:pStyle w:val="ListParagraph"/>
        <w:numPr>
          <w:ilvl w:val="0"/>
          <w:numId w:val="21"/>
        </w:numPr>
        <w:jc w:val="both"/>
        <w:rPr>
          <w:lang w:val="es-ES"/>
        </w:rPr>
      </w:pPr>
      <w:r w:rsidRPr="00B542D5">
        <w:rPr>
          <w:lang w:val="es-ES"/>
        </w:rPr>
        <w:t>revisar herramientas y proporcionar orientación para evaluar y mitigar el impacto de los desarrollos de tendidos eléctricos y energías renovables sobre las especies migratorias a través de rutas migratorias y áreas de distribución de las especies, incluso en áreas de fuera de la jurisdicción nacional; esto incluye enfoques estandarizados para la supervisión posterior a la construcción de los proyectos de energía renovable, y una revisión de las herramientas existentes, tales como AVISTEP;</w:t>
      </w:r>
    </w:p>
    <w:p w14:paraId="6B55828E" w14:textId="77777777" w:rsidR="00993FBD" w:rsidRPr="00B542D5" w:rsidRDefault="00993FBD" w:rsidP="00E825F6">
      <w:pPr>
        <w:pStyle w:val="ListParagraph"/>
        <w:ind w:left="1260"/>
        <w:jc w:val="both"/>
        <w:rPr>
          <w:lang w:val="es-ES"/>
        </w:rPr>
      </w:pPr>
    </w:p>
    <w:p w14:paraId="53F37BE3" w14:textId="42647F70" w:rsidR="00EE27DE" w:rsidRPr="00B542D5" w:rsidRDefault="00FD719B" w:rsidP="00E825F6">
      <w:pPr>
        <w:pStyle w:val="ListParagraph"/>
        <w:numPr>
          <w:ilvl w:val="0"/>
          <w:numId w:val="21"/>
        </w:numPr>
        <w:jc w:val="both"/>
        <w:rPr>
          <w:lang w:val="es-ES"/>
        </w:rPr>
      </w:pPr>
      <w:r w:rsidRPr="00B542D5">
        <w:rPr>
          <w:lang w:val="es-ES"/>
        </w:rPr>
        <w:t xml:space="preserve">proporcionar orientación sobre el formato y ámbito de una base de datos sobre la mortalidad de la especie del Apéndice I de la CMS provocada por el desarrollo de la energía renovable; </w:t>
      </w:r>
    </w:p>
    <w:p w14:paraId="0A75ADD6" w14:textId="77777777" w:rsidR="00186CDD" w:rsidRPr="00B542D5" w:rsidRDefault="00186CDD" w:rsidP="00E825F6">
      <w:pPr>
        <w:pStyle w:val="ListParagraph"/>
        <w:ind w:left="1260"/>
        <w:jc w:val="both"/>
        <w:rPr>
          <w:lang w:val="es-ES"/>
        </w:rPr>
      </w:pPr>
    </w:p>
    <w:p w14:paraId="5D1CF48D" w14:textId="33A8BEA8" w:rsidR="00D64159" w:rsidRPr="00B542D5" w:rsidRDefault="00FD719B" w:rsidP="00E825F6">
      <w:pPr>
        <w:pStyle w:val="ListParagraph"/>
        <w:numPr>
          <w:ilvl w:val="0"/>
          <w:numId w:val="21"/>
        </w:numPr>
        <w:jc w:val="both"/>
        <w:rPr>
          <w:lang w:val="es-ES"/>
        </w:rPr>
      </w:pPr>
      <w:r w:rsidRPr="00B542D5">
        <w:rPr>
          <w:lang w:val="es-ES"/>
        </w:rPr>
        <w:t>coordinar la recopilación de datos de mortalidad para aves y murciélagos con otros grupos Operativos de la CMS que trabajen en iniciativas similares, como el Grupo Operativo sobre Halcón sacre de la CMS, el Grupo Operativo intergubernamental de la CMS sobre matanza, captura y comercio ilegal de aves migratorias en el Mediterráneo (MIKT)</w:t>
      </w:r>
      <w:r w:rsidR="00B542D5">
        <w:rPr>
          <w:lang w:val="es-ES"/>
        </w:rPr>
        <w:t xml:space="preserve"> </w:t>
      </w:r>
      <w:r w:rsidRPr="00B542D5">
        <w:rPr>
          <w:lang w:val="es-ES"/>
        </w:rPr>
        <w:t xml:space="preserve">y el grupo Operativo de la CMS </w:t>
      </w:r>
      <w:r w:rsidR="00910A3E" w:rsidRPr="00B542D5">
        <w:rPr>
          <w:bCs/>
          <w:iCs/>
          <w:lang w:val="es-ES"/>
        </w:rPr>
        <w:t>sobre captura ilegal de aves migratorias en el Pacífico asiático;</w:t>
      </w:r>
    </w:p>
    <w:p w14:paraId="69E3FEF6" w14:textId="77777777" w:rsidR="00D64159" w:rsidRPr="00B542D5" w:rsidRDefault="00D64159" w:rsidP="00E825F6">
      <w:pPr>
        <w:jc w:val="both"/>
        <w:rPr>
          <w:lang w:val="es-ES"/>
        </w:rPr>
      </w:pPr>
    </w:p>
    <w:p w14:paraId="5EAA3E79" w14:textId="3E6A8994" w:rsidR="00B44534" w:rsidRPr="00B542D5" w:rsidRDefault="00FD719B" w:rsidP="00E825F6">
      <w:pPr>
        <w:pStyle w:val="ListParagraph"/>
        <w:numPr>
          <w:ilvl w:val="0"/>
          <w:numId w:val="21"/>
        </w:numPr>
        <w:jc w:val="both"/>
        <w:rPr>
          <w:lang w:val="es-ES"/>
        </w:rPr>
      </w:pPr>
      <w:r w:rsidRPr="00B542D5">
        <w:rPr>
          <w:lang w:val="es-ES"/>
        </w:rPr>
        <w:t>ampliar el ámbito del ETF para incluir el impacto sobre los cetáceos de la energía renovable marítima;</w:t>
      </w:r>
    </w:p>
    <w:p w14:paraId="7D38CAC2" w14:textId="77777777" w:rsidR="008757B0" w:rsidRPr="00B542D5" w:rsidRDefault="008757B0" w:rsidP="00E825F6">
      <w:pPr>
        <w:pStyle w:val="ListParagraph"/>
        <w:ind w:left="1260"/>
        <w:jc w:val="both"/>
        <w:rPr>
          <w:lang w:val="es-ES"/>
        </w:rPr>
      </w:pPr>
    </w:p>
    <w:p w14:paraId="0DF85CCF" w14:textId="669CC8A5" w:rsidR="008B0F25" w:rsidRPr="00B542D5" w:rsidRDefault="008B0F25" w:rsidP="00E825F6">
      <w:pPr>
        <w:pStyle w:val="ListParagraph"/>
        <w:numPr>
          <w:ilvl w:val="0"/>
          <w:numId w:val="21"/>
        </w:numPr>
        <w:jc w:val="both"/>
        <w:rPr>
          <w:lang w:val="es-ES"/>
        </w:rPr>
      </w:pPr>
      <w:r w:rsidRPr="00B542D5">
        <w:rPr>
          <w:lang w:val="es-ES"/>
        </w:rPr>
        <w:t>colaborar con el sector empresarial y financiero internacional para apoyar la integración de buenas prácticas e incorporar a las especies migratorias en las salvaguardias y políticas industriales;</w:t>
      </w:r>
    </w:p>
    <w:p w14:paraId="4459CEFF" w14:textId="77777777" w:rsidR="007C300B" w:rsidRPr="00B542D5" w:rsidRDefault="007C300B" w:rsidP="00E825F6">
      <w:pPr>
        <w:pStyle w:val="ListParagraph"/>
        <w:ind w:left="1260"/>
        <w:jc w:val="both"/>
        <w:rPr>
          <w:lang w:val="es-ES"/>
        </w:rPr>
      </w:pPr>
    </w:p>
    <w:p w14:paraId="2319B655" w14:textId="208C1DC7" w:rsidR="008B0F25" w:rsidRPr="00B542D5" w:rsidRDefault="008B0F25" w:rsidP="00E825F6">
      <w:pPr>
        <w:pStyle w:val="ListParagraph"/>
        <w:numPr>
          <w:ilvl w:val="0"/>
          <w:numId w:val="21"/>
        </w:numPr>
        <w:spacing w:after="0" w:line="240" w:lineRule="auto"/>
        <w:ind w:left="1267"/>
        <w:contextualSpacing w:val="0"/>
        <w:jc w:val="both"/>
        <w:rPr>
          <w:lang w:val="es-ES"/>
        </w:rPr>
      </w:pPr>
      <w:r w:rsidRPr="00B542D5">
        <w:rPr>
          <w:lang w:val="es-ES"/>
        </w:rPr>
        <w:t>animar a la comunidad internacional de donantes a incorporar la biodiversidad en las estrategias de financiación relacionadas con la transición hacia energías renovables.</w:t>
      </w:r>
    </w:p>
    <w:p w14:paraId="7FBB8C04" w14:textId="77777777" w:rsidR="00FF1BB9" w:rsidRPr="00B542D5" w:rsidRDefault="00FF1BB9" w:rsidP="00E825F6">
      <w:pPr>
        <w:spacing w:after="0" w:line="240" w:lineRule="auto"/>
        <w:ind w:left="1267" w:hanging="360"/>
        <w:jc w:val="both"/>
        <w:rPr>
          <w:lang w:val="es-ES"/>
        </w:rPr>
      </w:pPr>
    </w:p>
    <w:p w14:paraId="272D4E01" w14:textId="61F82225" w:rsidR="00FF1BB9" w:rsidRPr="00B542D5" w:rsidRDefault="00FF1BB9" w:rsidP="00E825F6">
      <w:pPr>
        <w:spacing w:after="0" w:line="240" w:lineRule="auto"/>
        <w:jc w:val="both"/>
        <w:rPr>
          <w:rFonts w:cs="Arial"/>
          <w:b/>
          <w:i/>
          <w:lang w:val="es-ES"/>
        </w:rPr>
      </w:pPr>
      <w:r w:rsidRPr="00B542D5">
        <w:rPr>
          <w:rFonts w:cs="Arial"/>
          <w:b/>
          <w:i/>
          <w:lang w:val="es-ES"/>
        </w:rPr>
        <w:t>Dirigido a la Secretaría</w:t>
      </w:r>
    </w:p>
    <w:p w14:paraId="58CD53A6" w14:textId="77777777" w:rsidR="00831DC2" w:rsidRPr="00B542D5" w:rsidRDefault="00831DC2" w:rsidP="00E825F6">
      <w:pPr>
        <w:pStyle w:val="Secondnumbering"/>
        <w:numPr>
          <w:ilvl w:val="0"/>
          <w:numId w:val="0"/>
        </w:numPr>
        <w:jc w:val="both"/>
        <w:rPr>
          <w:lang w:val="es-ES"/>
        </w:rPr>
      </w:pPr>
    </w:p>
    <w:p w14:paraId="7955C02B" w14:textId="52B8F987" w:rsidR="007022A1" w:rsidRPr="00B542D5" w:rsidRDefault="007022A1" w:rsidP="00E825F6">
      <w:pPr>
        <w:ind w:left="993" w:hanging="993"/>
        <w:jc w:val="both"/>
        <w:rPr>
          <w:lang w:val="es-ES"/>
        </w:rPr>
      </w:pPr>
      <w:r w:rsidRPr="00B542D5">
        <w:rPr>
          <w:lang w:val="es-ES"/>
        </w:rPr>
        <w:t>14. DD La Secretaría, en función de la disponibilidad de recursos deberá:</w:t>
      </w:r>
    </w:p>
    <w:p w14:paraId="0964F85E" w14:textId="10F2BFA2" w:rsidR="00FA030D" w:rsidRPr="00B542D5" w:rsidRDefault="00BD38F9" w:rsidP="00E825F6">
      <w:pPr>
        <w:pStyle w:val="ListParagraph"/>
        <w:numPr>
          <w:ilvl w:val="0"/>
          <w:numId w:val="22"/>
        </w:numPr>
        <w:jc w:val="both"/>
        <w:rPr>
          <w:lang w:val="es-ES"/>
        </w:rPr>
      </w:pPr>
      <w:r w:rsidRPr="00B542D5">
        <w:rPr>
          <w:lang w:val="es-ES"/>
        </w:rPr>
        <w:t>incluir en su estrategia de comunicación las directrices y las herramientas elaboradas por el ETF, así como la colaboración con las IFI y toda la gama de agentes de energía renovable;</w:t>
      </w:r>
    </w:p>
    <w:p w14:paraId="74E3261F" w14:textId="77777777" w:rsidR="004E01D3" w:rsidRPr="00B542D5" w:rsidRDefault="004E01D3" w:rsidP="00E825F6">
      <w:pPr>
        <w:pStyle w:val="ListParagraph"/>
        <w:ind w:left="1260"/>
        <w:jc w:val="both"/>
        <w:rPr>
          <w:lang w:val="es-ES"/>
        </w:rPr>
      </w:pPr>
    </w:p>
    <w:p w14:paraId="13996367" w14:textId="4F7CD94C" w:rsidR="00150604" w:rsidRPr="00B542D5" w:rsidRDefault="00150604" w:rsidP="00E825F6">
      <w:pPr>
        <w:pStyle w:val="ListParagraph"/>
        <w:numPr>
          <w:ilvl w:val="0"/>
          <w:numId w:val="22"/>
        </w:numPr>
        <w:jc w:val="both"/>
        <w:rPr>
          <w:lang w:val="es-ES"/>
        </w:rPr>
      </w:pPr>
      <w:r w:rsidRPr="00B542D5">
        <w:rPr>
          <w:lang w:val="es-ES"/>
        </w:rPr>
        <w:t>ayudar al ETF y asegurar que aumenta su número de miembros y que su ámbito se revisa con regularidad para combatir todas las posibles amenazas de las infraestructuras de energías renovables para las especies migratorias;</w:t>
      </w:r>
    </w:p>
    <w:p w14:paraId="6D4CB9DA" w14:textId="77777777" w:rsidR="00CA265E" w:rsidRPr="00B542D5" w:rsidRDefault="00CA265E" w:rsidP="00E825F6">
      <w:pPr>
        <w:pStyle w:val="ListParagraph"/>
        <w:ind w:left="1260"/>
        <w:jc w:val="both"/>
        <w:rPr>
          <w:lang w:val="es-ES"/>
        </w:rPr>
      </w:pPr>
    </w:p>
    <w:p w14:paraId="3AD83CA2" w14:textId="1DC7D62E" w:rsidR="00771D86" w:rsidRPr="00B542D5" w:rsidRDefault="00F26803" w:rsidP="00E825F6">
      <w:pPr>
        <w:pStyle w:val="ListParagraph"/>
        <w:numPr>
          <w:ilvl w:val="0"/>
          <w:numId w:val="22"/>
        </w:numPr>
        <w:jc w:val="both"/>
        <w:rPr>
          <w:lang w:val="es-ES"/>
        </w:rPr>
      </w:pPr>
      <w:r w:rsidRPr="00B542D5">
        <w:rPr>
          <w:lang w:val="es-ES"/>
        </w:rPr>
        <w:t>buscar la cooperación con la Convención Marco de las Naciones Unidas sobre el Cambio Climático (UNFCCC, por sus siglas en inglés) y con otras entidades relevantes, para ampliar el papel y la difusión del ETF y la implementación de salvaguardas, herramientas de planificación espacial y directrices para evitar el impacto negativo de las infraestructuras de energías renovables sobre las especies migratorias;</w:t>
      </w:r>
    </w:p>
    <w:p w14:paraId="0327D6C0" w14:textId="77777777" w:rsidR="00771D86" w:rsidRPr="00B542D5" w:rsidRDefault="00771D86" w:rsidP="00E825F6">
      <w:pPr>
        <w:pStyle w:val="ListParagraph"/>
        <w:ind w:left="1260"/>
        <w:jc w:val="both"/>
        <w:rPr>
          <w:lang w:val="es-ES"/>
        </w:rPr>
      </w:pPr>
    </w:p>
    <w:p w14:paraId="121C4132" w14:textId="6E934303" w:rsidR="00FA030D" w:rsidRPr="00B542D5" w:rsidRDefault="002A13CA" w:rsidP="00E825F6">
      <w:pPr>
        <w:pStyle w:val="ListParagraph"/>
        <w:numPr>
          <w:ilvl w:val="0"/>
          <w:numId w:val="22"/>
        </w:numPr>
        <w:jc w:val="both"/>
        <w:rPr>
          <w:lang w:val="es-ES"/>
        </w:rPr>
      </w:pPr>
      <w:r w:rsidRPr="00B542D5">
        <w:rPr>
          <w:lang w:val="es-ES"/>
        </w:rPr>
        <w:t>apoyar la organización de talleres del ETF para ampliar la concienciación y aumentar la capacidad de los representantes gubernamentales que trabajan en las áreas de energías renovables y especies migratorias.</w:t>
      </w:r>
    </w:p>
    <w:sectPr w:rsidR="00FA030D" w:rsidRPr="00B542D5" w:rsidSect="00BC54CA">
      <w:headerReference w:type="even" r:id="rId62"/>
      <w:headerReference w:type="first" r:id="rId6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8735" w14:textId="77777777" w:rsidR="00AD3A6E" w:rsidRDefault="00AD3A6E" w:rsidP="002E0DE9">
      <w:pPr>
        <w:spacing w:after="0" w:line="240" w:lineRule="auto"/>
      </w:pPr>
      <w:r>
        <w:separator/>
      </w:r>
    </w:p>
  </w:endnote>
  <w:endnote w:type="continuationSeparator" w:id="0">
    <w:p w14:paraId="0623CB2B" w14:textId="77777777" w:rsidR="00AD3A6E" w:rsidRDefault="00AD3A6E" w:rsidP="002E0DE9">
      <w:pPr>
        <w:spacing w:after="0" w:line="240" w:lineRule="auto"/>
      </w:pPr>
      <w:r>
        <w:continuationSeparator/>
      </w:r>
    </w:p>
  </w:endnote>
  <w:endnote w:type="continuationNotice" w:id="1">
    <w:p w14:paraId="7AD2F7E4" w14:textId="77777777" w:rsidR="00AD3A6E" w:rsidRDefault="00AD3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F074" w14:textId="77777777" w:rsidR="00881760" w:rsidRDefault="00881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D5CD" w14:textId="77777777" w:rsidR="00881760" w:rsidRDefault="008817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0063"/>
      <w:docPartObj>
        <w:docPartGallery w:val="Page Numbers (Bottom of Page)"/>
        <w:docPartUnique/>
      </w:docPartObj>
    </w:sdtPr>
    <w:sdtEndPr>
      <w:rPr>
        <w:noProof/>
        <w:sz w:val="18"/>
        <w:szCs w:val="18"/>
      </w:rPr>
    </w:sdtEndPr>
    <w:sdtContent>
      <w:p w14:paraId="7A427D4E" w14:textId="0A4AB199" w:rsidR="00881760" w:rsidRPr="00881760" w:rsidRDefault="00881760">
        <w:pPr>
          <w:pStyle w:val="Footer"/>
          <w:jc w:val="center"/>
          <w:rPr>
            <w:sz w:val="18"/>
            <w:szCs w:val="18"/>
          </w:rPr>
        </w:pPr>
        <w:r w:rsidRPr="00881760">
          <w:rPr>
            <w:sz w:val="18"/>
            <w:szCs w:val="18"/>
          </w:rPr>
          <w:fldChar w:fldCharType="begin"/>
        </w:r>
        <w:r w:rsidRPr="00881760">
          <w:rPr>
            <w:sz w:val="18"/>
            <w:szCs w:val="18"/>
          </w:rPr>
          <w:instrText xml:space="preserve"> PAGE   \* MERGEFORMAT </w:instrText>
        </w:r>
        <w:r w:rsidRPr="00881760">
          <w:rPr>
            <w:sz w:val="18"/>
            <w:szCs w:val="18"/>
          </w:rPr>
          <w:fldChar w:fldCharType="separate"/>
        </w:r>
        <w:r w:rsidRPr="00881760">
          <w:rPr>
            <w:noProof/>
            <w:sz w:val="18"/>
            <w:szCs w:val="18"/>
          </w:rPr>
          <w:t>2</w:t>
        </w:r>
        <w:r w:rsidRPr="00881760">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5913"/>
      <w:docPartObj>
        <w:docPartGallery w:val="Page Numbers (Bottom of Page)"/>
        <w:docPartUnique/>
      </w:docPartObj>
    </w:sdtPr>
    <w:sdtEndPr>
      <w:rPr>
        <w:noProof/>
        <w:sz w:val="18"/>
        <w:szCs w:val="18"/>
      </w:rPr>
    </w:sdtEndPr>
    <w:sdtContent>
      <w:p w14:paraId="388B0D32" w14:textId="1781C693" w:rsidR="00881760" w:rsidRPr="00881760" w:rsidRDefault="00881760">
        <w:pPr>
          <w:pStyle w:val="Footer"/>
          <w:jc w:val="center"/>
          <w:rPr>
            <w:sz w:val="18"/>
            <w:szCs w:val="18"/>
          </w:rPr>
        </w:pPr>
        <w:r w:rsidRPr="00881760">
          <w:rPr>
            <w:sz w:val="18"/>
            <w:szCs w:val="18"/>
          </w:rPr>
          <w:fldChar w:fldCharType="begin"/>
        </w:r>
        <w:r w:rsidRPr="00881760">
          <w:rPr>
            <w:sz w:val="18"/>
            <w:szCs w:val="18"/>
          </w:rPr>
          <w:instrText xml:space="preserve"> PAGE   \* MERGEFORMAT </w:instrText>
        </w:r>
        <w:r w:rsidRPr="00881760">
          <w:rPr>
            <w:sz w:val="18"/>
            <w:szCs w:val="18"/>
          </w:rPr>
          <w:fldChar w:fldCharType="separate"/>
        </w:r>
        <w:r w:rsidRPr="00881760">
          <w:rPr>
            <w:noProof/>
            <w:sz w:val="18"/>
            <w:szCs w:val="18"/>
          </w:rPr>
          <w:t>2</w:t>
        </w:r>
        <w:r w:rsidRPr="0088176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FE6D" w14:textId="77777777" w:rsidR="00AD3A6E" w:rsidRDefault="00AD3A6E" w:rsidP="002E0DE9">
      <w:pPr>
        <w:spacing w:after="0" w:line="240" w:lineRule="auto"/>
      </w:pPr>
      <w:r>
        <w:separator/>
      </w:r>
    </w:p>
  </w:footnote>
  <w:footnote w:type="continuationSeparator" w:id="0">
    <w:p w14:paraId="28BA9AE6" w14:textId="77777777" w:rsidR="00AD3A6E" w:rsidRDefault="00AD3A6E" w:rsidP="002E0DE9">
      <w:pPr>
        <w:spacing w:after="0" w:line="240" w:lineRule="auto"/>
      </w:pPr>
      <w:r>
        <w:continuationSeparator/>
      </w:r>
    </w:p>
  </w:footnote>
  <w:footnote w:type="continuationNotice" w:id="1">
    <w:p w14:paraId="25ACA9AF" w14:textId="77777777" w:rsidR="00AD3A6E" w:rsidRDefault="00AD3A6E">
      <w:pPr>
        <w:spacing w:after="0" w:line="240" w:lineRule="auto"/>
      </w:pPr>
    </w:p>
  </w:footnote>
  <w:footnote w:id="2">
    <w:p w14:paraId="5C934CEC" w14:textId="2CCCF12D" w:rsidR="00BC34DC" w:rsidRPr="00575758" w:rsidRDefault="00BC34DC">
      <w:pPr>
        <w:pStyle w:val="FootnoteText"/>
        <w:rPr>
          <w:lang w:val="es-CO"/>
        </w:rPr>
      </w:pPr>
      <w:r w:rsidRPr="00BC34DC">
        <w:rPr>
          <w:rStyle w:val="FootnoteReference"/>
          <w:sz w:val="18"/>
          <w:szCs w:val="18"/>
        </w:rPr>
        <w:footnoteRef/>
      </w:r>
      <w:r w:rsidRPr="00575758">
        <w:rPr>
          <w:sz w:val="18"/>
          <w:szCs w:val="18"/>
          <w:lang w:val="es-CO"/>
        </w:rPr>
        <w:t xml:space="preserve"> </w:t>
      </w:r>
      <w:hyperlink r:id="rId1" w:history="1">
        <w:r w:rsidRPr="00575758">
          <w:rPr>
            <w:rStyle w:val="Hyperlink"/>
            <w:sz w:val="18"/>
            <w:szCs w:val="18"/>
            <w:lang w:val="es-CO"/>
          </w:rPr>
          <w:t>Anexo a la Resolución 11.27 (Rev.COP13)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B3D" w14:textId="77777777" w:rsidR="00E9367B" w:rsidRPr="00661875" w:rsidRDefault="00E9367B" w:rsidP="00371DE1">
    <w:pPr>
      <w:pStyle w:val="Header"/>
      <w:pBdr>
        <w:bottom w:val="single" w:sz="4" w:space="1" w:color="auto"/>
      </w:pBdr>
      <w:rPr>
        <w:rFonts w:cs="Arial"/>
        <w:i/>
        <w:sz w:val="18"/>
        <w:szCs w:val="18"/>
        <w:lang w:val="de-DE"/>
      </w:rPr>
    </w:pPr>
    <w:r w:rsidRPr="00661875">
      <w:rPr>
        <w:rFonts w:cs="Arial"/>
        <w:i/>
        <w:sz w:val="18"/>
        <w:szCs w:val="18"/>
        <w:lang w:val="de-DE"/>
      </w:rPr>
      <w:t xml:space="preserve">UNEP/CMS/COP14/Doc.30.3.2/Anexo </w:t>
    </w:r>
    <w:r>
      <w:rPr>
        <w:rFonts w:cs="Arial"/>
        <w:i/>
        <w:sz w:val="18"/>
        <w:szCs w:val="18"/>
        <w:lang w:val="de-DE"/>
      </w:rPr>
      <w:t>2</w:t>
    </w:r>
  </w:p>
  <w:p w14:paraId="767E81B9" w14:textId="77777777" w:rsidR="00E9367B" w:rsidRPr="00371DE1" w:rsidRDefault="00E9367B"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0A68" w14:textId="5547BA58" w:rsidR="00E9367B" w:rsidRPr="00661875" w:rsidRDefault="00E9367B" w:rsidP="00E9367B">
    <w:pPr>
      <w:pStyle w:val="Header"/>
      <w:pBdr>
        <w:bottom w:val="single" w:sz="4" w:space="1" w:color="auto"/>
      </w:pBdr>
      <w:jc w:val="right"/>
      <w:rPr>
        <w:rFonts w:cs="Arial"/>
        <w:i/>
        <w:sz w:val="18"/>
        <w:szCs w:val="18"/>
        <w:lang w:val="de-DE"/>
      </w:rPr>
    </w:pPr>
    <w:r w:rsidRPr="00661875">
      <w:rPr>
        <w:rFonts w:cs="Arial"/>
        <w:i/>
        <w:sz w:val="18"/>
        <w:szCs w:val="18"/>
        <w:lang w:val="de-DE"/>
      </w:rPr>
      <w:t xml:space="preserve">UNEP/CMS/COP14/Doc.30.3.2/Anexo </w:t>
    </w:r>
    <w:r>
      <w:rPr>
        <w:rFonts w:cs="Arial"/>
        <w:i/>
        <w:sz w:val="18"/>
        <w:szCs w:val="18"/>
        <w:lang w:val="de-DE"/>
      </w:rPr>
      <w:t>2</w:t>
    </w:r>
  </w:p>
  <w:p w14:paraId="5E87391B" w14:textId="77777777" w:rsidR="00E9367B" w:rsidRPr="002E0DE9" w:rsidRDefault="00E9367B"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FD3F" w14:textId="77777777" w:rsidR="00A02B78" w:rsidRPr="00002A97" w:rsidRDefault="00A02B78" w:rsidP="00A02B78">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0B01160C" wp14:editId="43B7840E">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7251E1AD" wp14:editId="4A4BACD2">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5431E19C" wp14:editId="18A8F80A">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00F99EB0" w14:textId="77777777" w:rsidR="00A02B78" w:rsidRDefault="00A02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4FC1422" w:rsidR="002D6582" w:rsidRPr="00661875" w:rsidRDefault="002D6582" w:rsidP="00371DE1">
    <w:pPr>
      <w:pStyle w:val="Header"/>
      <w:pBdr>
        <w:bottom w:val="single" w:sz="4" w:space="1" w:color="auto"/>
      </w:pBdr>
      <w:rPr>
        <w:rFonts w:cs="Arial"/>
        <w:i/>
        <w:sz w:val="18"/>
        <w:szCs w:val="18"/>
        <w:lang w:val="de-DE"/>
      </w:rPr>
    </w:pPr>
    <w:r w:rsidRPr="00661875">
      <w:rPr>
        <w:rFonts w:cs="Arial"/>
        <w:i/>
        <w:sz w:val="18"/>
        <w:szCs w:val="18"/>
        <w:lang w:val="de-DE"/>
      </w:rPr>
      <w:t xml:space="preserve">UNEP/CMS/COP14/Doc.30.3.2 </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C401B72"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UNEP/CMS/COP14/Doc.30.3.2</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408E3AB" w:rsidR="00A836DB" w:rsidRPr="00661875" w:rsidRDefault="00A836DB" w:rsidP="00A836DB">
    <w:pPr>
      <w:pStyle w:val="Header"/>
      <w:pBdr>
        <w:bottom w:val="single" w:sz="4" w:space="1" w:color="auto"/>
      </w:pBdr>
      <w:rPr>
        <w:rFonts w:cs="Arial"/>
        <w:i/>
        <w:sz w:val="18"/>
        <w:szCs w:val="18"/>
        <w:lang w:val="de-DE"/>
      </w:rPr>
    </w:pPr>
    <w:r w:rsidRPr="00661875">
      <w:rPr>
        <w:rFonts w:cs="Arial"/>
        <w:i/>
        <w:sz w:val="18"/>
        <w:szCs w:val="18"/>
        <w:lang w:val="de-DE"/>
      </w:rPr>
      <w:t xml:space="preserve">UNEP/CMS/COP14/Doc.30.3.2 </w:t>
    </w:r>
  </w:p>
  <w:p w14:paraId="7F96EB0D" w14:textId="77777777" w:rsidR="002D6582" w:rsidRPr="002D6582"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47D2029C"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 xml:space="preserve">UNEP/CMS/COP14/Doc.30.3.2/Anexo </w:t>
    </w:r>
    <w:r w:rsidR="00E9367B">
      <w:rPr>
        <w:rFonts w:cs="Arial"/>
        <w:i/>
        <w:sz w:val="18"/>
        <w:szCs w:val="18"/>
        <w:lang w:val="de-DE"/>
      </w:rPr>
      <w:t>1</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09E" w14:textId="7D765F51" w:rsidR="00CD0D0E" w:rsidRPr="00661875" w:rsidRDefault="00CD0D0E"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UNEP/CMS/COP14/Doc.30.3.2/Anexo 2</w:t>
    </w:r>
  </w:p>
  <w:p w14:paraId="109E363D" w14:textId="77777777" w:rsidR="00295BBC" w:rsidRDefault="00295B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1339FE3" w:rsidR="00371DE1" w:rsidRPr="00661875" w:rsidRDefault="00371DE1" w:rsidP="00E9367B">
    <w:pPr>
      <w:pStyle w:val="Header"/>
      <w:pBdr>
        <w:bottom w:val="single" w:sz="4" w:space="1" w:color="auto"/>
      </w:pBdr>
      <w:jc w:val="right"/>
      <w:rPr>
        <w:rFonts w:cs="Arial"/>
        <w:i/>
        <w:sz w:val="18"/>
        <w:szCs w:val="18"/>
        <w:lang w:val="de-DE"/>
      </w:rPr>
    </w:pPr>
    <w:r w:rsidRPr="00661875">
      <w:rPr>
        <w:rFonts w:cs="Arial"/>
        <w:i/>
        <w:sz w:val="18"/>
        <w:szCs w:val="18"/>
        <w:lang w:val="de-DE"/>
      </w:rPr>
      <w:t>UNEP/CMS/COP14/Doc.30.3.2/Anexo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6A"/>
    <w:multiLevelType w:val="hybridMultilevel"/>
    <w:tmpl w:val="49EC4B06"/>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1" w15:restartNumberingAfterBreak="0">
    <w:nsid w:val="02A940F8"/>
    <w:multiLevelType w:val="hybridMultilevel"/>
    <w:tmpl w:val="69069992"/>
    <w:lvl w:ilvl="0" w:tplc="BA6C5D0C">
      <w:start w:val="1"/>
      <w:numFmt w:val="decimal"/>
      <w:lvlText w:val="%1."/>
      <w:lvlJc w:val="left"/>
      <w:pPr>
        <w:ind w:left="-360" w:hanging="360"/>
      </w:pPr>
      <w:rPr>
        <w:rFonts w:hint="default"/>
      </w:rPr>
    </w:lvl>
    <w:lvl w:ilvl="1" w:tplc="10000019">
      <w:start w:val="1"/>
      <w:numFmt w:val="lowerLetter"/>
      <w:lvlText w:val="%2."/>
      <w:lvlJc w:val="left"/>
      <w:pPr>
        <w:ind w:left="720" w:hanging="360"/>
      </w:pPr>
    </w:lvl>
    <w:lvl w:ilvl="2" w:tplc="1000001B">
      <w:start w:val="1"/>
      <w:numFmt w:val="lowerRoman"/>
      <w:lvlText w:val="%3."/>
      <w:lvlJc w:val="right"/>
      <w:pPr>
        <w:ind w:left="1440" w:hanging="180"/>
      </w:pPr>
    </w:lvl>
    <w:lvl w:ilvl="3" w:tplc="1000000F" w:tentative="1">
      <w:start w:val="1"/>
      <w:numFmt w:val="decimal"/>
      <w:lvlText w:val="%4."/>
      <w:lvlJc w:val="left"/>
      <w:pPr>
        <w:ind w:left="2160" w:hanging="360"/>
      </w:pPr>
    </w:lvl>
    <w:lvl w:ilvl="4" w:tplc="10000019" w:tentative="1">
      <w:start w:val="1"/>
      <w:numFmt w:val="lowerLetter"/>
      <w:lvlText w:val="%5."/>
      <w:lvlJc w:val="left"/>
      <w:pPr>
        <w:ind w:left="2880" w:hanging="360"/>
      </w:pPr>
    </w:lvl>
    <w:lvl w:ilvl="5" w:tplc="1000001B" w:tentative="1">
      <w:start w:val="1"/>
      <w:numFmt w:val="lowerRoman"/>
      <w:lvlText w:val="%6."/>
      <w:lvlJc w:val="right"/>
      <w:pPr>
        <w:ind w:left="3600" w:hanging="180"/>
      </w:pPr>
    </w:lvl>
    <w:lvl w:ilvl="6" w:tplc="1000000F" w:tentative="1">
      <w:start w:val="1"/>
      <w:numFmt w:val="decimal"/>
      <w:lvlText w:val="%7."/>
      <w:lvlJc w:val="left"/>
      <w:pPr>
        <w:ind w:left="4320" w:hanging="360"/>
      </w:pPr>
    </w:lvl>
    <w:lvl w:ilvl="7" w:tplc="10000019" w:tentative="1">
      <w:start w:val="1"/>
      <w:numFmt w:val="lowerLetter"/>
      <w:lvlText w:val="%8."/>
      <w:lvlJc w:val="left"/>
      <w:pPr>
        <w:ind w:left="5040" w:hanging="360"/>
      </w:pPr>
    </w:lvl>
    <w:lvl w:ilvl="8" w:tplc="1000001B" w:tentative="1">
      <w:start w:val="1"/>
      <w:numFmt w:val="lowerRoman"/>
      <w:lvlText w:val="%9."/>
      <w:lvlJc w:val="right"/>
      <w:pPr>
        <w:ind w:left="5760" w:hanging="180"/>
      </w:pPr>
    </w:lvl>
  </w:abstractNum>
  <w:abstractNum w:abstractNumId="2" w15:restartNumberingAfterBreak="0">
    <w:nsid w:val="0785238C"/>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80A0CC1"/>
    <w:multiLevelType w:val="hybridMultilevel"/>
    <w:tmpl w:val="F4F036D0"/>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12BD00BD"/>
    <w:multiLevelType w:val="hybridMultilevel"/>
    <w:tmpl w:val="EECCA9B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6601BBD"/>
    <w:multiLevelType w:val="hybridMultilevel"/>
    <w:tmpl w:val="D3F862E0"/>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7" w15:restartNumberingAfterBreak="0">
    <w:nsid w:val="1C7F7242"/>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D2138D3"/>
    <w:multiLevelType w:val="multilevel"/>
    <w:tmpl w:val="7A9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86ACE"/>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5689C"/>
    <w:multiLevelType w:val="hybridMultilevel"/>
    <w:tmpl w:val="BB1E0FF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256662B"/>
    <w:multiLevelType w:val="hybridMultilevel"/>
    <w:tmpl w:val="69A69A0E"/>
    <w:lvl w:ilvl="0" w:tplc="182A680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23623124"/>
    <w:multiLevelType w:val="hybridMultilevel"/>
    <w:tmpl w:val="90CC7756"/>
    <w:lvl w:ilvl="0" w:tplc="D10689EC">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1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0266A20"/>
    <w:multiLevelType w:val="hybridMultilevel"/>
    <w:tmpl w:val="25BE6F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D4B0760"/>
    <w:multiLevelType w:val="hybridMultilevel"/>
    <w:tmpl w:val="BB1E0FF0"/>
    <w:lvl w:ilvl="0" w:tplc="4D6CA55E">
      <w:start w:val="1"/>
      <w:numFmt w:val="decimal"/>
      <w:lvlText w:val="%1."/>
      <w:lvlJc w:val="left"/>
      <w:pPr>
        <w:ind w:left="900" w:hanging="360"/>
      </w:pPr>
      <w:rPr>
        <w:rFonts w:hint="default"/>
      </w:rPr>
    </w:lvl>
    <w:lvl w:ilvl="1" w:tplc="040A0019" w:tentative="1">
      <w:start w:val="1"/>
      <w:numFmt w:val="lowerLetter"/>
      <w:lvlText w:val="%2."/>
      <w:lvlJc w:val="left"/>
      <w:pPr>
        <w:ind w:left="1620" w:hanging="360"/>
      </w:pPr>
    </w:lvl>
    <w:lvl w:ilvl="2" w:tplc="040A001B" w:tentative="1">
      <w:start w:val="1"/>
      <w:numFmt w:val="lowerRoman"/>
      <w:lvlText w:val="%3."/>
      <w:lvlJc w:val="right"/>
      <w:pPr>
        <w:ind w:left="2340" w:hanging="180"/>
      </w:pPr>
    </w:lvl>
    <w:lvl w:ilvl="3" w:tplc="040A000F" w:tentative="1">
      <w:start w:val="1"/>
      <w:numFmt w:val="decimal"/>
      <w:lvlText w:val="%4."/>
      <w:lvlJc w:val="left"/>
      <w:pPr>
        <w:ind w:left="3060" w:hanging="360"/>
      </w:pPr>
    </w:lvl>
    <w:lvl w:ilvl="4" w:tplc="040A0019" w:tentative="1">
      <w:start w:val="1"/>
      <w:numFmt w:val="lowerLetter"/>
      <w:lvlText w:val="%5."/>
      <w:lvlJc w:val="left"/>
      <w:pPr>
        <w:ind w:left="3780" w:hanging="360"/>
      </w:pPr>
    </w:lvl>
    <w:lvl w:ilvl="5" w:tplc="040A001B" w:tentative="1">
      <w:start w:val="1"/>
      <w:numFmt w:val="lowerRoman"/>
      <w:lvlText w:val="%6."/>
      <w:lvlJc w:val="right"/>
      <w:pPr>
        <w:ind w:left="4500" w:hanging="180"/>
      </w:pPr>
    </w:lvl>
    <w:lvl w:ilvl="6" w:tplc="040A000F" w:tentative="1">
      <w:start w:val="1"/>
      <w:numFmt w:val="decimal"/>
      <w:lvlText w:val="%7."/>
      <w:lvlJc w:val="left"/>
      <w:pPr>
        <w:ind w:left="5220" w:hanging="360"/>
      </w:pPr>
    </w:lvl>
    <w:lvl w:ilvl="7" w:tplc="040A0019" w:tentative="1">
      <w:start w:val="1"/>
      <w:numFmt w:val="lowerLetter"/>
      <w:lvlText w:val="%8."/>
      <w:lvlJc w:val="left"/>
      <w:pPr>
        <w:ind w:left="5940" w:hanging="360"/>
      </w:pPr>
    </w:lvl>
    <w:lvl w:ilvl="8" w:tplc="040A001B" w:tentative="1">
      <w:start w:val="1"/>
      <w:numFmt w:val="lowerRoman"/>
      <w:lvlText w:val="%9."/>
      <w:lvlJc w:val="right"/>
      <w:pPr>
        <w:ind w:left="6660" w:hanging="180"/>
      </w:pPr>
    </w:lvl>
  </w:abstractNum>
  <w:abstractNum w:abstractNumId="16" w15:restartNumberingAfterBreak="0">
    <w:nsid w:val="4D7718C3"/>
    <w:multiLevelType w:val="hybridMultilevel"/>
    <w:tmpl w:val="FE34C94A"/>
    <w:lvl w:ilvl="0" w:tplc="B23E9406">
      <w:start w:val="2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8" w15:restartNumberingAfterBreak="0">
    <w:nsid w:val="5B3F4A23"/>
    <w:multiLevelType w:val="multilevel"/>
    <w:tmpl w:val="06321E0E"/>
    <w:lvl w:ilvl="0">
      <w:start w:val="3"/>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190484"/>
    <w:multiLevelType w:val="hybridMultilevel"/>
    <w:tmpl w:val="ED30037A"/>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0B3755F"/>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23F83"/>
    <w:multiLevelType w:val="hybridMultilevel"/>
    <w:tmpl w:val="4CF25616"/>
    <w:lvl w:ilvl="0" w:tplc="0809000F">
      <w:start w:val="1"/>
      <w:numFmt w:val="decimal"/>
      <w:lvlText w:val="%1."/>
      <w:lvlJc w:val="left"/>
      <w:pPr>
        <w:ind w:left="360" w:hanging="360"/>
      </w:pPr>
    </w:lvl>
    <w:lvl w:ilvl="1" w:tplc="C930E9AE">
      <w:start w:val="1"/>
      <w:numFmt w:val="lowerLetter"/>
      <w:lvlText w:val="%2."/>
      <w:lvlJc w:val="left"/>
      <w:pPr>
        <w:ind w:left="1080" w:hanging="360"/>
      </w:pPr>
      <w:rPr>
        <w:i w:val="0"/>
        <w:i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C8D2F71"/>
    <w:multiLevelType w:val="hybridMultilevel"/>
    <w:tmpl w:val="21AAF934"/>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B6985"/>
    <w:multiLevelType w:val="hybridMultilevel"/>
    <w:tmpl w:val="4D1C891E"/>
    <w:lvl w:ilvl="0" w:tplc="AE66F15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627124645">
    <w:abstractNumId w:val="23"/>
  </w:num>
  <w:num w:numId="2" w16cid:durableId="165244301">
    <w:abstractNumId w:val="13"/>
  </w:num>
  <w:num w:numId="3" w16cid:durableId="1193691302">
    <w:abstractNumId w:val="17"/>
  </w:num>
  <w:num w:numId="4" w16cid:durableId="68625227">
    <w:abstractNumId w:val="4"/>
  </w:num>
  <w:num w:numId="5" w16cid:durableId="1699889545">
    <w:abstractNumId w:val="21"/>
  </w:num>
  <w:num w:numId="6" w16cid:durableId="1674528352">
    <w:abstractNumId w:val="1"/>
  </w:num>
  <w:num w:numId="7" w16cid:durableId="2073498702">
    <w:abstractNumId w:val="9"/>
  </w:num>
  <w:num w:numId="8" w16cid:durableId="322709840">
    <w:abstractNumId w:val="15"/>
  </w:num>
  <w:num w:numId="9" w16cid:durableId="73552705">
    <w:abstractNumId w:val="10"/>
  </w:num>
  <w:num w:numId="10" w16cid:durableId="2060006904">
    <w:abstractNumId w:val="18"/>
  </w:num>
  <w:num w:numId="11" w16cid:durableId="900022686">
    <w:abstractNumId w:val="22"/>
  </w:num>
  <w:num w:numId="12" w16cid:durableId="655032400">
    <w:abstractNumId w:val="8"/>
  </w:num>
  <w:num w:numId="13" w16cid:durableId="186917536">
    <w:abstractNumId w:val="20"/>
  </w:num>
  <w:num w:numId="14" w16cid:durableId="556934121">
    <w:abstractNumId w:val="12"/>
  </w:num>
  <w:num w:numId="15" w16cid:durableId="307784387">
    <w:abstractNumId w:val="5"/>
  </w:num>
  <w:num w:numId="16" w16cid:durableId="1479876462">
    <w:abstractNumId w:val="0"/>
  </w:num>
  <w:num w:numId="17" w16cid:durableId="163596679">
    <w:abstractNumId w:val="3"/>
  </w:num>
  <w:num w:numId="18" w16cid:durableId="41373317">
    <w:abstractNumId w:val="6"/>
  </w:num>
  <w:num w:numId="19" w16cid:durableId="1617758150">
    <w:abstractNumId w:val="19"/>
  </w:num>
  <w:num w:numId="20" w16cid:durableId="1552232203">
    <w:abstractNumId w:val="14"/>
  </w:num>
  <w:num w:numId="21" w16cid:durableId="664359621">
    <w:abstractNumId w:val="7"/>
  </w:num>
  <w:num w:numId="22" w16cid:durableId="2039967644">
    <w:abstractNumId w:val="2"/>
  </w:num>
  <w:num w:numId="23" w16cid:durableId="1199010972">
    <w:abstractNumId w:val="24"/>
  </w:num>
  <w:num w:numId="24" w16cid:durableId="88089512">
    <w:abstractNumId w:val="11"/>
  </w:num>
  <w:num w:numId="25" w16cid:durableId="15987081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wMjY1MjAwNTEyMzIyUdpeDU4uLM/DyQAsNaANRyb8ssAAAA"/>
  </w:docVars>
  <w:rsids>
    <w:rsidRoot w:val="002E0DE9"/>
    <w:rsid w:val="00001A2E"/>
    <w:rsid w:val="0000400B"/>
    <w:rsid w:val="00006404"/>
    <w:rsid w:val="00006635"/>
    <w:rsid w:val="00007E50"/>
    <w:rsid w:val="0001212C"/>
    <w:rsid w:val="000143AB"/>
    <w:rsid w:val="000150B9"/>
    <w:rsid w:val="00016B47"/>
    <w:rsid w:val="00017B50"/>
    <w:rsid w:val="000208CA"/>
    <w:rsid w:val="00022FB0"/>
    <w:rsid w:val="00023912"/>
    <w:rsid w:val="0002553C"/>
    <w:rsid w:val="00025AE7"/>
    <w:rsid w:val="00026013"/>
    <w:rsid w:val="00026D94"/>
    <w:rsid w:val="00027E06"/>
    <w:rsid w:val="00030F79"/>
    <w:rsid w:val="000331FD"/>
    <w:rsid w:val="0003441A"/>
    <w:rsid w:val="0004146F"/>
    <w:rsid w:val="00045000"/>
    <w:rsid w:val="0004511A"/>
    <w:rsid w:val="00050041"/>
    <w:rsid w:val="0005027F"/>
    <w:rsid w:val="00051012"/>
    <w:rsid w:val="00051D04"/>
    <w:rsid w:val="00052186"/>
    <w:rsid w:val="00063C28"/>
    <w:rsid w:val="0006754C"/>
    <w:rsid w:val="00067E03"/>
    <w:rsid w:val="00071B7A"/>
    <w:rsid w:val="0007301F"/>
    <w:rsid w:val="00073896"/>
    <w:rsid w:val="00073DED"/>
    <w:rsid w:val="00074672"/>
    <w:rsid w:val="000750D5"/>
    <w:rsid w:val="0008089C"/>
    <w:rsid w:val="00084C50"/>
    <w:rsid w:val="00085724"/>
    <w:rsid w:val="00087313"/>
    <w:rsid w:val="00095A69"/>
    <w:rsid w:val="00095E04"/>
    <w:rsid w:val="000968F4"/>
    <w:rsid w:val="000A0510"/>
    <w:rsid w:val="000A111F"/>
    <w:rsid w:val="000A3EB0"/>
    <w:rsid w:val="000A5B2D"/>
    <w:rsid w:val="000B0624"/>
    <w:rsid w:val="000B0C31"/>
    <w:rsid w:val="000B233F"/>
    <w:rsid w:val="000B7207"/>
    <w:rsid w:val="000C0D9A"/>
    <w:rsid w:val="000C2763"/>
    <w:rsid w:val="000C2DD2"/>
    <w:rsid w:val="000C349E"/>
    <w:rsid w:val="000C3DEF"/>
    <w:rsid w:val="000C7326"/>
    <w:rsid w:val="000D2230"/>
    <w:rsid w:val="000D2F4A"/>
    <w:rsid w:val="000D318F"/>
    <w:rsid w:val="000D4CCA"/>
    <w:rsid w:val="000D4E3B"/>
    <w:rsid w:val="000D5AAA"/>
    <w:rsid w:val="000E3146"/>
    <w:rsid w:val="000E7665"/>
    <w:rsid w:val="000E7820"/>
    <w:rsid w:val="000E7B7C"/>
    <w:rsid w:val="000F4510"/>
    <w:rsid w:val="001028BA"/>
    <w:rsid w:val="00103C18"/>
    <w:rsid w:val="001052BD"/>
    <w:rsid w:val="00105B6B"/>
    <w:rsid w:val="00106930"/>
    <w:rsid w:val="00106997"/>
    <w:rsid w:val="00106A1D"/>
    <w:rsid w:val="00107106"/>
    <w:rsid w:val="0010716E"/>
    <w:rsid w:val="001104F5"/>
    <w:rsid w:val="00110F8E"/>
    <w:rsid w:val="00111081"/>
    <w:rsid w:val="00114E2D"/>
    <w:rsid w:val="00116748"/>
    <w:rsid w:val="0011770D"/>
    <w:rsid w:val="00117A63"/>
    <w:rsid w:val="00121049"/>
    <w:rsid w:val="0012334F"/>
    <w:rsid w:val="00124219"/>
    <w:rsid w:val="001249FA"/>
    <w:rsid w:val="00124B2D"/>
    <w:rsid w:val="0012581E"/>
    <w:rsid w:val="00125E09"/>
    <w:rsid w:val="0012613D"/>
    <w:rsid w:val="001324C9"/>
    <w:rsid w:val="00133399"/>
    <w:rsid w:val="0013499C"/>
    <w:rsid w:val="00134B07"/>
    <w:rsid w:val="00135291"/>
    <w:rsid w:val="001361D1"/>
    <w:rsid w:val="00136BFB"/>
    <w:rsid w:val="001400D1"/>
    <w:rsid w:val="00141EC1"/>
    <w:rsid w:val="0014461C"/>
    <w:rsid w:val="001458A0"/>
    <w:rsid w:val="00146116"/>
    <w:rsid w:val="00150604"/>
    <w:rsid w:val="00151F0F"/>
    <w:rsid w:val="001564C8"/>
    <w:rsid w:val="001572A3"/>
    <w:rsid w:val="001601C5"/>
    <w:rsid w:val="0016234F"/>
    <w:rsid w:val="00163439"/>
    <w:rsid w:val="00163C15"/>
    <w:rsid w:val="0016513D"/>
    <w:rsid w:val="0016570D"/>
    <w:rsid w:val="0017266D"/>
    <w:rsid w:val="00173E70"/>
    <w:rsid w:val="00180727"/>
    <w:rsid w:val="001810D2"/>
    <w:rsid w:val="00182778"/>
    <w:rsid w:val="00183909"/>
    <w:rsid w:val="0018519A"/>
    <w:rsid w:val="00186CDD"/>
    <w:rsid w:val="00187012"/>
    <w:rsid w:val="00193B93"/>
    <w:rsid w:val="0019589B"/>
    <w:rsid w:val="00196B18"/>
    <w:rsid w:val="001A0B57"/>
    <w:rsid w:val="001A2ED9"/>
    <w:rsid w:val="001A5436"/>
    <w:rsid w:val="001A55FB"/>
    <w:rsid w:val="001A5B6A"/>
    <w:rsid w:val="001A5EE7"/>
    <w:rsid w:val="001A6A3F"/>
    <w:rsid w:val="001B0A0C"/>
    <w:rsid w:val="001B34B0"/>
    <w:rsid w:val="001B36E5"/>
    <w:rsid w:val="001B5A57"/>
    <w:rsid w:val="001B5E43"/>
    <w:rsid w:val="001C1173"/>
    <w:rsid w:val="001C2C4F"/>
    <w:rsid w:val="001C2E0A"/>
    <w:rsid w:val="001C3850"/>
    <w:rsid w:val="001D5F33"/>
    <w:rsid w:val="001D67C3"/>
    <w:rsid w:val="001E15A2"/>
    <w:rsid w:val="001E2D94"/>
    <w:rsid w:val="001E581B"/>
    <w:rsid w:val="001E6414"/>
    <w:rsid w:val="001E6835"/>
    <w:rsid w:val="001E6B05"/>
    <w:rsid w:val="001E7B61"/>
    <w:rsid w:val="001F2744"/>
    <w:rsid w:val="001F5A6E"/>
    <w:rsid w:val="00201DFA"/>
    <w:rsid w:val="002023B1"/>
    <w:rsid w:val="00202879"/>
    <w:rsid w:val="00204F71"/>
    <w:rsid w:val="002056D4"/>
    <w:rsid w:val="00213602"/>
    <w:rsid w:val="00213D5B"/>
    <w:rsid w:val="00213F1C"/>
    <w:rsid w:val="00216A8D"/>
    <w:rsid w:val="00216B70"/>
    <w:rsid w:val="00216C5A"/>
    <w:rsid w:val="002178FB"/>
    <w:rsid w:val="002206CE"/>
    <w:rsid w:val="0022132C"/>
    <w:rsid w:val="00224DF1"/>
    <w:rsid w:val="002253F2"/>
    <w:rsid w:val="00226F47"/>
    <w:rsid w:val="002313F1"/>
    <w:rsid w:val="00233112"/>
    <w:rsid w:val="002339ED"/>
    <w:rsid w:val="00236669"/>
    <w:rsid w:val="00236ECA"/>
    <w:rsid w:val="002370F2"/>
    <w:rsid w:val="00237418"/>
    <w:rsid w:val="00237BDE"/>
    <w:rsid w:val="00240F90"/>
    <w:rsid w:val="0024172E"/>
    <w:rsid w:val="00242787"/>
    <w:rsid w:val="00243179"/>
    <w:rsid w:val="00243EFC"/>
    <w:rsid w:val="00244B5A"/>
    <w:rsid w:val="00246A7C"/>
    <w:rsid w:val="0024704F"/>
    <w:rsid w:val="00250BDA"/>
    <w:rsid w:val="00255479"/>
    <w:rsid w:val="00255AE1"/>
    <w:rsid w:val="0026312B"/>
    <w:rsid w:val="0027096E"/>
    <w:rsid w:val="00270A38"/>
    <w:rsid w:val="002750C0"/>
    <w:rsid w:val="002750DD"/>
    <w:rsid w:val="0027617B"/>
    <w:rsid w:val="0028169F"/>
    <w:rsid w:val="00281B9F"/>
    <w:rsid w:val="002832BD"/>
    <w:rsid w:val="0028761A"/>
    <w:rsid w:val="0029259D"/>
    <w:rsid w:val="00295BBC"/>
    <w:rsid w:val="00296384"/>
    <w:rsid w:val="00296533"/>
    <w:rsid w:val="002A012C"/>
    <w:rsid w:val="002A13CA"/>
    <w:rsid w:val="002A3AF7"/>
    <w:rsid w:val="002A681B"/>
    <w:rsid w:val="002A6E74"/>
    <w:rsid w:val="002B0163"/>
    <w:rsid w:val="002B09FA"/>
    <w:rsid w:val="002B1F45"/>
    <w:rsid w:val="002B422D"/>
    <w:rsid w:val="002B69F0"/>
    <w:rsid w:val="002B7F10"/>
    <w:rsid w:val="002C29D2"/>
    <w:rsid w:val="002C2EAC"/>
    <w:rsid w:val="002C65D3"/>
    <w:rsid w:val="002C6BD6"/>
    <w:rsid w:val="002C768D"/>
    <w:rsid w:val="002D1502"/>
    <w:rsid w:val="002D30A5"/>
    <w:rsid w:val="002D3CA6"/>
    <w:rsid w:val="002D6506"/>
    <w:rsid w:val="002D6582"/>
    <w:rsid w:val="002E0DE9"/>
    <w:rsid w:val="002E1AAD"/>
    <w:rsid w:val="002E24DE"/>
    <w:rsid w:val="002E283F"/>
    <w:rsid w:val="002E2EBB"/>
    <w:rsid w:val="002E429B"/>
    <w:rsid w:val="002E4D78"/>
    <w:rsid w:val="002F0686"/>
    <w:rsid w:val="002F0B4F"/>
    <w:rsid w:val="002F3195"/>
    <w:rsid w:val="002F3BBB"/>
    <w:rsid w:val="002F3E92"/>
    <w:rsid w:val="002F400F"/>
    <w:rsid w:val="002F69D7"/>
    <w:rsid w:val="002F7207"/>
    <w:rsid w:val="00300486"/>
    <w:rsid w:val="00305B6D"/>
    <w:rsid w:val="00307266"/>
    <w:rsid w:val="00310B43"/>
    <w:rsid w:val="00311F61"/>
    <w:rsid w:val="00316555"/>
    <w:rsid w:val="0032075E"/>
    <w:rsid w:val="00322248"/>
    <w:rsid w:val="0032296A"/>
    <w:rsid w:val="00324C28"/>
    <w:rsid w:val="00327CFF"/>
    <w:rsid w:val="00327E3F"/>
    <w:rsid w:val="003314B7"/>
    <w:rsid w:val="00332573"/>
    <w:rsid w:val="00333231"/>
    <w:rsid w:val="00334353"/>
    <w:rsid w:val="00336AD4"/>
    <w:rsid w:val="003374A7"/>
    <w:rsid w:val="00337D54"/>
    <w:rsid w:val="0034194F"/>
    <w:rsid w:val="00343F27"/>
    <w:rsid w:val="003477A1"/>
    <w:rsid w:val="00352923"/>
    <w:rsid w:val="003535E1"/>
    <w:rsid w:val="00355860"/>
    <w:rsid w:val="00355DB5"/>
    <w:rsid w:val="00360838"/>
    <w:rsid w:val="00364948"/>
    <w:rsid w:val="003700D4"/>
    <w:rsid w:val="00370C01"/>
    <w:rsid w:val="00371DE1"/>
    <w:rsid w:val="00372C06"/>
    <w:rsid w:val="00372FBB"/>
    <w:rsid w:val="003736E8"/>
    <w:rsid w:val="00374424"/>
    <w:rsid w:val="00375825"/>
    <w:rsid w:val="00381089"/>
    <w:rsid w:val="00381BFD"/>
    <w:rsid w:val="00383651"/>
    <w:rsid w:val="00386265"/>
    <w:rsid w:val="00386E6C"/>
    <w:rsid w:val="00387FA5"/>
    <w:rsid w:val="00392513"/>
    <w:rsid w:val="0039264B"/>
    <w:rsid w:val="00393752"/>
    <w:rsid w:val="0039437B"/>
    <w:rsid w:val="00395CF8"/>
    <w:rsid w:val="0039613B"/>
    <w:rsid w:val="003962F0"/>
    <w:rsid w:val="00397287"/>
    <w:rsid w:val="003A2109"/>
    <w:rsid w:val="003A21D0"/>
    <w:rsid w:val="003A608A"/>
    <w:rsid w:val="003A6255"/>
    <w:rsid w:val="003A6318"/>
    <w:rsid w:val="003A754F"/>
    <w:rsid w:val="003A7B25"/>
    <w:rsid w:val="003A7BD3"/>
    <w:rsid w:val="003B1B2F"/>
    <w:rsid w:val="003B244B"/>
    <w:rsid w:val="003B346E"/>
    <w:rsid w:val="003B553C"/>
    <w:rsid w:val="003B7A29"/>
    <w:rsid w:val="003C1BFC"/>
    <w:rsid w:val="003C24C1"/>
    <w:rsid w:val="003C5B7A"/>
    <w:rsid w:val="003C690A"/>
    <w:rsid w:val="003D0D07"/>
    <w:rsid w:val="003D210F"/>
    <w:rsid w:val="003D3A7B"/>
    <w:rsid w:val="003D3DEC"/>
    <w:rsid w:val="003D691F"/>
    <w:rsid w:val="003E04B9"/>
    <w:rsid w:val="003E0F1E"/>
    <w:rsid w:val="003E25FA"/>
    <w:rsid w:val="003F30BC"/>
    <w:rsid w:val="003F437F"/>
    <w:rsid w:val="003F53FF"/>
    <w:rsid w:val="003F6EFF"/>
    <w:rsid w:val="003F6FB7"/>
    <w:rsid w:val="0040039B"/>
    <w:rsid w:val="0040385B"/>
    <w:rsid w:val="00403E2A"/>
    <w:rsid w:val="004062E3"/>
    <w:rsid w:val="004072B1"/>
    <w:rsid w:val="004113BC"/>
    <w:rsid w:val="00412D2A"/>
    <w:rsid w:val="00414916"/>
    <w:rsid w:val="00414EF8"/>
    <w:rsid w:val="00415750"/>
    <w:rsid w:val="00415D87"/>
    <w:rsid w:val="00416953"/>
    <w:rsid w:val="00417C0F"/>
    <w:rsid w:val="00420DA1"/>
    <w:rsid w:val="00426BFC"/>
    <w:rsid w:val="00432C9A"/>
    <w:rsid w:val="00433EE2"/>
    <w:rsid w:val="004358BE"/>
    <w:rsid w:val="004407EB"/>
    <w:rsid w:val="00441849"/>
    <w:rsid w:val="00442376"/>
    <w:rsid w:val="00443058"/>
    <w:rsid w:val="004431E3"/>
    <w:rsid w:val="00445DE7"/>
    <w:rsid w:val="00447B24"/>
    <w:rsid w:val="00450E62"/>
    <w:rsid w:val="00451389"/>
    <w:rsid w:val="00451CE1"/>
    <w:rsid w:val="00452EEF"/>
    <w:rsid w:val="00454B3D"/>
    <w:rsid w:val="004576B5"/>
    <w:rsid w:val="00464E11"/>
    <w:rsid w:val="004655A0"/>
    <w:rsid w:val="004708F7"/>
    <w:rsid w:val="0047273E"/>
    <w:rsid w:val="0047291A"/>
    <w:rsid w:val="004734D9"/>
    <w:rsid w:val="00475D2C"/>
    <w:rsid w:val="0048005C"/>
    <w:rsid w:val="0048118D"/>
    <w:rsid w:val="00483416"/>
    <w:rsid w:val="0048358E"/>
    <w:rsid w:val="00483757"/>
    <w:rsid w:val="00484385"/>
    <w:rsid w:val="004901AB"/>
    <w:rsid w:val="00492E09"/>
    <w:rsid w:val="0049358F"/>
    <w:rsid w:val="0049395E"/>
    <w:rsid w:val="0049475E"/>
    <w:rsid w:val="00497559"/>
    <w:rsid w:val="004A2859"/>
    <w:rsid w:val="004A3508"/>
    <w:rsid w:val="004A3B17"/>
    <w:rsid w:val="004A3DAA"/>
    <w:rsid w:val="004A706B"/>
    <w:rsid w:val="004B07AD"/>
    <w:rsid w:val="004B0887"/>
    <w:rsid w:val="004B21ED"/>
    <w:rsid w:val="004B41A7"/>
    <w:rsid w:val="004B7071"/>
    <w:rsid w:val="004C724F"/>
    <w:rsid w:val="004D05B0"/>
    <w:rsid w:val="004D12BB"/>
    <w:rsid w:val="004D3420"/>
    <w:rsid w:val="004E01D3"/>
    <w:rsid w:val="004E1125"/>
    <w:rsid w:val="004E1E8B"/>
    <w:rsid w:val="004E4CB5"/>
    <w:rsid w:val="004E4F43"/>
    <w:rsid w:val="004F09D6"/>
    <w:rsid w:val="004F0CF1"/>
    <w:rsid w:val="004F1121"/>
    <w:rsid w:val="004F132F"/>
    <w:rsid w:val="004F3487"/>
    <w:rsid w:val="004F41EC"/>
    <w:rsid w:val="004F57CA"/>
    <w:rsid w:val="004F6248"/>
    <w:rsid w:val="004F7340"/>
    <w:rsid w:val="004F7439"/>
    <w:rsid w:val="004F7452"/>
    <w:rsid w:val="00500930"/>
    <w:rsid w:val="00504A1C"/>
    <w:rsid w:val="00505861"/>
    <w:rsid w:val="00506C74"/>
    <w:rsid w:val="00506F06"/>
    <w:rsid w:val="00514A08"/>
    <w:rsid w:val="00515A74"/>
    <w:rsid w:val="005214F1"/>
    <w:rsid w:val="00521B0A"/>
    <w:rsid w:val="00523129"/>
    <w:rsid w:val="00524907"/>
    <w:rsid w:val="0052569F"/>
    <w:rsid w:val="005275F9"/>
    <w:rsid w:val="00530664"/>
    <w:rsid w:val="005306F4"/>
    <w:rsid w:val="005330F7"/>
    <w:rsid w:val="0053437D"/>
    <w:rsid w:val="0053633B"/>
    <w:rsid w:val="005363BC"/>
    <w:rsid w:val="00541D50"/>
    <w:rsid w:val="0054227D"/>
    <w:rsid w:val="005466B3"/>
    <w:rsid w:val="0054685B"/>
    <w:rsid w:val="00550051"/>
    <w:rsid w:val="00552770"/>
    <w:rsid w:val="0055713C"/>
    <w:rsid w:val="00562A3C"/>
    <w:rsid w:val="00562A8E"/>
    <w:rsid w:val="00563598"/>
    <w:rsid w:val="00566A6A"/>
    <w:rsid w:val="00566E0D"/>
    <w:rsid w:val="00570AD9"/>
    <w:rsid w:val="00572313"/>
    <w:rsid w:val="005724C5"/>
    <w:rsid w:val="00573173"/>
    <w:rsid w:val="005747D0"/>
    <w:rsid w:val="00575758"/>
    <w:rsid w:val="00575CB1"/>
    <w:rsid w:val="00577198"/>
    <w:rsid w:val="00577BB0"/>
    <w:rsid w:val="00577E5A"/>
    <w:rsid w:val="005807A4"/>
    <w:rsid w:val="00580E51"/>
    <w:rsid w:val="00581422"/>
    <w:rsid w:val="005826E2"/>
    <w:rsid w:val="00582C73"/>
    <w:rsid w:val="00585DAE"/>
    <w:rsid w:val="00586D56"/>
    <w:rsid w:val="00586FCA"/>
    <w:rsid w:val="005916E4"/>
    <w:rsid w:val="005926DC"/>
    <w:rsid w:val="00592C82"/>
    <w:rsid w:val="00594ABF"/>
    <w:rsid w:val="00595CA2"/>
    <w:rsid w:val="005A2951"/>
    <w:rsid w:val="005A572D"/>
    <w:rsid w:val="005A5C12"/>
    <w:rsid w:val="005A718B"/>
    <w:rsid w:val="005A746E"/>
    <w:rsid w:val="005B2EB3"/>
    <w:rsid w:val="005B2ECF"/>
    <w:rsid w:val="005B5F4F"/>
    <w:rsid w:val="005B7275"/>
    <w:rsid w:val="005B7A22"/>
    <w:rsid w:val="005C46A1"/>
    <w:rsid w:val="005C4FB2"/>
    <w:rsid w:val="005C5033"/>
    <w:rsid w:val="005C5471"/>
    <w:rsid w:val="005C7021"/>
    <w:rsid w:val="005C7453"/>
    <w:rsid w:val="005C7A02"/>
    <w:rsid w:val="005D0BCB"/>
    <w:rsid w:val="005D113B"/>
    <w:rsid w:val="005D1928"/>
    <w:rsid w:val="005D22D5"/>
    <w:rsid w:val="005D27DB"/>
    <w:rsid w:val="005D2DE7"/>
    <w:rsid w:val="005D2F1A"/>
    <w:rsid w:val="005D34CC"/>
    <w:rsid w:val="005D3746"/>
    <w:rsid w:val="005D380B"/>
    <w:rsid w:val="005D4576"/>
    <w:rsid w:val="005D488F"/>
    <w:rsid w:val="005D6A5E"/>
    <w:rsid w:val="005D7C07"/>
    <w:rsid w:val="005E0067"/>
    <w:rsid w:val="005E0CF9"/>
    <w:rsid w:val="005E2A09"/>
    <w:rsid w:val="005E2F6D"/>
    <w:rsid w:val="005E6D31"/>
    <w:rsid w:val="005E7DB0"/>
    <w:rsid w:val="005F5693"/>
    <w:rsid w:val="005F638F"/>
    <w:rsid w:val="005F6857"/>
    <w:rsid w:val="00603D9C"/>
    <w:rsid w:val="00605A2B"/>
    <w:rsid w:val="006100C4"/>
    <w:rsid w:val="00612A7F"/>
    <w:rsid w:val="006130C6"/>
    <w:rsid w:val="00624B47"/>
    <w:rsid w:val="0063026B"/>
    <w:rsid w:val="00632E45"/>
    <w:rsid w:val="0063384F"/>
    <w:rsid w:val="00634CD1"/>
    <w:rsid w:val="00634D61"/>
    <w:rsid w:val="00635836"/>
    <w:rsid w:val="00637630"/>
    <w:rsid w:val="006410B8"/>
    <w:rsid w:val="00641C09"/>
    <w:rsid w:val="00641DCD"/>
    <w:rsid w:val="0064487A"/>
    <w:rsid w:val="00644CC4"/>
    <w:rsid w:val="00646D8D"/>
    <w:rsid w:val="0064767B"/>
    <w:rsid w:val="00652364"/>
    <w:rsid w:val="0065355D"/>
    <w:rsid w:val="00656C1B"/>
    <w:rsid w:val="00656E07"/>
    <w:rsid w:val="006577FB"/>
    <w:rsid w:val="0066144D"/>
    <w:rsid w:val="00661596"/>
    <w:rsid w:val="00661660"/>
    <w:rsid w:val="00661875"/>
    <w:rsid w:val="00661E75"/>
    <w:rsid w:val="00663279"/>
    <w:rsid w:val="006662A3"/>
    <w:rsid w:val="00666F40"/>
    <w:rsid w:val="0066748E"/>
    <w:rsid w:val="00673A8A"/>
    <w:rsid w:val="0067652A"/>
    <w:rsid w:val="006776DC"/>
    <w:rsid w:val="00684AE2"/>
    <w:rsid w:val="00684D36"/>
    <w:rsid w:val="006875AE"/>
    <w:rsid w:val="00687AFF"/>
    <w:rsid w:val="00692539"/>
    <w:rsid w:val="00692DF9"/>
    <w:rsid w:val="00695AAD"/>
    <w:rsid w:val="00695BA3"/>
    <w:rsid w:val="00697438"/>
    <w:rsid w:val="0069797E"/>
    <w:rsid w:val="006A1037"/>
    <w:rsid w:val="006A36A1"/>
    <w:rsid w:val="006A3E13"/>
    <w:rsid w:val="006A556C"/>
    <w:rsid w:val="006A6566"/>
    <w:rsid w:val="006B2CB7"/>
    <w:rsid w:val="006B346B"/>
    <w:rsid w:val="006B54A4"/>
    <w:rsid w:val="006B7457"/>
    <w:rsid w:val="006C1D68"/>
    <w:rsid w:val="006C1E4A"/>
    <w:rsid w:val="006C248F"/>
    <w:rsid w:val="006C7FEF"/>
    <w:rsid w:val="006D05D4"/>
    <w:rsid w:val="006D6436"/>
    <w:rsid w:val="006E4155"/>
    <w:rsid w:val="006E4CF0"/>
    <w:rsid w:val="006E59E7"/>
    <w:rsid w:val="006E6152"/>
    <w:rsid w:val="006E7294"/>
    <w:rsid w:val="006F490C"/>
    <w:rsid w:val="006F49E2"/>
    <w:rsid w:val="00700394"/>
    <w:rsid w:val="007022A1"/>
    <w:rsid w:val="007061F4"/>
    <w:rsid w:val="00706541"/>
    <w:rsid w:val="0070665B"/>
    <w:rsid w:val="007103C5"/>
    <w:rsid w:val="00711A29"/>
    <w:rsid w:val="00712247"/>
    <w:rsid w:val="00720A58"/>
    <w:rsid w:val="00724675"/>
    <w:rsid w:val="007258E0"/>
    <w:rsid w:val="007265F9"/>
    <w:rsid w:val="00726CD7"/>
    <w:rsid w:val="00727229"/>
    <w:rsid w:val="0073015B"/>
    <w:rsid w:val="007321AF"/>
    <w:rsid w:val="00733BDD"/>
    <w:rsid w:val="00734976"/>
    <w:rsid w:val="007349C1"/>
    <w:rsid w:val="00737C7B"/>
    <w:rsid w:val="00740107"/>
    <w:rsid w:val="00741284"/>
    <w:rsid w:val="007426C1"/>
    <w:rsid w:val="007442DD"/>
    <w:rsid w:val="0074669B"/>
    <w:rsid w:val="00754DE3"/>
    <w:rsid w:val="007572E4"/>
    <w:rsid w:val="00760339"/>
    <w:rsid w:val="00763588"/>
    <w:rsid w:val="00765F56"/>
    <w:rsid w:val="00771D86"/>
    <w:rsid w:val="00772163"/>
    <w:rsid w:val="007727E5"/>
    <w:rsid w:val="00773B56"/>
    <w:rsid w:val="00776B9E"/>
    <w:rsid w:val="00776CDD"/>
    <w:rsid w:val="007866CE"/>
    <w:rsid w:val="00786D21"/>
    <w:rsid w:val="00790B52"/>
    <w:rsid w:val="00793400"/>
    <w:rsid w:val="00794DBE"/>
    <w:rsid w:val="007952D9"/>
    <w:rsid w:val="00797FCF"/>
    <w:rsid w:val="007A03E5"/>
    <w:rsid w:val="007A0C10"/>
    <w:rsid w:val="007A2673"/>
    <w:rsid w:val="007A2D7B"/>
    <w:rsid w:val="007A3808"/>
    <w:rsid w:val="007A3FB4"/>
    <w:rsid w:val="007A4532"/>
    <w:rsid w:val="007A7BA9"/>
    <w:rsid w:val="007B136A"/>
    <w:rsid w:val="007B4DC3"/>
    <w:rsid w:val="007C2AEF"/>
    <w:rsid w:val="007C2CC3"/>
    <w:rsid w:val="007C300B"/>
    <w:rsid w:val="007C5E1E"/>
    <w:rsid w:val="007C666D"/>
    <w:rsid w:val="007C6806"/>
    <w:rsid w:val="007C68E9"/>
    <w:rsid w:val="007D125A"/>
    <w:rsid w:val="007D17E9"/>
    <w:rsid w:val="007D3569"/>
    <w:rsid w:val="007D3F7C"/>
    <w:rsid w:val="007D418F"/>
    <w:rsid w:val="007D77D9"/>
    <w:rsid w:val="007E0AB4"/>
    <w:rsid w:val="007E221C"/>
    <w:rsid w:val="007E23E6"/>
    <w:rsid w:val="007E3829"/>
    <w:rsid w:val="007E6320"/>
    <w:rsid w:val="007E641E"/>
    <w:rsid w:val="007E6712"/>
    <w:rsid w:val="007E7114"/>
    <w:rsid w:val="007E71AB"/>
    <w:rsid w:val="007E766A"/>
    <w:rsid w:val="007E7AA5"/>
    <w:rsid w:val="007F0353"/>
    <w:rsid w:val="007F10DF"/>
    <w:rsid w:val="007F4B79"/>
    <w:rsid w:val="007F55DA"/>
    <w:rsid w:val="007F6350"/>
    <w:rsid w:val="007F645E"/>
    <w:rsid w:val="007F6B8E"/>
    <w:rsid w:val="00802EAB"/>
    <w:rsid w:val="008031E5"/>
    <w:rsid w:val="00803CE1"/>
    <w:rsid w:val="00805BEA"/>
    <w:rsid w:val="00805D92"/>
    <w:rsid w:val="00806E38"/>
    <w:rsid w:val="00807775"/>
    <w:rsid w:val="008110A0"/>
    <w:rsid w:val="00812D84"/>
    <w:rsid w:val="0081302D"/>
    <w:rsid w:val="008156DF"/>
    <w:rsid w:val="00815BE0"/>
    <w:rsid w:val="00817C51"/>
    <w:rsid w:val="008226C3"/>
    <w:rsid w:val="00823BEA"/>
    <w:rsid w:val="008252CF"/>
    <w:rsid w:val="00830B3B"/>
    <w:rsid w:val="00830CCC"/>
    <w:rsid w:val="00831DC2"/>
    <w:rsid w:val="00833C70"/>
    <w:rsid w:val="00844FE4"/>
    <w:rsid w:val="008454AD"/>
    <w:rsid w:val="00845F94"/>
    <w:rsid w:val="00853547"/>
    <w:rsid w:val="0085574D"/>
    <w:rsid w:val="00856B69"/>
    <w:rsid w:val="00857D61"/>
    <w:rsid w:val="00865DE0"/>
    <w:rsid w:val="00866051"/>
    <w:rsid w:val="00866604"/>
    <w:rsid w:val="00866862"/>
    <w:rsid w:val="00872E15"/>
    <w:rsid w:val="008757B0"/>
    <w:rsid w:val="00875EC4"/>
    <w:rsid w:val="00877F0A"/>
    <w:rsid w:val="00880B78"/>
    <w:rsid w:val="00881760"/>
    <w:rsid w:val="0088362E"/>
    <w:rsid w:val="008841F0"/>
    <w:rsid w:val="0088662A"/>
    <w:rsid w:val="00886722"/>
    <w:rsid w:val="00886BBA"/>
    <w:rsid w:val="00892BC5"/>
    <w:rsid w:val="0089336B"/>
    <w:rsid w:val="00896548"/>
    <w:rsid w:val="008A2B27"/>
    <w:rsid w:val="008A3236"/>
    <w:rsid w:val="008A46DD"/>
    <w:rsid w:val="008B0AC3"/>
    <w:rsid w:val="008B0F25"/>
    <w:rsid w:val="008B1154"/>
    <w:rsid w:val="008B1A1A"/>
    <w:rsid w:val="008B1B57"/>
    <w:rsid w:val="008B3BAC"/>
    <w:rsid w:val="008B7086"/>
    <w:rsid w:val="008B76EC"/>
    <w:rsid w:val="008C0623"/>
    <w:rsid w:val="008C1740"/>
    <w:rsid w:val="008C2EA1"/>
    <w:rsid w:val="008C3546"/>
    <w:rsid w:val="008C5A2A"/>
    <w:rsid w:val="008C5B25"/>
    <w:rsid w:val="008C5ED8"/>
    <w:rsid w:val="008C6CA6"/>
    <w:rsid w:val="008D0CF8"/>
    <w:rsid w:val="008D1CB0"/>
    <w:rsid w:val="008D1D83"/>
    <w:rsid w:val="008D61FF"/>
    <w:rsid w:val="008D66E6"/>
    <w:rsid w:val="008E035B"/>
    <w:rsid w:val="008E7C11"/>
    <w:rsid w:val="008F0492"/>
    <w:rsid w:val="008F4058"/>
    <w:rsid w:val="008F570E"/>
    <w:rsid w:val="008F6562"/>
    <w:rsid w:val="008F79BF"/>
    <w:rsid w:val="00902DB2"/>
    <w:rsid w:val="00905F40"/>
    <w:rsid w:val="00907549"/>
    <w:rsid w:val="00910A3E"/>
    <w:rsid w:val="009117AB"/>
    <w:rsid w:val="009131C7"/>
    <w:rsid w:val="00914250"/>
    <w:rsid w:val="009171AE"/>
    <w:rsid w:val="00920ECB"/>
    <w:rsid w:val="00924FBB"/>
    <w:rsid w:val="00925227"/>
    <w:rsid w:val="00930095"/>
    <w:rsid w:val="00934A34"/>
    <w:rsid w:val="00935C79"/>
    <w:rsid w:val="0093715E"/>
    <w:rsid w:val="00942E3D"/>
    <w:rsid w:val="00947FE4"/>
    <w:rsid w:val="00951B99"/>
    <w:rsid w:val="00953208"/>
    <w:rsid w:val="00953D8E"/>
    <w:rsid w:val="0095434C"/>
    <w:rsid w:val="00954B34"/>
    <w:rsid w:val="00961AE6"/>
    <w:rsid w:val="009624C9"/>
    <w:rsid w:val="00963FCE"/>
    <w:rsid w:val="0096427B"/>
    <w:rsid w:val="00966195"/>
    <w:rsid w:val="00967175"/>
    <w:rsid w:val="00971887"/>
    <w:rsid w:val="00972ACD"/>
    <w:rsid w:val="009738E2"/>
    <w:rsid w:val="00975DBA"/>
    <w:rsid w:val="009764A6"/>
    <w:rsid w:val="00983089"/>
    <w:rsid w:val="009846F1"/>
    <w:rsid w:val="00991CD4"/>
    <w:rsid w:val="00993FBD"/>
    <w:rsid w:val="009979CB"/>
    <w:rsid w:val="009A092F"/>
    <w:rsid w:val="009A10DC"/>
    <w:rsid w:val="009A2998"/>
    <w:rsid w:val="009A442F"/>
    <w:rsid w:val="009A71E8"/>
    <w:rsid w:val="009B36F0"/>
    <w:rsid w:val="009B4731"/>
    <w:rsid w:val="009C1079"/>
    <w:rsid w:val="009C200D"/>
    <w:rsid w:val="009C4F7F"/>
    <w:rsid w:val="009C545D"/>
    <w:rsid w:val="009C6475"/>
    <w:rsid w:val="009D062C"/>
    <w:rsid w:val="009D14BF"/>
    <w:rsid w:val="009D29DB"/>
    <w:rsid w:val="009D6153"/>
    <w:rsid w:val="009E04F1"/>
    <w:rsid w:val="009E3143"/>
    <w:rsid w:val="009E46E3"/>
    <w:rsid w:val="009E4A1C"/>
    <w:rsid w:val="009E5D69"/>
    <w:rsid w:val="009F0E48"/>
    <w:rsid w:val="009F0E77"/>
    <w:rsid w:val="009F2C2F"/>
    <w:rsid w:val="009F3229"/>
    <w:rsid w:val="009F40CB"/>
    <w:rsid w:val="009F68C5"/>
    <w:rsid w:val="00A01E0D"/>
    <w:rsid w:val="00A020A4"/>
    <w:rsid w:val="00A02B78"/>
    <w:rsid w:val="00A03770"/>
    <w:rsid w:val="00A04679"/>
    <w:rsid w:val="00A05A7B"/>
    <w:rsid w:val="00A1121B"/>
    <w:rsid w:val="00A12C03"/>
    <w:rsid w:val="00A14F20"/>
    <w:rsid w:val="00A17E53"/>
    <w:rsid w:val="00A20AAB"/>
    <w:rsid w:val="00A22765"/>
    <w:rsid w:val="00A23CEC"/>
    <w:rsid w:val="00A24837"/>
    <w:rsid w:val="00A30368"/>
    <w:rsid w:val="00A303B2"/>
    <w:rsid w:val="00A34291"/>
    <w:rsid w:val="00A42756"/>
    <w:rsid w:val="00A44282"/>
    <w:rsid w:val="00A44867"/>
    <w:rsid w:val="00A45715"/>
    <w:rsid w:val="00A4662A"/>
    <w:rsid w:val="00A535D7"/>
    <w:rsid w:val="00A55F93"/>
    <w:rsid w:val="00A56213"/>
    <w:rsid w:val="00A64DBE"/>
    <w:rsid w:val="00A71096"/>
    <w:rsid w:val="00A718D0"/>
    <w:rsid w:val="00A76D1C"/>
    <w:rsid w:val="00A829E5"/>
    <w:rsid w:val="00A836DB"/>
    <w:rsid w:val="00A84A0C"/>
    <w:rsid w:val="00A8503C"/>
    <w:rsid w:val="00A851E9"/>
    <w:rsid w:val="00A879B7"/>
    <w:rsid w:val="00A903B3"/>
    <w:rsid w:val="00A90903"/>
    <w:rsid w:val="00AA051F"/>
    <w:rsid w:val="00AA0EC3"/>
    <w:rsid w:val="00AA36C9"/>
    <w:rsid w:val="00AA4516"/>
    <w:rsid w:val="00AB0F89"/>
    <w:rsid w:val="00AB1B5D"/>
    <w:rsid w:val="00AB50D4"/>
    <w:rsid w:val="00AC0829"/>
    <w:rsid w:val="00AC0CDD"/>
    <w:rsid w:val="00AC3522"/>
    <w:rsid w:val="00AC35F9"/>
    <w:rsid w:val="00AC462B"/>
    <w:rsid w:val="00AC5FA0"/>
    <w:rsid w:val="00AC6D2E"/>
    <w:rsid w:val="00AD123A"/>
    <w:rsid w:val="00AD3024"/>
    <w:rsid w:val="00AD3A6E"/>
    <w:rsid w:val="00AE366D"/>
    <w:rsid w:val="00AE7148"/>
    <w:rsid w:val="00AF0FA4"/>
    <w:rsid w:val="00AF143F"/>
    <w:rsid w:val="00AF2394"/>
    <w:rsid w:val="00AF33FF"/>
    <w:rsid w:val="00AF4363"/>
    <w:rsid w:val="00AF5E5F"/>
    <w:rsid w:val="00AF6FA3"/>
    <w:rsid w:val="00B00569"/>
    <w:rsid w:val="00B0059D"/>
    <w:rsid w:val="00B01629"/>
    <w:rsid w:val="00B02343"/>
    <w:rsid w:val="00B0374A"/>
    <w:rsid w:val="00B043B5"/>
    <w:rsid w:val="00B05707"/>
    <w:rsid w:val="00B05927"/>
    <w:rsid w:val="00B0667D"/>
    <w:rsid w:val="00B06A13"/>
    <w:rsid w:val="00B06C23"/>
    <w:rsid w:val="00B0794E"/>
    <w:rsid w:val="00B07993"/>
    <w:rsid w:val="00B15111"/>
    <w:rsid w:val="00B157EF"/>
    <w:rsid w:val="00B16686"/>
    <w:rsid w:val="00B176DE"/>
    <w:rsid w:val="00B21029"/>
    <w:rsid w:val="00B244DC"/>
    <w:rsid w:val="00B25BA3"/>
    <w:rsid w:val="00B32338"/>
    <w:rsid w:val="00B34F60"/>
    <w:rsid w:val="00B4072E"/>
    <w:rsid w:val="00B425FB"/>
    <w:rsid w:val="00B441B2"/>
    <w:rsid w:val="00B44534"/>
    <w:rsid w:val="00B472AD"/>
    <w:rsid w:val="00B5008A"/>
    <w:rsid w:val="00B50C8A"/>
    <w:rsid w:val="00B50F4F"/>
    <w:rsid w:val="00B542D5"/>
    <w:rsid w:val="00B54557"/>
    <w:rsid w:val="00B57484"/>
    <w:rsid w:val="00B57E93"/>
    <w:rsid w:val="00B6415D"/>
    <w:rsid w:val="00B6773D"/>
    <w:rsid w:val="00B67B98"/>
    <w:rsid w:val="00B70C80"/>
    <w:rsid w:val="00B716FC"/>
    <w:rsid w:val="00B725AE"/>
    <w:rsid w:val="00B80A8E"/>
    <w:rsid w:val="00B849A4"/>
    <w:rsid w:val="00B863CC"/>
    <w:rsid w:val="00B900AD"/>
    <w:rsid w:val="00B914FA"/>
    <w:rsid w:val="00B916D2"/>
    <w:rsid w:val="00B941C2"/>
    <w:rsid w:val="00B95792"/>
    <w:rsid w:val="00B97CEA"/>
    <w:rsid w:val="00BA2B4D"/>
    <w:rsid w:val="00BA2CFA"/>
    <w:rsid w:val="00BA38F0"/>
    <w:rsid w:val="00BA40F1"/>
    <w:rsid w:val="00BA4910"/>
    <w:rsid w:val="00BB2683"/>
    <w:rsid w:val="00BB289A"/>
    <w:rsid w:val="00BB7318"/>
    <w:rsid w:val="00BB7C22"/>
    <w:rsid w:val="00BC04EC"/>
    <w:rsid w:val="00BC329C"/>
    <w:rsid w:val="00BC34DC"/>
    <w:rsid w:val="00BC53DD"/>
    <w:rsid w:val="00BC54CA"/>
    <w:rsid w:val="00BC56D9"/>
    <w:rsid w:val="00BC620C"/>
    <w:rsid w:val="00BC6B62"/>
    <w:rsid w:val="00BC6D24"/>
    <w:rsid w:val="00BD31A0"/>
    <w:rsid w:val="00BD38F9"/>
    <w:rsid w:val="00BD4803"/>
    <w:rsid w:val="00BD4B53"/>
    <w:rsid w:val="00BD6FC2"/>
    <w:rsid w:val="00BE0EA7"/>
    <w:rsid w:val="00BE2B29"/>
    <w:rsid w:val="00BE3AF9"/>
    <w:rsid w:val="00BE41BC"/>
    <w:rsid w:val="00BE4252"/>
    <w:rsid w:val="00BE4A91"/>
    <w:rsid w:val="00BE50F6"/>
    <w:rsid w:val="00BF27C1"/>
    <w:rsid w:val="00BF3527"/>
    <w:rsid w:val="00BF3D6F"/>
    <w:rsid w:val="00BF517C"/>
    <w:rsid w:val="00C01996"/>
    <w:rsid w:val="00C031CD"/>
    <w:rsid w:val="00C03A32"/>
    <w:rsid w:val="00C06EDC"/>
    <w:rsid w:val="00C11424"/>
    <w:rsid w:val="00C115CE"/>
    <w:rsid w:val="00C139F6"/>
    <w:rsid w:val="00C148B8"/>
    <w:rsid w:val="00C14DFD"/>
    <w:rsid w:val="00C15318"/>
    <w:rsid w:val="00C15971"/>
    <w:rsid w:val="00C2025E"/>
    <w:rsid w:val="00C211A0"/>
    <w:rsid w:val="00C2143F"/>
    <w:rsid w:val="00C21DBC"/>
    <w:rsid w:val="00C22C2C"/>
    <w:rsid w:val="00C2524A"/>
    <w:rsid w:val="00C25C4F"/>
    <w:rsid w:val="00C26223"/>
    <w:rsid w:val="00C264E9"/>
    <w:rsid w:val="00C2719B"/>
    <w:rsid w:val="00C3102C"/>
    <w:rsid w:val="00C3345C"/>
    <w:rsid w:val="00C3370C"/>
    <w:rsid w:val="00C345ED"/>
    <w:rsid w:val="00C3528C"/>
    <w:rsid w:val="00C35FB0"/>
    <w:rsid w:val="00C36710"/>
    <w:rsid w:val="00C37904"/>
    <w:rsid w:val="00C40753"/>
    <w:rsid w:val="00C40C64"/>
    <w:rsid w:val="00C40E90"/>
    <w:rsid w:val="00C42323"/>
    <w:rsid w:val="00C43B81"/>
    <w:rsid w:val="00C43F41"/>
    <w:rsid w:val="00C443BA"/>
    <w:rsid w:val="00C513F5"/>
    <w:rsid w:val="00C51F81"/>
    <w:rsid w:val="00C52915"/>
    <w:rsid w:val="00C52E8F"/>
    <w:rsid w:val="00C53BBE"/>
    <w:rsid w:val="00C55BF0"/>
    <w:rsid w:val="00C55F6B"/>
    <w:rsid w:val="00C5677E"/>
    <w:rsid w:val="00C56C79"/>
    <w:rsid w:val="00C64031"/>
    <w:rsid w:val="00C641AF"/>
    <w:rsid w:val="00C66377"/>
    <w:rsid w:val="00C6731A"/>
    <w:rsid w:val="00C71DB8"/>
    <w:rsid w:val="00C740D4"/>
    <w:rsid w:val="00C80F4C"/>
    <w:rsid w:val="00C81808"/>
    <w:rsid w:val="00C82365"/>
    <w:rsid w:val="00C828C8"/>
    <w:rsid w:val="00C8447C"/>
    <w:rsid w:val="00C86F8E"/>
    <w:rsid w:val="00C8700E"/>
    <w:rsid w:val="00C87BB8"/>
    <w:rsid w:val="00C93D93"/>
    <w:rsid w:val="00C94672"/>
    <w:rsid w:val="00C94751"/>
    <w:rsid w:val="00C94AE4"/>
    <w:rsid w:val="00C959F8"/>
    <w:rsid w:val="00C96971"/>
    <w:rsid w:val="00CA118E"/>
    <w:rsid w:val="00CA1858"/>
    <w:rsid w:val="00CA2030"/>
    <w:rsid w:val="00CA265E"/>
    <w:rsid w:val="00CA30EA"/>
    <w:rsid w:val="00CA31F0"/>
    <w:rsid w:val="00CA4CA2"/>
    <w:rsid w:val="00CA6CEE"/>
    <w:rsid w:val="00CA7072"/>
    <w:rsid w:val="00CB00ED"/>
    <w:rsid w:val="00CB240A"/>
    <w:rsid w:val="00CB32CE"/>
    <w:rsid w:val="00CB425F"/>
    <w:rsid w:val="00CB4D31"/>
    <w:rsid w:val="00CB6A3A"/>
    <w:rsid w:val="00CB6B4D"/>
    <w:rsid w:val="00CC0F28"/>
    <w:rsid w:val="00CC1983"/>
    <w:rsid w:val="00CC3AC3"/>
    <w:rsid w:val="00CC5401"/>
    <w:rsid w:val="00CC6448"/>
    <w:rsid w:val="00CD016F"/>
    <w:rsid w:val="00CD0A44"/>
    <w:rsid w:val="00CD0D0E"/>
    <w:rsid w:val="00CD2191"/>
    <w:rsid w:val="00CD3F7C"/>
    <w:rsid w:val="00CE098E"/>
    <w:rsid w:val="00CE0EED"/>
    <w:rsid w:val="00CE695F"/>
    <w:rsid w:val="00CF0A47"/>
    <w:rsid w:val="00CF58AA"/>
    <w:rsid w:val="00CF63E9"/>
    <w:rsid w:val="00CF6CA9"/>
    <w:rsid w:val="00D009B6"/>
    <w:rsid w:val="00D00AA5"/>
    <w:rsid w:val="00D00AB5"/>
    <w:rsid w:val="00D00E52"/>
    <w:rsid w:val="00D0610F"/>
    <w:rsid w:val="00D06276"/>
    <w:rsid w:val="00D14307"/>
    <w:rsid w:val="00D1576D"/>
    <w:rsid w:val="00D15D1F"/>
    <w:rsid w:val="00D1608B"/>
    <w:rsid w:val="00D1693D"/>
    <w:rsid w:val="00D20FC6"/>
    <w:rsid w:val="00D21A9E"/>
    <w:rsid w:val="00D23C51"/>
    <w:rsid w:val="00D24F27"/>
    <w:rsid w:val="00D25347"/>
    <w:rsid w:val="00D27D9E"/>
    <w:rsid w:val="00D32176"/>
    <w:rsid w:val="00D327B6"/>
    <w:rsid w:val="00D33048"/>
    <w:rsid w:val="00D34973"/>
    <w:rsid w:val="00D40034"/>
    <w:rsid w:val="00D41254"/>
    <w:rsid w:val="00D4678A"/>
    <w:rsid w:val="00D518B0"/>
    <w:rsid w:val="00D52D5E"/>
    <w:rsid w:val="00D537E4"/>
    <w:rsid w:val="00D538CB"/>
    <w:rsid w:val="00D5532C"/>
    <w:rsid w:val="00D56650"/>
    <w:rsid w:val="00D57345"/>
    <w:rsid w:val="00D6388A"/>
    <w:rsid w:val="00D64159"/>
    <w:rsid w:val="00D66D3F"/>
    <w:rsid w:val="00D73679"/>
    <w:rsid w:val="00D7439F"/>
    <w:rsid w:val="00D746BD"/>
    <w:rsid w:val="00D748E5"/>
    <w:rsid w:val="00D779CA"/>
    <w:rsid w:val="00D82F8C"/>
    <w:rsid w:val="00D837D3"/>
    <w:rsid w:val="00D85686"/>
    <w:rsid w:val="00D86B29"/>
    <w:rsid w:val="00D87E81"/>
    <w:rsid w:val="00D92B04"/>
    <w:rsid w:val="00D930D5"/>
    <w:rsid w:val="00D93353"/>
    <w:rsid w:val="00D93670"/>
    <w:rsid w:val="00D95950"/>
    <w:rsid w:val="00D95BF6"/>
    <w:rsid w:val="00D95E42"/>
    <w:rsid w:val="00D96D5B"/>
    <w:rsid w:val="00D9744F"/>
    <w:rsid w:val="00D9762E"/>
    <w:rsid w:val="00DA2C09"/>
    <w:rsid w:val="00DA46AE"/>
    <w:rsid w:val="00DA58C7"/>
    <w:rsid w:val="00DA60D3"/>
    <w:rsid w:val="00DA6347"/>
    <w:rsid w:val="00DA6B3D"/>
    <w:rsid w:val="00DB3EC8"/>
    <w:rsid w:val="00DB5AC2"/>
    <w:rsid w:val="00DB7530"/>
    <w:rsid w:val="00DC4DB2"/>
    <w:rsid w:val="00DC55D6"/>
    <w:rsid w:val="00DC6E56"/>
    <w:rsid w:val="00DC6E88"/>
    <w:rsid w:val="00DD07FD"/>
    <w:rsid w:val="00DD3E44"/>
    <w:rsid w:val="00DD6D23"/>
    <w:rsid w:val="00DE00CF"/>
    <w:rsid w:val="00DE0EA7"/>
    <w:rsid w:val="00DE12CD"/>
    <w:rsid w:val="00DE64CA"/>
    <w:rsid w:val="00DE65D4"/>
    <w:rsid w:val="00DE6D4D"/>
    <w:rsid w:val="00DE78C1"/>
    <w:rsid w:val="00DE7E73"/>
    <w:rsid w:val="00DF1DF6"/>
    <w:rsid w:val="00DF28D3"/>
    <w:rsid w:val="00DF2AD6"/>
    <w:rsid w:val="00DF6269"/>
    <w:rsid w:val="00DF6BE4"/>
    <w:rsid w:val="00E016C0"/>
    <w:rsid w:val="00E01888"/>
    <w:rsid w:val="00E0238A"/>
    <w:rsid w:val="00E02684"/>
    <w:rsid w:val="00E05B8D"/>
    <w:rsid w:val="00E16BDD"/>
    <w:rsid w:val="00E1701B"/>
    <w:rsid w:val="00E17B81"/>
    <w:rsid w:val="00E20580"/>
    <w:rsid w:val="00E20902"/>
    <w:rsid w:val="00E20CC6"/>
    <w:rsid w:val="00E21536"/>
    <w:rsid w:val="00E222F4"/>
    <w:rsid w:val="00E22D97"/>
    <w:rsid w:val="00E234BF"/>
    <w:rsid w:val="00E237DC"/>
    <w:rsid w:val="00E24E34"/>
    <w:rsid w:val="00E25739"/>
    <w:rsid w:val="00E2584C"/>
    <w:rsid w:val="00E25BBD"/>
    <w:rsid w:val="00E307D5"/>
    <w:rsid w:val="00E315C1"/>
    <w:rsid w:val="00E37148"/>
    <w:rsid w:val="00E40B70"/>
    <w:rsid w:val="00E416FF"/>
    <w:rsid w:val="00E429EE"/>
    <w:rsid w:val="00E440FA"/>
    <w:rsid w:val="00E44C26"/>
    <w:rsid w:val="00E45EE7"/>
    <w:rsid w:val="00E53CF4"/>
    <w:rsid w:val="00E57C03"/>
    <w:rsid w:val="00E57E8B"/>
    <w:rsid w:val="00E60F57"/>
    <w:rsid w:val="00E6282A"/>
    <w:rsid w:val="00E62A61"/>
    <w:rsid w:val="00E639B5"/>
    <w:rsid w:val="00E642E8"/>
    <w:rsid w:val="00E665FF"/>
    <w:rsid w:val="00E66F25"/>
    <w:rsid w:val="00E700DF"/>
    <w:rsid w:val="00E70188"/>
    <w:rsid w:val="00E7073D"/>
    <w:rsid w:val="00E71CEE"/>
    <w:rsid w:val="00E73020"/>
    <w:rsid w:val="00E7663D"/>
    <w:rsid w:val="00E76C64"/>
    <w:rsid w:val="00E821B6"/>
    <w:rsid w:val="00E825F6"/>
    <w:rsid w:val="00E82CAA"/>
    <w:rsid w:val="00E8505D"/>
    <w:rsid w:val="00E861F8"/>
    <w:rsid w:val="00E90590"/>
    <w:rsid w:val="00E926A0"/>
    <w:rsid w:val="00E9367B"/>
    <w:rsid w:val="00E93C7F"/>
    <w:rsid w:val="00E94D18"/>
    <w:rsid w:val="00EA0613"/>
    <w:rsid w:val="00EA1CCB"/>
    <w:rsid w:val="00EA25A8"/>
    <w:rsid w:val="00EA418E"/>
    <w:rsid w:val="00EA589C"/>
    <w:rsid w:val="00EB0E4E"/>
    <w:rsid w:val="00EB2F3D"/>
    <w:rsid w:val="00EB2FF2"/>
    <w:rsid w:val="00EB3C52"/>
    <w:rsid w:val="00EB4506"/>
    <w:rsid w:val="00EB78B2"/>
    <w:rsid w:val="00EB7DB2"/>
    <w:rsid w:val="00EC39B1"/>
    <w:rsid w:val="00EC4F04"/>
    <w:rsid w:val="00EC4F98"/>
    <w:rsid w:val="00EC6EE1"/>
    <w:rsid w:val="00EC7615"/>
    <w:rsid w:val="00EC7C63"/>
    <w:rsid w:val="00ED1614"/>
    <w:rsid w:val="00ED228C"/>
    <w:rsid w:val="00ED545C"/>
    <w:rsid w:val="00ED5D6D"/>
    <w:rsid w:val="00ED604E"/>
    <w:rsid w:val="00EE27DE"/>
    <w:rsid w:val="00EE5631"/>
    <w:rsid w:val="00EE6436"/>
    <w:rsid w:val="00EE7745"/>
    <w:rsid w:val="00EE7752"/>
    <w:rsid w:val="00EE7B29"/>
    <w:rsid w:val="00EE7D9B"/>
    <w:rsid w:val="00EF6133"/>
    <w:rsid w:val="00EF6680"/>
    <w:rsid w:val="00F014F0"/>
    <w:rsid w:val="00F0207C"/>
    <w:rsid w:val="00F03CE8"/>
    <w:rsid w:val="00F078F9"/>
    <w:rsid w:val="00F07E4F"/>
    <w:rsid w:val="00F118AA"/>
    <w:rsid w:val="00F14FC1"/>
    <w:rsid w:val="00F218D0"/>
    <w:rsid w:val="00F2305A"/>
    <w:rsid w:val="00F2316E"/>
    <w:rsid w:val="00F24F49"/>
    <w:rsid w:val="00F25E90"/>
    <w:rsid w:val="00F26803"/>
    <w:rsid w:val="00F3137F"/>
    <w:rsid w:val="00F31CB1"/>
    <w:rsid w:val="00F33A32"/>
    <w:rsid w:val="00F33E7E"/>
    <w:rsid w:val="00F349CD"/>
    <w:rsid w:val="00F35213"/>
    <w:rsid w:val="00F35C42"/>
    <w:rsid w:val="00F36BAE"/>
    <w:rsid w:val="00F40E4E"/>
    <w:rsid w:val="00F41F40"/>
    <w:rsid w:val="00F44527"/>
    <w:rsid w:val="00F45EB6"/>
    <w:rsid w:val="00F46739"/>
    <w:rsid w:val="00F505B3"/>
    <w:rsid w:val="00F505D9"/>
    <w:rsid w:val="00F50BB3"/>
    <w:rsid w:val="00F568D7"/>
    <w:rsid w:val="00F612F2"/>
    <w:rsid w:val="00F616C4"/>
    <w:rsid w:val="00F64F19"/>
    <w:rsid w:val="00F65B41"/>
    <w:rsid w:val="00F676BC"/>
    <w:rsid w:val="00F72A06"/>
    <w:rsid w:val="00F73DE9"/>
    <w:rsid w:val="00F81B4A"/>
    <w:rsid w:val="00F83465"/>
    <w:rsid w:val="00F83A9B"/>
    <w:rsid w:val="00F854A8"/>
    <w:rsid w:val="00F8747B"/>
    <w:rsid w:val="00F87958"/>
    <w:rsid w:val="00F87F81"/>
    <w:rsid w:val="00F90ECB"/>
    <w:rsid w:val="00F9183B"/>
    <w:rsid w:val="00F92066"/>
    <w:rsid w:val="00F936AE"/>
    <w:rsid w:val="00F9408C"/>
    <w:rsid w:val="00F940D0"/>
    <w:rsid w:val="00F95028"/>
    <w:rsid w:val="00F955D0"/>
    <w:rsid w:val="00F95EA3"/>
    <w:rsid w:val="00FA030D"/>
    <w:rsid w:val="00FA18D8"/>
    <w:rsid w:val="00FA1D26"/>
    <w:rsid w:val="00FA2778"/>
    <w:rsid w:val="00FA2F58"/>
    <w:rsid w:val="00FA5715"/>
    <w:rsid w:val="00FA61F9"/>
    <w:rsid w:val="00FA658D"/>
    <w:rsid w:val="00FB05F4"/>
    <w:rsid w:val="00FB09B9"/>
    <w:rsid w:val="00FB6439"/>
    <w:rsid w:val="00FC2AAD"/>
    <w:rsid w:val="00FC31F4"/>
    <w:rsid w:val="00FD0620"/>
    <w:rsid w:val="00FD0CDB"/>
    <w:rsid w:val="00FD719B"/>
    <w:rsid w:val="00FE00E5"/>
    <w:rsid w:val="00FE1C9D"/>
    <w:rsid w:val="00FE7381"/>
    <w:rsid w:val="00FF13AC"/>
    <w:rsid w:val="00FF1BB9"/>
    <w:rsid w:val="00FF72DB"/>
    <w:rsid w:val="0468EB9B"/>
    <w:rsid w:val="055FAD83"/>
    <w:rsid w:val="081B71A9"/>
    <w:rsid w:val="0D2CF9D1"/>
    <w:rsid w:val="1055D6BF"/>
    <w:rsid w:val="12B065E8"/>
    <w:rsid w:val="1C12FC4E"/>
    <w:rsid w:val="1D88D0B8"/>
    <w:rsid w:val="1F008C41"/>
    <w:rsid w:val="3CCFCDA9"/>
    <w:rsid w:val="3D233CE8"/>
    <w:rsid w:val="3DAECA76"/>
    <w:rsid w:val="3DB77531"/>
    <w:rsid w:val="41C7B84B"/>
    <w:rsid w:val="43E947AA"/>
    <w:rsid w:val="4DFE2DE5"/>
    <w:rsid w:val="4E89AF5A"/>
    <w:rsid w:val="504A36A0"/>
    <w:rsid w:val="5156B34E"/>
    <w:rsid w:val="5503DD59"/>
    <w:rsid w:val="556CC695"/>
    <w:rsid w:val="56D8893E"/>
    <w:rsid w:val="57D8D18C"/>
    <w:rsid w:val="57E629AE"/>
    <w:rsid w:val="5CD99F8F"/>
    <w:rsid w:val="5D6B5F2E"/>
    <w:rsid w:val="62E339E3"/>
    <w:rsid w:val="699EFA3A"/>
    <w:rsid w:val="6E1D1152"/>
    <w:rsid w:val="78179649"/>
    <w:rsid w:val="78929822"/>
    <w:rsid w:val="7929590A"/>
    <w:rsid w:val="7B58DBEB"/>
    <w:rsid w:val="7CD3A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C9C43C3D-2433-46DB-85B6-1E8A140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AC0829"/>
    <w:rPr>
      <w:color w:val="0563C1" w:themeColor="hyperlink"/>
      <w:u w:val="single"/>
    </w:rPr>
  </w:style>
  <w:style w:type="character" w:styleId="CommentReference">
    <w:name w:val="annotation reference"/>
    <w:basedOn w:val="DefaultParagraphFont"/>
    <w:uiPriority w:val="99"/>
    <w:semiHidden/>
    <w:unhideWhenUsed/>
    <w:rsid w:val="009D6153"/>
    <w:rPr>
      <w:sz w:val="16"/>
      <w:szCs w:val="16"/>
    </w:rPr>
  </w:style>
  <w:style w:type="paragraph" w:styleId="CommentText">
    <w:name w:val="annotation text"/>
    <w:basedOn w:val="Normal"/>
    <w:link w:val="CommentTextChar"/>
    <w:uiPriority w:val="99"/>
    <w:unhideWhenUsed/>
    <w:rsid w:val="009D6153"/>
    <w:pPr>
      <w:spacing w:line="240" w:lineRule="auto"/>
    </w:pPr>
    <w:rPr>
      <w:sz w:val="20"/>
      <w:szCs w:val="20"/>
    </w:rPr>
  </w:style>
  <w:style w:type="character" w:customStyle="1" w:styleId="CommentTextChar">
    <w:name w:val="Comment Text Char"/>
    <w:basedOn w:val="DefaultParagraphFont"/>
    <w:link w:val="CommentText"/>
    <w:uiPriority w:val="99"/>
    <w:rsid w:val="009D6153"/>
    <w:rPr>
      <w:sz w:val="20"/>
      <w:szCs w:val="20"/>
      <w:lang w:val="en-GB"/>
    </w:rPr>
  </w:style>
  <w:style w:type="paragraph" w:styleId="CommentSubject">
    <w:name w:val="annotation subject"/>
    <w:basedOn w:val="CommentText"/>
    <w:next w:val="CommentText"/>
    <w:link w:val="CommentSubjectChar"/>
    <w:uiPriority w:val="99"/>
    <w:semiHidden/>
    <w:unhideWhenUsed/>
    <w:rsid w:val="009D6153"/>
    <w:rPr>
      <w:b/>
      <w:bCs/>
    </w:rPr>
  </w:style>
  <w:style w:type="character" w:customStyle="1" w:styleId="CommentSubjectChar">
    <w:name w:val="Comment Subject Char"/>
    <w:basedOn w:val="CommentTextChar"/>
    <w:link w:val="CommentSubject"/>
    <w:uiPriority w:val="99"/>
    <w:semiHidden/>
    <w:rsid w:val="009D6153"/>
    <w:rPr>
      <w:b/>
      <w:bCs/>
      <w:sz w:val="20"/>
      <w:szCs w:val="20"/>
      <w:lang w:val="en-GB"/>
    </w:rPr>
  </w:style>
  <w:style w:type="character" w:styleId="UnresolvedMention">
    <w:name w:val="Unresolved Mention"/>
    <w:basedOn w:val="DefaultParagraphFont"/>
    <w:uiPriority w:val="99"/>
    <w:unhideWhenUsed/>
    <w:rsid w:val="00C80F4C"/>
    <w:rPr>
      <w:color w:val="605E5C"/>
      <w:shd w:val="clear" w:color="auto" w:fill="E1DFDD"/>
    </w:rPr>
  </w:style>
  <w:style w:type="paragraph" w:styleId="NormalWeb">
    <w:name w:val="Normal (Web)"/>
    <w:basedOn w:val="Normal"/>
    <w:uiPriority w:val="99"/>
    <w:semiHidden/>
    <w:unhideWhenUsed/>
    <w:rsid w:val="00A303B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FootnoteText">
    <w:name w:val="footnote text"/>
    <w:basedOn w:val="Normal"/>
    <w:link w:val="FootnoteTextChar"/>
    <w:uiPriority w:val="99"/>
    <w:semiHidden/>
    <w:unhideWhenUsed/>
    <w:rsid w:val="00591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6E4"/>
    <w:rPr>
      <w:sz w:val="20"/>
      <w:szCs w:val="20"/>
      <w:lang w:val="en-GB"/>
    </w:rPr>
  </w:style>
  <w:style w:type="character" w:styleId="FootnoteReference">
    <w:name w:val="footnote reference"/>
    <w:basedOn w:val="DefaultParagraphFont"/>
    <w:uiPriority w:val="99"/>
    <w:semiHidden/>
    <w:unhideWhenUsed/>
    <w:rsid w:val="005916E4"/>
    <w:rPr>
      <w:vertAlign w:val="superscript"/>
    </w:rPr>
  </w:style>
  <w:style w:type="character" w:styleId="FollowedHyperlink">
    <w:name w:val="FollowedHyperlink"/>
    <w:basedOn w:val="DefaultParagraphFont"/>
    <w:uiPriority w:val="99"/>
    <w:semiHidden/>
    <w:unhideWhenUsed/>
    <w:rsid w:val="008C5B25"/>
    <w:rPr>
      <w:color w:val="954F72" w:themeColor="followedHyperlink"/>
      <w:u w:val="single"/>
    </w:rPr>
  </w:style>
  <w:style w:type="character" w:styleId="Mention">
    <w:name w:val="Mention"/>
    <w:basedOn w:val="DefaultParagraphFont"/>
    <w:uiPriority w:val="99"/>
    <w:unhideWhenUsed/>
    <w:rsid w:val="00902D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58">
      <w:bodyDiv w:val="1"/>
      <w:marLeft w:val="0"/>
      <w:marRight w:val="0"/>
      <w:marTop w:val="0"/>
      <w:marBottom w:val="0"/>
      <w:divBdr>
        <w:top w:val="none" w:sz="0" w:space="0" w:color="auto"/>
        <w:left w:val="none" w:sz="0" w:space="0" w:color="auto"/>
        <w:bottom w:val="none" w:sz="0" w:space="0" w:color="auto"/>
        <w:right w:val="none" w:sz="0" w:space="0" w:color="auto"/>
      </w:divBdr>
    </w:div>
    <w:div w:id="71199875">
      <w:bodyDiv w:val="1"/>
      <w:marLeft w:val="0"/>
      <w:marRight w:val="0"/>
      <w:marTop w:val="0"/>
      <w:marBottom w:val="0"/>
      <w:divBdr>
        <w:top w:val="none" w:sz="0" w:space="0" w:color="auto"/>
        <w:left w:val="none" w:sz="0" w:space="0" w:color="auto"/>
        <w:bottom w:val="none" w:sz="0" w:space="0" w:color="auto"/>
        <w:right w:val="none" w:sz="0" w:space="0" w:color="auto"/>
      </w:divBdr>
      <w:divsChild>
        <w:div w:id="1906451111">
          <w:marLeft w:val="0"/>
          <w:marRight w:val="0"/>
          <w:marTop w:val="0"/>
          <w:marBottom w:val="0"/>
          <w:divBdr>
            <w:top w:val="none" w:sz="0" w:space="0" w:color="auto"/>
            <w:left w:val="none" w:sz="0" w:space="0" w:color="auto"/>
            <w:bottom w:val="none" w:sz="0" w:space="0" w:color="auto"/>
            <w:right w:val="none" w:sz="0" w:space="0" w:color="auto"/>
          </w:divBdr>
          <w:divsChild>
            <w:div w:id="1693263217">
              <w:marLeft w:val="0"/>
              <w:marRight w:val="0"/>
              <w:marTop w:val="0"/>
              <w:marBottom w:val="0"/>
              <w:divBdr>
                <w:top w:val="none" w:sz="0" w:space="0" w:color="auto"/>
                <w:left w:val="none" w:sz="0" w:space="0" w:color="auto"/>
                <w:bottom w:val="none" w:sz="0" w:space="0" w:color="auto"/>
                <w:right w:val="none" w:sz="0" w:space="0" w:color="auto"/>
              </w:divBdr>
              <w:divsChild>
                <w:div w:id="12464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028">
      <w:bodyDiv w:val="1"/>
      <w:marLeft w:val="0"/>
      <w:marRight w:val="0"/>
      <w:marTop w:val="0"/>
      <w:marBottom w:val="0"/>
      <w:divBdr>
        <w:top w:val="none" w:sz="0" w:space="0" w:color="auto"/>
        <w:left w:val="none" w:sz="0" w:space="0" w:color="auto"/>
        <w:bottom w:val="none" w:sz="0" w:space="0" w:color="auto"/>
        <w:right w:val="none" w:sz="0" w:space="0" w:color="auto"/>
      </w:divBdr>
      <w:divsChild>
        <w:div w:id="2029788382">
          <w:marLeft w:val="0"/>
          <w:marRight w:val="0"/>
          <w:marTop w:val="0"/>
          <w:marBottom w:val="0"/>
          <w:divBdr>
            <w:top w:val="none" w:sz="0" w:space="0" w:color="auto"/>
            <w:left w:val="none" w:sz="0" w:space="0" w:color="auto"/>
            <w:bottom w:val="none" w:sz="0" w:space="0" w:color="auto"/>
            <w:right w:val="none" w:sz="0" w:space="0" w:color="auto"/>
          </w:divBdr>
          <w:divsChild>
            <w:div w:id="2004966453">
              <w:marLeft w:val="0"/>
              <w:marRight w:val="0"/>
              <w:marTop w:val="0"/>
              <w:marBottom w:val="0"/>
              <w:divBdr>
                <w:top w:val="none" w:sz="0" w:space="0" w:color="auto"/>
                <w:left w:val="none" w:sz="0" w:space="0" w:color="auto"/>
                <w:bottom w:val="none" w:sz="0" w:space="0" w:color="auto"/>
                <w:right w:val="none" w:sz="0" w:space="0" w:color="auto"/>
              </w:divBdr>
              <w:divsChild>
                <w:div w:id="239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8738">
      <w:bodyDiv w:val="1"/>
      <w:marLeft w:val="0"/>
      <w:marRight w:val="0"/>
      <w:marTop w:val="0"/>
      <w:marBottom w:val="0"/>
      <w:divBdr>
        <w:top w:val="none" w:sz="0" w:space="0" w:color="auto"/>
        <w:left w:val="none" w:sz="0" w:space="0" w:color="auto"/>
        <w:bottom w:val="none" w:sz="0" w:space="0" w:color="auto"/>
        <w:right w:val="none" w:sz="0" w:space="0" w:color="auto"/>
      </w:divBdr>
      <w:divsChild>
        <w:div w:id="1028675707">
          <w:marLeft w:val="0"/>
          <w:marRight w:val="0"/>
          <w:marTop w:val="0"/>
          <w:marBottom w:val="0"/>
          <w:divBdr>
            <w:top w:val="none" w:sz="0" w:space="0" w:color="auto"/>
            <w:left w:val="none" w:sz="0" w:space="0" w:color="auto"/>
            <w:bottom w:val="none" w:sz="0" w:space="0" w:color="auto"/>
            <w:right w:val="none" w:sz="0" w:space="0" w:color="auto"/>
          </w:divBdr>
          <w:divsChild>
            <w:div w:id="15544482">
              <w:marLeft w:val="0"/>
              <w:marRight w:val="0"/>
              <w:marTop w:val="0"/>
              <w:marBottom w:val="0"/>
              <w:divBdr>
                <w:top w:val="none" w:sz="0" w:space="0" w:color="auto"/>
                <w:left w:val="none" w:sz="0" w:space="0" w:color="auto"/>
                <w:bottom w:val="none" w:sz="0" w:space="0" w:color="auto"/>
                <w:right w:val="none" w:sz="0" w:space="0" w:color="auto"/>
              </w:divBdr>
              <w:divsChild>
                <w:div w:id="1815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7440">
      <w:bodyDiv w:val="1"/>
      <w:marLeft w:val="0"/>
      <w:marRight w:val="0"/>
      <w:marTop w:val="0"/>
      <w:marBottom w:val="0"/>
      <w:divBdr>
        <w:top w:val="none" w:sz="0" w:space="0" w:color="auto"/>
        <w:left w:val="none" w:sz="0" w:space="0" w:color="auto"/>
        <w:bottom w:val="none" w:sz="0" w:space="0" w:color="auto"/>
        <w:right w:val="none" w:sz="0" w:space="0" w:color="auto"/>
      </w:divBdr>
      <w:divsChild>
        <w:div w:id="584414172">
          <w:marLeft w:val="0"/>
          <w:marRight w:val="0"/>
          <w:marTop w:val="0"/>
          <w:marBottom w:val="0"/>
          <w:divBdr>
            <w:top w:val="none" w:sz="0" w:space="0" w:color="auto"/>
            <w:left w:val="none" w:sz="0" w:space="0" w:color="auto"/>
            <w:bottom w:val="none" w:sz="0" w:space="0" w:color="auto"/>
            <w:right w:val="none" w:sz="0" w:space="0" w:color="auto"/>
          </w:divBdr>
          <w:divsChild>
            <w:div w:id="532157692">
              <w:marLeft w:val="0"/>
              <w:marRight w:val="0"/>
              <w:marTop w:val="0"/>
              <w:marBottom w:val="0"/>
              <w:divBdr>
                <w:top w:val="none" w:sz="0" w:space="0" w:color="auto"/>
                <w:left w:val="none" w:sz="0" w:space="0" w:color="auto"/>
                <w:bottom w:val="none" w:sz="0" w:space="0" w:color="auto"/>
                <w:right w:val="none" w:sz="0" w:space="0" w:color="auto"/>
              </w:divBdr>
            </w:div>
            <w:div w:id="1074359394">
              <w:marLeft w:val="0"/>
              <w:marRight w:val="0"/>
              <w:marTop w:val="0"/>
              <w:marBottom w:val="0"/>
              <w:divBdr>
                <w:top w:val="none" w:sz="0" w:space="0" w:color="auto"/>
                <w:left w:val="none" w:sz="0" w:space="0" w:color="auto"/>
                <w:bottom w:val="none" w:sz="0" w:space="0" w:color="auto"/>
                <w:right w:val="none" w:sz="0" w:space="0" w:color="auto"/>
              </w:divBdr>
            </w:div>
            <w:div w:id="1816214189">
              <w:marLeft w:val="0"/>
              <w:marRight w:val="0"/>
              <w:marTop w:val="0"/>
              <w:marBottom w:val="0"/>
              <w:divBdr>
                <w:top w:val="none" w:sz="0" w:space="0" w:color="auto"/>
                <w:left w:val="none" w:sz="0" w:space="0" w:color="auto"/>
                <w:bottom w:val="none" w:sz="0" w:space="0" w:color="auto"/>
                <w:right w:val="none" w:sz="0" w:space="0" w:color="auto"/>
              </w:divBdr>
              <w:divsChild>
                <w:div w:id="465051796">
                  <w:marLeft w:val="0"/>
                  <w:marRight w:val="0"/>
                  <w:marTop w:val="0"/>
                  <w:marBottom w:val="0"/>
                  <w:divBdr>
                    <w:top w:val="none" w:sz="0" w:space="0" w:color="auto"/>
                    <w:left w:val="none" w:sz="0" w:space="0" w:color="auto"/>
                    <w:bottom w:val="none" w:sz="0" w:space="0" w:color="auto"/>
                    <w:right w:val="none" w:sz="0" w:space="0" w:color="auto"/>
                  </w:divBdr>
                </w:div>
              </w:divsChild>
            </w:div>
            <w:div w:id="2133554553">
              <w:marLeft w:val="0"/>
              <w:marRight w:val="0"/>
              <w:marTop w:val="0"/>
              <w:marBottom w:val="0"/>
              <w:divBdr>
                <w:top w:val="none" w:sz="0" w:space="0" w:color="auto"/>
                <w:left w:val="none" w:sz="0" w:space="0" w:color="auto"/>
                <w:bottom w:val="none" w:sz="0" w:space="0" w:color="auto"/>
                <w:right w:val="none" w:sz="0" w:space="0" w:color="auto"/>
              </w:divBdr>
            </w:div>
          </w:divsChild>
        </w:div>
        <w:div w:id="718436251">
          <w:marLeft w:val="0"/>
          <w:marRight w:val="0"/>
          <w:marTop w:val="0"/>
          <w:marBottom w:val="0"/>
          <w:divBdr>
            <w:top w:val="none" w:sz="0" w:space="0" w:color="auto"/>
            <w:left w:val="none" w:sz="0" w:space="0" w:color="auto"/>
            <w:bottom w:val="none" w:sz="0" w:space="0" w:color="auto"/>
            <w:right w:val="none" w:sz="0" w:space="0" w:color="auto"/>
          </w:divBdr>
          <w:divsChild>
            <w:div w:id="409347185">
              <w:marLeft w:val="0"/>
              <w:marRight w:val="0"/>
              <w:marTop w:val="0"/>
              <w:marBottom w:val="0"/>
              <w:divBdr>
                <w:top w:val="none" w:sz="0" w:space="0" w:color="auto"/>
                <w:left w:val="none" w:sz="0" w:space="0" w:color="auto"/>
                <w:bottom w:val="none" w:sz="0" w:space="0" w:color="auto"/>
                <w:right w:val="none" w:sz="0" w:space="0" w:color="auto"/>
              </w:divBdr>
            </w:div>
            <w:div w:id="533542260">
              <w:marLeft w:val="0"/>
              <w:marRight w:val="0"/>
              <w:marTop w:val="0"/>
              <w:marBottom w:val="0"/>
              <w:divBdr>
                <w:top w:val="none" w:sz="0" w:space="0" w:color="auto"/>
                <w:left w:val="none" w:sz="0" w:space="0" w:color="auto"/>
                <w:bottom w:val="none" w:sz="0" w:space="0" w:color="auto"/>
                <w:right w:val="none" w:sz="0" w:space="0" w:color="auto"/>
              </w:divBdr>
              <w:divsChild>
                <w:div w:id="188416584">
                  <w:marLeft w:val="0"/>
                  <w:marRight w:val="0"/>
                  <w:marTop w:val="0"/>
                  <w:marBottom w:val="0"/>
                  <w:divBdr>
                    <w:top w:val="none" w:sz="0" w:space="0" w:color="auto"/>
                    <w:left w:val="none" w:sz="0" w:space="0" w:color="auto"/>
                    <w:bottom w:val="none" w:sz="0" w:space="0" w:color="auto"/>
                    <w:right w:val="none" w:sz="0" w:space="0" w:color="auto"/>
                  </w:divBdr>
                </w:div>
              </w:divsChild>
            </w:div>
            <w:div w:id="1561018346">
              <w:marLeft w:val="0"/>
              <w:marRight w:val="0"/>
              <w:marTop w:val="0"/>
              <w:marBottom w:val="0"/>
              <w:divBdr>
                <w:top w:val="none" w:sz="0" w:space="0" w:color="auto"/>
                <w:left w:val="none" w:sz="0" w:space="0" w:color="auto"/>
                <w:bottom w:val="none" w:sz="0" w:space="0" w:color="auto"/>
                <w:right w:val="none" w:sz="0" w:space="0" w:color="auto"/>
              </w:divBdr>
            </w:div>
          </w:divsChild>
        </w:div>
        <w:div w:id="2097508722">
          <w:marLeft w:val="0"/>
          <w:marRight w:val="0"/>
          <w:marTop w:val="0"/>
          <w:marBottom w:val="0"/>
          <w:divBdr>
            <w:top w:val="none" w:sz="0" w:space="0" w:color="auto"/>
            <w:left w:val="none" w:sz="0" w:space="0" w:color="auto"/>
            <w:bottom w:val="none" w:sz="0" w:space="0" w:color="auto"/>
            <w:right w:val="none" w:sz="0" w:space="0" w:color="auto"/>
          </w:divBdr>
          <w:divsChild>
            <w:div w:id="1574390418">
              <w:marLeft w:val="0"/>
              <w:marRight w:val="0"/>
              <w:marTop w:val="0"/>
              <w:marBottom w:val="0"/>
              <w:divBdr>
                <w:top w:val="none" w:sz="0" w:space="0" w:color="auto"/>
                <w:left w:val="none" w:sz="0" w:space="0" w:color="auto"/>
                <w:bottom w:val="none" w:sz="0" w:space="0" w:color="auto"/>
                <w:right w:val="none" w:sz="0" w:space="0" w:color="auto"/>
              </w:divBdr>
              <w:divsChild>
                <w:div w:id="972324268">
                  <w:marLeft w:val="0"/>
                  <w:marRight w:val="0"/>
                  <w:marTop w:val="0"/>
                  <w:marBottom w:val="0"/>
                  <w:divBdr>
                    <w:top w:val="none" w:sz="0" w:space="0" w:color="auto"/>
                    <w:left w:val="none" w:sz="0" w:space="0" w:color="auto"/>
                    <w:bottom w:val="none" w:sz="0" w:space="0" w:color="auto"/>
                    <w:right w:val="none" w:sz="0" w:space="0" w:color="auto"/>
                  </w:divBdr>
                </w:div>
              </w:divsChild>
            </w:div>
            <w:div w:id="1622030445">
              <w:marLeft w:val="0"/>
              <w:marRight w:val="0"/>
              <w:marTop w:val="0"/>
              <w:marBottom w:val="0"/>
              <w:divBdr>
                <w:top w:val="none" w:sz="0" w:space="0" w:color="auto"/>
                <w:left w:val="none" w:sz="0" w:space="0" w:color="auto"/>
                <w:bottom w:val="none" w:sz="0" w:space="0" w:color="auto"/>
                <w:right w:val="none" w:sz="0" w:space="0" w:color="auto"/>
              </w:divBdr>
            </w:div>
            <w:div w:id="1839878089">
              <w:marLeft w:val="0"/>
              <w:marRight w:val="0"/>
              <w:marTop w:val="0"/>
              <w:marBottom w:val="0"/>
              <w:divBdr>
                <w:top w:val="none" w:sz="0" w:space="0" w:color="auto"/>
                <w:left w:val="none" w:sz="0" w:space="0" w:color="auto"/>
                <w:bottom w:val="none" w:sz="0" w:space="0" w:color="auto"/>
                <w:right w:val="none" w:sz="0" w:space="0" w:color="auto"/>
              </w:divBdr>
            </w:div>
            <w:div w:id="1946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9138">
      <w:bodyDiv w:val="1"/>
      <w:marLeft w:val="0"/>
      <w:marRight w:val="0"/>
      <w:marTop w:val="0"/>
      <w:marBottom w:val="0"/>
      <w:divBdr>
        <w:top w:val="none" w:sz="0" w:space="0" w:color="auto"/>
        <w:left w:val="none" w:sz="0" w:space="0" w:color="auto"/>
        <w:bottom w:val="none" w:sz="0" w:space="0" w:color="auto"/>
        <w:right w:val="none" w:sz="0" w:space="0" w:color="auto"/>
      </w:divBdr>
    </w:div>
    <w:div w:id="675619544">
      <w:bodyDiv w:val="1"/>
      <w:marLeft w:val="0"/>
      <w:marRight w:val="0"/>
      <w:marTop w:val="0"/>
      <w:marBottom w:val="0"/>
      <w:divBdr>
        <w:top w:val="none" w:sz="0" w:space="0" w:color="auto"/>
        <w:left w:val="none" w:sz="0" w:space="0" w:color="auto"/>
        <w:bottom w:val="none" w:sz="0" w:space="0" w:color="auto"/>
        <w:right w:val="none" w:sz="0" w:space="0" w:color="auto"/>
      </w:divBdr>
      <w:divsChild>
        <w:div w:id="1837264271">
          <w:marLeft w:val="0"/>
          <w:marRight w:val="0"/>
          <w:marTop w:val="0"/>
          <w:marBottom w:val="0"/>
          <w:divBdr>
            <w:top w:val="none" w:sz="0" w:space="0" w:color="auto"/>
            <w:left w:val="none" w:sz="0" w:space="0" w:color="auto"/>
            <w:bottom w:val="none" w:sz="0" w:space="0" w:color="auto"/>
            <w:right w:val="none" w:sz="0" w:space="0" w:color="auto"/>
          </w:divBdr>
          <w:divsChild>
            <w:div w:id="1285189476">
              <w:marLeft w:val="0"/>
              <w:marRight w:val="0"/>
              <w:marTop w:val="0"/>
              <w:marBottom w:val="0"/>
              <w:divBdr>
                <w:top w:val="none" w:sz="0" w:space="0" w:color="auto"/>
                <w:left w:val="none" w:sz="0" w:space="0" w:color="auto"/>
                <w:bottom w:val="none" w:sz="0" w:space="0" w:color="auto"/>
                <w:right w:val="none" w:sz="0" w:space="0" w:color="auto"/>
              </w:divBdr>
              <w:divsChild>
                <w:div w:id="1409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7976">
      <w:bodyDiv w:val="1"/>
      <w:marLeft w:val="0"/>
      <w:marRight w:val="0"/>
      <w:marTop w:val="0"/>
      <w:marBottom w:val="0"/>
      <w:divBdr>
        <w:top w:val="none" w:sz="0" w:space="0" w:color="auto"/>
        <w:left w:val="none" w:sz="0" w:space="0" w:color="auto"/>
        <w:bottom w:val="none" w:sz="0" w:space="0" w:color="auto"/>
        <w:right w:val="none" w:sz="0" w:space="0" w:color="auto"/>
      </w:divBdr>
      <w:divsChild>
        <w:div w:id="1443039427">
          <w:marLeft w:val="0"/>
          <w:marRight w:val="0"/>
          <w:marTop w:val="0"/>
          <w:marBottom w:val="0"/>
          <w:divBdr>
            <w:top w:val="none" w:sz="0" w:space="0" w:color="auto"/>
            <w:left w:val="none" w:sz="0" w:space="0" w:color="auto"/>
            <w:bottom w:val="none" w:sz="0" w:space="0" w:color="auto"/>
            <w:right w:val="none" w:sz="0" w:space="0" w:color="auto"/>
          </w:divBdr>
          <w:divsChild>
            <w:div w:id="918171727">
              <w:marLeft w:val="0"/>
              <w:marRight w:val="0"/>
              <w:marTop w:val="0"/>
              <w:marBottom w:val="0"/>
              <w:divBdr>
                <w:top w:val="none" w:sz="0" w:space="0" w:color="auto"/>
                <w:left w:val="none" w:sz="0" w:space="0" w:color="auto"/>
                <w:bottom w:val="none" w:sz="0" w:space="0" w:color="auto"/>
                <w:right w:val="none" w:sz="0" w:space="0" w:color="auto"/>
              </w:divBdr>
              <w:divsChild>
                <w:div w:id="1798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3726">
      <w:bodyDiv w:val="1"/>
      <w:marLeft w:val="0"/>
      <w:marRight w:val="0"/>
      <w:marTop w:val="0"/>
      <w:marBottom w:val="0"/>
      <w:divBdr>
        <w:top w:val="none" w:sz="0" w:space="0" w:color="auto"/>
        <w:left w:val="none" w:sz="0" w:space="0" w:color="auto"/>
        <w:bottom w:val="none" w:sz="0" w:space="0" w:color="auto"/>
        <w:right w:val="none" w:sz="0" w:space="0" w:color="auto"/>
      </w:divBdr>
      <w:divsChild>
        <w:div w:id="118956458">
          <w:marLeft w:val="0"/>
          <w:marRight w:val="0"/>
          <w:marTop w:val="0"/>
          <w:marBottom w:val="0"/>
          <w:divBdr>
            <w:top w:val="none" w:sz="0" w:space="0" w:color="auto"/>
            <w:left w:val="none" w:sz="0" w:space="0" w:color="auto"/>
            <w:bottom w:val="none" w:sz="0" w:space="0" w:color="auto"/>
            <w:right w:val="none" w:sz="0" w:space="0" w:color="auto"/>
          </w:divBdr>
        </w:div>
        <w:div w:id="1111628706">
          <w:marLeft w:val="0"/>
          <w:marRight w:val="0"/>
          <w:marTop w:val="0"/>
          <w:marBottom w:val="0"/>
          <w:divBdr>
            <w:top w:val="none" w:sz="0" w:space="0" w:color="auto"/>
            <w:left w:val="none" w:sz="0" w:space="0" w:color="auto"/>
            <w:bottom w:val="none" w:sz="0" w:space="0" w:color="auto"/>
            <w:right w:val="none" w:sz="0" w:space="0" w:color="auto"/>
          </w:divBdr>
          <w:divsChild>
            <w:div w:id="385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0919">
      <w:bodyDiv w:val="1"/>
      <w:marLeft w:val="0"/>
      <w:marRight w:val="0"/>
      <w:marTop w:val="0"/>
      <w:marBottom w:val="0"/>
      <w:divBdr>
        <w:top w:val="none" w:sz="0" w:space="0" w:color="auto"/>
        <w:left w:val="none" w:sz="0" w:space="0" w:color="auto"/>
        <w:bottom w:val="none" w:sz="0" w:space="0" w:color="auto"/>
        <w:right w:val="none" w:sz="0" w:space="0" w:color="auto"/>
      </w:divBdr>
      <w:divsChild>
        <w:div w:id="21899815">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346370184">
          <w:marLeft w:val="0"/>
          <w:marRight w:val="0"/>
          <w:marTop w:val="0"/>
          <w:marBottom w:val="0"/>
          <w:divBdr>
            <w:top w:val="none" w:sz="0" w:space="0" w:color="auto"/>
            <w:left w:val="none" w:sz="0" w:space="0" w:color="auto"/>
            <w:bottom w:val="none" w:sz="0" w:space="0" w:color="auto"/>
            <w:right w:val="none" w:sz="0" w:space="0" w:color="auto"/>
          </w:divBdr>
        </w:div>
        <w:div w:id="55812923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 w:id="815268141">
          <w:marLeft w:val="0"/>
          <w:marRight w:val="0"/>
          <w:marTop w:val="0"/>
          <w:marBottom w:val="0"/>
          <w:divBdr>
            <w:top w:val="none" w:sz="0" w:space="0" w:color="auto"/>
            <w:left w:val="none" w:sz="0" w:space="0" w:color="auto"/>
            <w:bottom w:val="none" w:sz="0" w:space="0" w:color="auto"/>
            <w:right w:val="none" w:sz="0" w:space="0" w:color="auto"/>
          </w:divBdr>
        </w:div>
        <w:div w:id="820384378">
          <w:marLeft w:val="0"/>
          <w:marRight w:val="0"/>
          <w:marTop w:val="0"/>
          <w:marBottom w:val="0"/>
          <w:divBdr>
            <w:top w:val="none" w:sz="0" w:space="0" w:color="auto"/>
            <w:left w:val="none" w:sz="0" w:space="0" w:color="auto"/>
            <w:bottom w:val="none" w:sz="0" w:space="0" w:color="auto"/>
            <w:right w:val="none" w:sz="0" w:space="0" w:color="auto"/>
          </w:divBdr>
        </w:div>
        <w:div w:id="1016613363">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115296255">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29339703">
          <w:marLeft w:val="0"/>
          <w:marRight w:val="0"/>
          <w:marTop w:val="0"/>
          <w:marBottom w:val="0"/>
          <w:divBdr>
            <w:top w:val="none" w:sz="0" w:space="0" w:color="auto"/>
            <w:left w:val="none" w:sz="0" w:space="0" w:color="auto"/>
            <w:bottom w:val="none" w:sz="0" w:space="0" w:color="auto"/>
            <w:right w:val="none" w:sz="0" w:space="0" w:color="auto"/>
          </w:divBdr>
        </w:div>
        <w:div w:id="1243101266">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1877697099">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sChild>
    </w:div>
    <w:div w:id="889923091">
      <w:bodyDiv w:val="1"/>
      <w:marLeft w:val="0"/>
      <w:marRight w:val="0"/>
      <w:marTop w:val="0"/>
      <w:marBottom w:val="0"/>
      <w:divBdr>
        <w:top w:val="none" w:sz="0" w:space="0" w:color="auto"/>
        <w:left w:val="none" w:sz="0" w:space="0" w:color="auto"/>
        <w:bottom w:val="none" w:sz="0" w:space="0" w:color="auto"/>
        <w:right w:val="none" w:sz="0" w:space="0" w:color="auto"/>
      </w:divBdr>
      <w:divsChild>
        <w:div w:id="529756056">
          <w:marLeft w:val="0"/>
          <w:marRight w:val="0"/>
          <w:marTop w:val="0"/>
          <w:marBottom w:val="0"/>
          <w:divBdr>
            <w:top w:val="none" w:sz="0" w:space="0" w:color="auto"/>
            <w:left w:val="none" w:sz="0" w:space="0" w:color="auto"/>
            <w:bottom w:val="none" w:sz="0" w:space="0" w:color="auto"/>
            <w:right w:val="none" w:sz="0" w:space="0" w:color="auto"/>
          </w:divBdr>
          <w:divsChild>
            <w:div w:id="563639969">
              <w:marLeft w:val="0"/>
              <w:marRight w:val="0"/>
              <w:marTop w:val="0"/>
              <w:marBottom w:val="0"/>
              <w:divBdr>
                <w:top w:val="none" w:sz="0" w:space="0" w:color="auto"/>
                <w:left w:val="none" w:sz="0" w:space="0" w:color="auto"/>
                <w:bottom w:val="none" w:sz="0" w:space="0" w:color="auto"/>
                <w:right w:val="none" w:sz="0" w:space="0" w:color="auto"/>
              </w:divBdr>
              <w:divsChild>
                <w:div w:id="6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1350">
      <w:bodyDiv w:val="1"/>
      <w:marLeft w:val="0"/>
      <w:marRight w:val="0"/>
      <w:marTop w:val="0"/>
      <w:marBottom w:val="0"/>
      <w:divBdr>
        <w:top w:val="none" w:sz="0" w:space="0" w:color="auto"/>
        <w:left w:val="none" w:sz="0" w:space="0" w:color="auto"/>
        <w:bottom w:val="none" w:sz="0" w:space="0" w:color="auto"/>
        <w:right w:val="none" w:sz="0" w:space="0" w:color="auto"/>
      </w:divBdr>
    </w:div>
    <w:div w:id="1151629996">
      <w:bodyDiv w:val="1"/>
      <w:marLeft w:val="0"/>
      <w:marRight w:val="0"/>
      <w:marTop w:val="0"/>
      <w:marBottom w:val="0"/>
      <w:divBdr>
        <w:top w:val="none" w:sz="0" w:space="0" w:color="auto"/>
        <w:left w:val="none" w:sz="0" w:space="0" w:color="auto"/>
        <w:bottom w:val="none" w:sz="0" w:space="0" w:color="auto"/>
        <w:right w:val="none" w:sz="0" w:space="0" w:color="auto"/>
      </w:divBdr>
      <w:divsChild>
        <w:div w:id="115149191">
          <w:marLeft w:val="0"/>
          <w:marRight w:val="0"/>
          <w:marTop w:val="0"/>
          <w:marBottom w:val="0"/>
          <w:divBdr>
            <w:top w:val="none" w:sz="0" w:space="0" w:color="auto"/>
            <w:left w:val="none" w:sz="0" w:space="0" w:color="auto"/>
            <w:bottom w:val="none" w:sz="0" w:space="0" w:color="auto"/>
            <w:right w:val="none" w:sz="0" w:space="0" w:color="auto"/>
          </w:divBdr>
        </w:div>
        <w:div w:id="714736134">
          <w:marLeft w:val="0"/>
          <w:marRight w:val="0"/>
          <w:marTop w:val="0"/>
          <w:marBottom w:val="0"/>
          <w:divBdr>
            <w:top w:val="none" w:sz="0" w:space="0" w:color="auto"/>
            <w:left w:val="none" w:sz="0" w:space="0" w:color="auto"/>
            <w:bottom w:val="none" w:sz="0" w:space="0" w:color="auto"/>
            <w:right w:val="none" w:sz="0" w:space="0" w:color="auto"/>
          </w:divBdr>
        </w:div>
        <w:div w:id="1101679583">
          <w:marLeft w:val="0"/>
          <w:marRight w:val="0"/>
          <w:marTop w:val="0"/>
          <w:marBottom w:val="0"/>
          <w:divBdr>
            <w:top w:val="none" w:sz="0" w:space="0" w:color="auto"/>
            <w:left w:val="none" w:sz="0" w:space="0" w:color="auto"/>
            <w:bottom w:val="none" w:sz="0" w:space="0" w:color="auto"/>
            <w:right w:val="none" w:sz="0" w:space="0" w:color="auto"/>
          </w:divBdr>
        </w:div>
        <w:div w:id="1108503650">
          <w:marLeft w:val="0"/>
          <w:marRight w:val="0"/>
          <w:marTop w:val="0"/>
          <w:marBottom w:val="0"/>
          <w:divBdr>
            <w:top w:val="none" w:sz="0" w:space="0" w:color="auto"/>
            <w:left w:val="none" w:sz="0" w:space="0" w:color="auto"/>
            <w:bottom w:val="none" w:sz="0" w:space="0" w:color="auto"/>
            <w:right w:val="none" w:sz="0" w:space="0" w:color="auto"/>
          </w:divBdr>
        </w:div>
        <w:div w:id="1153257888">
          <w:marLeft w:val="0"/>
          <w:marRight w:val="0"/>
          <w:marTop w:val="0"/>
          <w:marBottom w:val="0"/>
          <w:divBdr>
            <w:top w:val="none" w:sz="0" w:space="0" w:color="auto"/>
            <w:left w:val="none" w:sz="0" w:space="0" w:color="auto"/>
            <w:bottom w:val="none" w:sz="0" w:space="0" w:color="auto"/>
            <w:right w:val="none" w:sz="0" w:space="0" w:color="auto"/>
          </w:divBdr>
        </w:div>
        <w:div w:id="1868564850">
          <w:marLeft w:val="0"/>
          <w:marRight w:val="0"/>
          <w:marTop w:val="0"/>
          <w:marBottom w:val="0"/>
          <w:divBdr>
            <w:top w:val="none" w:sz="0" w:space="0" w:color="auto"/>
            <w:left w:val="none" w:sz="0" w:space="0" w:color="auto"/>
            <w:bottom w:val="none" w:sz="0" w:space="0" w:color="auto"/>
            <w:right w:val="none" w:sz="0" w:space="0" w:color="auto"/>
          </w:divBdr>
        </w:div>
        <w:div w:id="1942758681">
          <w:marLeft w:val="0"/>
          <w:marRight w:val="0"/>
          <w:marTop w:val="0"/>
          <w:marBottom w:val="0"/>
          <w:divBdr>
            <w:top w:val="none" w:sz="0" w:space="0" w:color="auto"/>
            <w:left w:val="none" w:sz="0" w:space="0" w:color="auto"/>
            <w:bottom w:val="none" w:sz="0" w:space="0" w:color="auto"/>
            <w:right w:val="none" w:sz="0" w:space="0" w:color="auto"/>
          </w:divBdr>
        </w:div>
        <w:div w:id="2134785801">
          <w:marLeft w:val="0"/>
          <w:marRight w:val="0"/>
          <w:marTop w:val="0"/>
          <w:marBottom w:val="0"/>
          <w:divBdr>
            <w:top w:val="none" w:sz="0" w:space="0" w:color="auto"/>
            <w:left w:val="none" w:sz="0" w:space="0" w:color="auto"/>
            <w:bottom w:val="none" w:sz="0" w:space="0" w:color="auto"/>
            <w:right w:val="none" w:sz="0" w:space="0" w:color="auto"/>
          </w:divBdr>
        </w:div>
      </w:divsChild>
    </w:div>
    <w:div w:id="1162618664">
      <w:bodyDiv w:val="1"/>
      <w:marLeft w:val="0"/>
      <w:marRight w:val="0"/>
      <w:marTop w:val="0"/>
      <w:marBottom w:val="0"/>
      <w:divBdr>
        <w:top w:val="none" w:sz="0" w:space="0" w:color="auto"/>
        <w:left w:val="none" w:sz="0" w:space="0" w:color="auto"/>
        <w:bottom w:val="none" w:sz="0" w:space="0" w:color="auto"/>
        <w:right w:val="none" w:sz="0" w:space="0" w:color="auto"/>
      </w:divBdr>
      <w:divsChild>
        <w:div w:id="2063747973">
          <w:marLeft w:val="0"/>
          <w:marRight w:val="0"/>
          <w:marTop w:val="0"/>
          <w:marBottom w:val="0"/>
          <w:divBdr>
            <w:top w:val="none" w:sz="0" w:space="0" w:color="auto"/>
            <w:left w:val="none" w:sz="0" w:space="0" w:color="auto"/>
            <w:bottom w:val="none" w:sz="0" w:space="0" w:color="auto"/>
            <w:right w:val="none" w:sz="0" w:space="0" w:color="auto"/>
          </w:divBdr>
          <w:divsChild>
            <w:div w:id="65689035">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184">
      <w:bodyDiv w:val="1"/>
      <w:marLeft w:val="0"/>
      <w:marRight w:val="0"/>
      <w:marTop w:val="0"/>
      <w:marBottom w:val="0"/>
      <w:divBdr>
        <w:top w:val="none" w:sz="0" w:space="0" w:color="auto"/>
        <w:left w:val="none" w:sz="0" w:space="0" w:color="auto"/>
        <w:bottom w:val="none" w:sz="0" w:space="0" w:color="auto"/>
        <w:right w:val="none" w:sz="0" w:space="0" w:color="auto"/>
      </w:divBdr>
      <w:divsChild>
        <w:div w:id="1605840527">
          <w:marLeft w:val="0"/>
          <w:marRight w:val="0"/>
          <w:marTop w:val="0"/>
          <w:marBottom w:val="0"/>
          <w:divBdr>
            <w:top w:val="none" w:sz="0" w:space="0" w:color="auto"/>
            <w:left w:val="none" w:sz="0" w:space="0" w:color="auto"/>
            <w:bottom w:val="none" w:sz="0" w:space="0" w:color="auto"/>
            <w:right w:val="none" w:sz="0" w:space="0" w:color="auto"/>
          </w:divBdr>
          <w:divsChild>
            <w:div w:id="2059889350">
              <w:marLeft w:val="0"/>
              <w:marRight w:val="0"/>
              <w:marTop w:val="0"/>
              <w:marBottom w:val="0"/>
              <w:divBdr>
                <w:top w:val="none" w:sz="0" w:space="0" w:color="auto"/>
                <w:left w:val="none" w:sz="0" w:space="0" w:color="auto"/>
                <w:bottom w:val="none" w:sz="0" w:space="0" w:color="auto"/>
                <w:right w:val="none" w:sz="0" w:space="0" w:color="auto"/>
              </w:divBdr>
              <w:divsChild>
                <w:div w:id="14782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484">
      <w:bodyDiv w:val="1"/>
      <w:marLeft w:val="0"/>
      <w:marRight w:val="0"/>
      <w:marTop w:val="0"/>
      <w:marBottom w:val="0"/>
      <w:divBdr>
        <w:top w:val="none" w:sz="0" w:space="0" w:color="auto"/>
        <w:left w:val="none" w:sz="0" w:space="0" w:color="auto"/>
        <w:bottom w:val="none" w:sz="0" w:space="0" w:color="auto"/>
        <w:right w:val="none" w:sz="0" w:space="0" w:color="auto"/>
      </w:divBdr>
      <w:divsChild>
        <w:div w:id="1173102880">
          <w:marLeft w:val="0"/>
          <w:marRight w:val="0"/>
          <w:marTop w:val="0"/>
          <w:marBottom w:val="0"/>
          <w:divBdr>
            <w:top w:val="none" w:sz="0" w:space="0" w:color="auto"/>
            <w:left w:val="none" w:sz="0" w:space="0" w:color="auto"/>
            <w:bottom w:val="none" w:sz="0" w:space="0" w:color="auto"/>
            <w:right w:val="none" w:sz="0" w:space="0" w:color="auto"/>
          </w:divBdr>
          <w:divsChild>
            <w:div w:id="2113354284">
              <w:marLeft w:val="0"/>
              <w:marRight w:val="0"/>
              <w:marTop w:val="0"/>
              <w:marBottom w:val="0"/>
              <w:divBdr>
                <w:top w:val="none" w:sz="0" w:space="0" w:color="auto"/>
                <w:left w:val="none" w:sz="0" w:space="0" w:color="auto"/>
                <w:bottom w:val="none" w:sz="0" w:space="0" w:color="auto"/>
                <w:right w:val="none" w:sz="0" w:space="0" w:color="auto"/>
              </w:divBdr>
              <w:divsChild>
                <w:div w:id="3778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7633">
      <w:bodyDiv w:val="1"/>
      <w:marLeft w:val="0"/>
      <w:marRight w:val="0"/>
      <w:marTop w:val="0"/>
      <w:marBottom w:val="0"/>
      <w:divBdr>
        <w:top w:val="none" w:sz="0" w:space="0" w:color="auto"/>
        <w:left w:val="none" w:sz="0" w:space="0" w:color="auto"/>
        <w:bottom w:val="none" w:sz="0" w:space="0" w:color="auto"/>
        <w:right w:val="none" w:sz="0" w:space="0" w:color="auto"/>
      </w:divBdr>
      <w:divsChild>
        <w:div w:id="498890826">
          <w:marLeft w:val="0"/>
          <w:marRight w:val="0"/>
          <w:marTop w:val="0"/>
          <w:marBottom w:val="0"/>
          <w:divBdr>
            <w:top w:val="none" w:sz="0" w:space="0" w:color="auto"/>
            <w:left w:val="none" w:sz="0" w:space="0" w:color="auto"/>
            <w:bottom w:val="none" w:sz="0" w:space="0" w:color="auto"/>
            <w:right w:val="none" w:sz="0" w:space="0" w:color="auto"/>
          </w:divBdr>
          <w:divsChild>
            <w:div w:id="2057123367">
              <w:marLeft w:val="0"/>
              <w:marRight w:val="0"/>
              <w:marTop w:val="0"/>
              <w:marBottom w:val="0"/>
              <w:divBdr>
                <w:top w:val="none" w:sz="0" w:space="0" w:color="auto"/>
                <w:left w:val="none" w:sz="0" w:space="0" w:color="auto"/>
                <w:bottom w:val="none" w:sz="0" w:space="0" w:color="auto"/>
                <w:right w:val="none" w:sz="0" w:space="0" w:color="auto"/>
              </w:divBdr>
              <w:divsChild>
                <w:div w:id="1160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322">
      <w:bodyDiv w:val="1"/>
      <w:marLeft w:val="0"/>
      <w:marRight w:val="0"/>
      <w:marTop w:val="0"/>
      <w:marBottom w:val="0"/>
      <w:divBdr>
        <w:top w:val="none" w:sz="0" w:space="0" w:color="auto"/>
        <w:left w:val="none" w:sz="0" w:space="0" w:color="auto"/>
        <w:bottom w:val="none" w:sz="0" w:space="0" w:color="auto"/>
        <w:right w:val="none" w:sz="0" w:space="0" w:color="auto"/>
      </w:divBdr>
      <w:divsChild>
        <w:div w:id="1781992961">
          <w:marLeft w:val="0"/>
          <w:marRight w:val="0"/>
          <w:marTop w:val="0"/>
          <w:marBottom w:val="0"/>
          <w:divBdr>
            <w:top w:val="none" w:sz="0" w:space="0" w:color="auto"/>
            <w:left w:val="none" w:sz="0" w:space="0" w:color="auto"/>
            <w:bottom w:val="none" w:sz="0" w:space="0" w:color="auto"/>
            <w:right w:val="none" w:sz="0" w:space="0" w:color="auto"/>
          </w:divBdr>
          <w:divsChild>
            <w:div w:id="182549108">
              <w:marLeft w:val="0"/>
              <w:marRight w:val="0"/>
              <w:marTop w:val="0"/>
              <w:marBottom w:val="0"/>
              <w:divBdr>
                <w:top w:val="none" w:sz="0" w:space="0" w:color="auto"/>
                <w:left w:val="none" w:sz="0" w:space="0" w:color="auto"/>
                <w:bottom w:val="none" w:sz="0" w:space="0" w:color="auto"/>
                <w:right w:val="none" w:sz="0" w:space="0" w:color="auto"/>
              </w:divBdr>
              <w:divsChild>
                <w:div w:id="1446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864">
      <w:bodyDiv w:val="1"/>
      <w:marLeft w:val="0"/>
      <w:marRight w:val="0"/>
      <w:marTop w:val="0"/>
      <w:marBottom w:val="0"/>
      <w:divBdr>
        <w:top w:val="none" w:sz="0" w:space="0" w:color="auto"/>
        <w:left w:val="none" w:sz="0" w:space="0" w:color="auto"/>
        <w:bottom w:val="none" w:sz="0" w:space="0" w:color="auto"/>
        <w:right w:val="none" w:sz="0" w:space="0" w:color="auto"/>
      </w:divBdr>
      <w:divsChild>
        <w:div w:id="876507943">
          <w:marLeft w:val="0"/>
          <w:marRight w:val="0"/>
          <w:marTop w:val="0"/>
          <w:marBottom w:val="0"/>
          <w:divBdr>
            <w:top w:val="none" w:sz="0" w:space="0" w:color="auto"/>
            <w:left w:val="none" w:sz="0" w:space="0" w:color="auto"/>
            <w:bottom w:val="none" w:sz="0" w:space="0" w:color="auto"/>
            <w:right w:val="none" w:sz="0" w:space="0" w:color="auto"/>
          </w:divBdr>
          <w:divsChild>
            <w:div w:id="2021933842">
              <w:marLeft w:val="0"/>
              <w:marRight w:val="0"/>
              <w:marTop w:val="0"/>
              <w:marBottom w:val="0"/>
              <w:divBdr>
                <w:top w:val="none" w:sz="0" w:space="0" w:color="auto"/>
                <w:left w:val="none" w:sz="0" w:space="0" w:color="auto"/>
                <w:bottom w:val="none" w:sz="0" w:space="0" w:color="auto"/>
                <w:right w:val="none" w:sz="0" w:space="0" w:color="auto"/>
              </w:divBdr>
              <w:divsChild>
                <w:div w:id="115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0406">
      <w:bodyDiv w:val="1"/>
      <w:marLeft w:val="0"/>
      <w:marRight w:val="0"/>
      <w:marTop w:val="0"/>
      <w:marBottom w:val="0"/>
      <w:divBdr>
        <w:top w:val="none" w:sz="0" w:space="0" w:color="auto"/>
        <w:left w:val="none" w:sz="0" w:space="0" w:color="auto"/>
        <w:bottom w:val="none" w:sz="0" w:space="0" w:color="auto"/>
        <w:right w:val="none" w:sz="0" w:space="0" w:color="auto"/>
      </w:divBdr>
      <w:divsChild>
        <w:div w:id="934441040">
          <w:marLeft w:val="0"/>
          <w:marRight w:val="0"/>
          <w:marTop w:val="0"/>
          <w:marBottom w:val="0"/>
          <w:divBdr>
            <w:top w:val="none" w:sz="0" w:space="0" w:color="auto"/>
            <w:left w:val="none" w:sz="0" w:space="0" w:color="auto"/>
            <w:bottom w:val="none" w:sz="0" w:space="0" w:color="auto"/>
            <w:right w:val="none" w:sz="0" w:space="0" w:color="auto"/>
          </w:divBdr>
          <w:divsChild>
            <w:div w:id="903838573">
              <w:marLeft w:val="0"/>
              <w:marRight w:val="0"/>
              <w:marTop w:val="0"/>
              <w:marBottom w:val="0"/>
              <w:divBdr>
                <w:top w:val="none" w:sz="0" w:space="0" w:color="auto"/>
                <w:left w:val="none" w:sz="0" w:space="0" w:color="auto"/>
                <w:bottom w:val="none" w:sz="0" w:space="0" w:color="auto"/>
                <w:right w:val="none" w:sz="0" w:space="0" w:color="auto"/>
              </w:divBdr>
              <w:divsChild>
                <w:div w:id="1289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09357041">
      <w:bodyDiv w:val="1"/>
      <w:marLeft w:val="0"/>
      <w:marRight w:val="0"/>
      <w:marTop w:val="0"/>
      <w:marBottom w:val="0"/>
      <w:divBdr>
        <w:top w:val="none" w:sz="0" w:space="0" w:color="auto"/>
        <w:left w:val="none" w:sz="0" w:space="0" w:color="auto"/>
        <w:bottom w:val="none" w:sz="0" w:space="0" w:color="auto"/>
        <w:right w:val="none" w:sz="0" w:space="0" w:color="auto"/>
      </w:divBdr>
      <w:divsChild>
        <w:div w:id="882600189">
          <w:marLeft w:val="0"/>
          <w:marRight w:val="0"/>
          <w:marTop w:val="0"/>
          <w:marBottom w:val="0"/>
          <w:divBdr>
            <w:top w:val="none" w:sz="0" w:space="0" w:color="auto"/>
            <w:left w:val="none" w:sz="0" w:space="0" w:color="auto"/>
            <w:bottom w:val="none" w:sz="0" w:space="0" w:color="auto"/>
            <w:right w:val="none" w:sz="0" w:space="0" w:color="auto"/>
          </w:divBdr>
          <w:divsChild>
            <w:div w:id="1703826783">
              <w:marLeft w:val="0"/>
              <w:marRight w:val="0"/>
              <w:marTop w:val="0"/>
              <w:marBottom w:val="0"/>
              <w:divBdr>
                <w:top w:val="none" w:sz="0" w:space="0" w:color="auto"/>
                <w:left w:val="none" w:sz="0" w:space="0" w:color="auto"/>
                <w:bottom w:val="none" w:sz="0" w:space="0" w:color="auto"/>
                <w:right w:val="none" w:sz="0" w:space="0" w:color="auto"/>
              </w:divBdr>
              <w:divsChild>
                <w:div w:id="207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6964">
      <w:bodyDiv w:val="1"/>
      <w:marLeft w:val="0"/>
      <w:marRight w:val="0"/>
      <w:marTop w:val="0"/>
      <w:marBottom w:val="0"/>
      <w:divBdr>
        <w:top w:val="none" w:sz="0" w:space="0" w:color="auto"/>
        <w:left w:val="none" w:sz="0" w:space="0" w:color="auto"/>
        <w:bottom w:val="none" w:sz="0" w:space="0" w:color="auto"/>
        <w:right w:val="none" w:sz="0" w:space="0" w:color="auto"/>
      </w:divBdr>
    </w:div>
    <w:div w:id="1489244583">
      <w:bodyDiv w:val="1"/>
      <w:marLeft w:val="0"/>
      <w:marRight w:val="0"/>
      <w:marTop w:val="0"/>
      <w:marBottom w:val="0"/>
      <w:divBdr>
        <w:top w:val="none" w:sz="0" w:space="0" w:color="auto"/>
        <w:left w:val="none" w:sz="0" w:space="0" w:color="auto"/>
        <w:bottom w:val="none" w:sz="0" w:space="0" w:color="auto"/>
        <w:right w:val="none" w:sz="0" w:space="0" w:color="auto"/>
      </w:divBdr>
      <w:divsChild>
        <w:div w:id="783615285">
          <w:marLeft w:val="0"/>
          <w:marRight w:val="0"/>
          <w:marTop w:val="0"/>
          <w:marBottom w:val="0"/>
          <w:divBdr>
            <w:top w:val="none" w:sz="0" w:space="0" w:color="auto"/>
            <w:left w:val="none" w:sz="0" w:space="0" w:color="auto"/>
            <w:bottom w:val="none" w:sz="0" w:space="0" w:color="auto"/>
            <w:right w:val="none" w:sz="0" w:space="0" w:color="auto"/>
          </w:divBdr>
          <w:divsChild>
            <w:div w:id="1483498507">
              <w:marLeft w:val="0"/>
              <w:marRight w:val="0"/>
              <w:marTop w:val="0"/>
              <w:marBottom w:val="0"/>
              <w:divBdr>
                <w:top w:val="none" w:sz="0" w:space="0" w:color="auto"/>
                <w:left w:val="none" w:sz="0" w:space="0" w:color="auto"/>
                <w:bottom w:val="none" w:sz="0" w:space="0" w:color="auto"/>
                <w:right w:val="none" w:sz="0" w:space="0" w:color="auto"/>
              </w:divBdr>
              <w:divsChild>
                <w:div w:id="2041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9111">
      <w:bodyDiv w:val="1"/>
      <w:marLeft w:val="0"/>
      <w:marRight w:val="0"/>
      <w:marTop w:val="0"/>
      <w:marBottom w:val="0"/>
      <w:divBdr>
        <w:top w:val="none" w:sz="0" w:space="0" w:color="auto"/>
        <w:left w:val="none" w:sz="0" w:space="0" w:color="auto"/>
        <w:bottom w:val="none" w:sz="0" w:space="0" w:color="auto"/>
        <w:right w:val="none" w:sz="0" w:space="0" w:color="auto"/>
      </w:divBdr>
      <w:divsChild>
        <w:div w:id="970985666">
          <w:marLeft w:val="0"/>
          <w:marRight w:val="0"/>
          <w:marTop w:val="0"/>
          <w:marBottom w:val="0"/>
          <w:divBdr>
            <w:top w:val="none" w:sz="0" w:space="0" w:color="auto"/>
            <w:left w:val="none" w:sz="0" w:space="0" w:color="auto"/>
            <w:bottom w:val="none" w:sz="0" w:space="0" w:color="auto"/>
            <w:right w:val="none" w:sz="0" w:space="0" w:color="auto"/>
          </w:divBdr>
          <w:divsChild>
            <w:div w:id="350450087">
              <w:marLeft w:val="0"/>
              <w:marRight w:val="0"/>
              <w:marTop w:val="0"/>
              <w:marBottom w:val="0"/>
              <w:divBdr>
                <w:top w:val="none" w:sz="0" w:space="0" w:color="auto"/>
                <w:left w:val="none" w:sz="0" w:space="0" w:color="auto"/>
                <w:bottom w:val="none" w:sz="0" w:space="0" w:color="auto"/>
                <w:right w:val="none" w:sz="0" w:space="0" w:color="auto"/>
              </w:divBdr>
              <w:divsChild>
                <w:div w:id="8725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07789">
      <w:bodyDiv w:val="1"/>
      <w:marLeft w:val="0"/>
      <w:marRight w:val="0"/>
      <w:marTop w:val="0"/>
      <w:marBottom w:val="0"/>
      <w:divBdr>
        <w:top w:val="none" w:sz="0" w:space="0" w:color="auto"/>
        <w:left w:val="none" w:sz="0" w:space="0" w:color="auto"/>
        <w:bottom w:val="none" w:sz="0" w:space="0" w:color="auto"/>
        <w:right w:val="none" w:sz="0" w:space="0" w:color="auto"/>
      </w:divBdr>
      <w:divsChild>
        <w:div w:id="454905637">
          <w:marLeft w:val="0"/>
          <w:marRight w:val="0"/>
          <w:marTop w:val="0"/>
          <w:marBottom w:val="0"/>
          <w:divBdr>
            <w:top w:val="none" w:sz="0" w:space="0" w:color="auto"/>
            <w:left w:val="none" w:sz="0" w:space="0" w:color="auto"/>
            <w:bottom w:val="none" w:sz="0" w:space="0" w:color="auto"/>
            <w:right w:val="none" w:sz="0" w:space="0" w:color="auto"/>
          </w:divBdr>
          <w:divsChild>
            <w:div w:id="994456096">
              <w:marLeft w:val="0"/>
              <w:marRight w:val="0"/>
              <w:marTop w:val="0"/>
              <w:marBottom w:val="0"/>
              <w:divBdr>
                <w:top w:val="none" w:sz="0" w:space="0" w:color="auto"/>
                <w:left w:val="none" w:sz="0" w:space="0" w:color="auto"/>
                <w:bottom w:val="none" w:sz="0" w:space="0" w:color="auto"/>
                <w:right w:val="none" w:sz="0" w:space="0" w:color="auto"/>
              </w:divBdr>
              <w:divsChild>
                <w:div w:id="13069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4023">
      <w:bodyDiv w:val="1"/>
      <w:marLeft w:val="0"/>
      <w:marRight w:val="0"/>
      <w:marTop w:val="0"/>
      <w:marBottom w:val="0"/>
      <w:divBdr>
        <w:top w:val="none" w:sz="0" w:space="0" w:color="auto"/>
        <w:left w:val="none" w:sz="0" w:space="0" w:color="auto"/>
        <w:bottom w:val="none" w:sz="0" w:space="0" w:color="auto"/>
        <w:right w:val="none" w:sz="0" w:space="0" w:color="auto"/>
      </w:divBdr>
      <w:divsChild>
        <w:div w:id="1385638627">
          <w:marLeft w:val="0"/>
          <w:marRight w:val="0"/>
          <w:marTop w:val="0"/>
          <w:marBottom w:val="0"/>
          <w:divBdr>
            <w:top w:val="none" w:sz="0" w:space="0" w:color="auto"/>
            <w:left w:val="none" w:sz="0" w:space="0" w:color="auto"/>
            <w:bottom w:val="none" w:sz="0" w:space="0" w:color="auto"/>
            <w:right w:val="none" w:sz="0" w:space="0" w:color="auto"/>
          </w:divBdr>
          <w:divsChild>
            <w:div w:id="142740429">
              <w:marLeft w:val="0"/>
              <w:marRight w:val="0"/>
              <w:marTop w:val="0"/>
              <w:marBottom w:val="0"/>
              <w:divBdr>
                <w:top w:val="none" w:sz="0" w:space="0" w:color="auto"/>
                <w:left w:val="none" w:sz="0" w:space="0" w:color="auto"/>
                <w:bottom w:val="none" w:sz="0" w:space="0" w:color="auto"/>
                <w:right w:val="none" w:sz="0" w:space="0" w:color="auto"/>
              </w:divBdr>
              <w:divsChild>
                <w:div w:id="1775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0946">
      <w:bodyDiv w:val="1"/>
      <w:marLeft w:val="0"/>
      <w:marRight w:val="0"/>
      <w:marTop w:val="0"/>
      <w:marBottom w:val="0"/>
      <w:divBdr>
        <w:top w:val="none" w:sz="0" w:space="0" w:color="auto"/>
        <w:left w:val="none" w:sz="0" w:space="0" w:color="auto"/>
        <w:bottom w:val="none" w:sz="0" w:space="0" w:color="auto"/>
        <w:right w:val="none" w:sz="0" w:space="0" w:color="auto"/>
      </w:divBdr>
      <w:divsChild>
        <w:div w:id="2105689129">
          <w:marLeft w:val="0"/>
          <w:marRight w:val="0"/>
          <w:marTop w:val="0"/>
          <w:marBottom w:val="0"/>
          <w:divBdr>
            <w:top w:val="none" w:sz="0" w:space="0" w:color="auto"/>
            <w:left w:val="none" w:sz="0" w:space="0" w:color="auto"/>
            <w:bottom w:val="none" w:sz="0" w:space="0" w:color="auto"/>
            <w:right w:val="none" w:sz="0" w:space="0" w:color="auto"/>
          </w:divBdr>
          <w:divsChild>
            <w:div w:id="1622029849">
              <w:marLeft w:val="0"/>
              <w:marRight w:val="0"/>
              <w:marTop w:val="0"/>
              <w:marBottom w:val="0"/>
              <w:divBdr>
                <w:top w:val="none" w:sz="0" w:space="0" w:color="auto"/>
                <w:left w:val="none" w:sz="0" w:space="0" w:color="auto"/>
                <w:bottom w:val="none" w:sz="0" w:space="0" w:color="auto"/>
                <w:right w:val="none" w:sz="0" w:space="0" w:color="auto"/>
              </w:divBdr>
              <w:divsChild>
                <w:div w:id="570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8677">
      <w:bodyDiv w:val="1"/>
      <w:marLeft w:val="0"/>
      <w:marRight w:val="0"/>
      <w:marTop w:val="0"/>
      <w:marBottom w:val="0"/>
      <w:divBdr>
        <w:top w:val="none" w:sz="0" w:space="0" w:color="auto"/>
        <w:left w:val="none" w:sz="0" w:space="0" w:color="auto"/>
        <w:bottom w:val="none" w:sz="0" w:space="0" w:color="auto"/>
        <w:right w:val="none" w:sz="0" w:space="0" w:color="auto"/>
      </w:divBdr>
    </w:div>
    <w:div w:id="1843229749">
      <w:bodyDiv w:val="1"/>
      <w:marLeft w:val="0"/>
      <w:marRight w:val="0"/>
      <w:marTop w:val="0"/>
      <w:marBottom w:val="0"/>
      <w:divBdr>
        <w:top w:val="none" w:sz="0" w:space="0" w:color="auto"/>
        <w:left w:val="none" w:sz="0" w:space="0" w:color="auto"/>
        <w:bottom w:val="none" w:sz="0" w:space="0" w:color="auto"/>
        <w:right w:val="none" w:sz="0" w:space="0" w:color="auto"/>
      </w:divBdr>
      <w:divsChild>
        <w:div w:id="393698720">
          <w:marLeft w:val="0"/>
          <w:marRight w:val="0"/>
          <w:marTop w:val="0"/>
          <w:marBottom w:val="0"/>
          <w:divBdr>
            <w:top w:val="none" w:sz="0" w:space="0" w:color="auto"/>
            <w:left w:val="none" w:sz="0" w:space="0" w:color="auto"/>
            <w:bottom w:val="none" w:sz="0" w:space="0" w:color="auto"/>
            <w:right w:val="none" w:sz="0" w:space="0" w:color="auto"/>
          </w:divBdr>
          <w:divsChild>
            <w:div w:id="1212352847">
              <w:marLeft w:val="0"/>
              <w:marRight w:val="0"/>
              <w:marTop w:val="0"/>
              <w:marBottom w:val="0"/>
              <w:divBdr>
                <w:top w:val="none" w:sz="0" w:space="0" w:color="auto"/>
                <w:left w:val="none" w:sz="0" w:space="0" w:color="auto"/>
                <w:bottom w:val="none" w:sz="0" w:space="0" w:color="auto"/>
                <w:right w:val="none" w:sz="0" w:space="0" w:color="auto"/>
              </w:divBdr>
              <w:divsChild>
                <w:div w:id="922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8567">
      <w:bodyDiv w:val="1"/>
      <w:marLeft w:val="0"/>
      <w:marRight w:val="0"/>
      <w:marTop w:val="0"/>
      <w:marBottom w:val="0"/>
      <w:divBdr>
        <w:top w:val="none" w:sz="0" w:space="0" w:color="auto"/>
        <w:left w:val="none" w:sz="0" w:space="0" w:color="auto"/>
        <w:bottom w:val="none" w:sz="0" w:space="0" w:color="auto"/>
        <w:right w:val="none" w:sz="0" w:space="0" w:color="auto"/>
      </w:divBdr>
      <w:divsChild>
        <w:div w:id="1016464297">
          <w:marLeft w:val="0"/>
          <w:marRight w:val="0"/>
          <w:marTop w:val="0"/>
          <w:marBottom w:val="0"/>
          <w:divBdr>
            <w:top w:val="none" w:sz="0" w:space="0" w:color="auto"/>
            <w:left w:val="none" w:sz="0" w:space="0" w:color="auto"/>
            <w:bottom w:val="none" w:sz="0" w:space="0" w:color="auto"/>
            <w:right w:val="none" w:sz="0" w:space="0" w:color="auto"/>
          </w:divBdr>
          <w:divsChild>
            <w:div w:id="874269990">
              <w:marLeft w:val="0"/>
              <w:marRight w:val="0"/>
              <w:marTop w:val="0"/>
              <w:marBottom w:val="0"/>
              <w:divBdr>
                <w:top w:val="none" w:sz="0" w:space="0" w:color="auto"/>
                <w:left w:val="none" w:sz="0" w:space="0" w:color="auto"/>
                <w:bottom w:val="none" w:sz="0" w:space="0" w:color="auto"/>
                <w:right w:val="none" w:sz="0" w:space="0" w:color="auto"/>
              </w:divBdr>
              <w:divsChild>
                <w:div w:id="1945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680">
      <w:bodyDiv w:val="1"/>
      <w:marLeft w:val="0"/>
      <w:marRight w:val="0"/>
      <w:marTop w:val="0"/>
      <w:marBottom w:val="0"/>
      <w:divBdr>
        <w:top w:val="none" w:sz="0" w:space="0" w:color="auto"/>
        <w:left w:val="none" w:sz="0" w:space="0" w:color="auto"/>
        <w:bottom w:val="none" w:sz="0" w:space="0" w:color="auto"/>
        <w:right w:val="none" w:sz="0" w:space="0" w:color="auto"/>
      </w:divBdr>
    </w:div>
    <w:div w:id="1976376700">
      <w:bodyDiv w:val="1"/>
      <w:marLeft w:val="0"/>
      <w:marRight w:val="0"/>
      <w:marTop w:val="0"/>
      <w:marBottom w:val="0"/>
      <w:divBdr>
        <w:top w:val="none" w:sz="0" w:space="0" w:color="auto"/>
        <w:left w:val="none" w:sz="0" w:space="0" w:color="auto"/>
        <w:bottom w:val="none" w:sz="0" w:space="0" w:color="auto"/>
        <w:right w:val="none" w:sz="0" w:space="0" w:color="auto"/>
      </w:divBdr>
    </w:div>
    <w:div w:id="1992443370">
      <w:bodyDiv w:val="1"/>
      <w:marLeft w:val="0"/>
      <w:marRight w:val="0"/>
      <w:marTop w:val="0"/>
      <w:marBottom w:val="0"/>
      <w:divBdr>
        <w:top w:val="none" w:sz="0" w:space="0" w:color="auto"/>
        <w:left w:val="none" w:sz="0" w:space="0" w:color="auto"/>
        <w:bottom w:val="none" w:sz="0" w:space="0" w:color="auto"/>
        <w:right w:val="none" w:sz="0" w:space="0" w:color="auto"/>
      </w:divBdr>
      <w:divsChild>
        <w:div w:id="1009992385">
          <w:marLeft w:val="0"/>
          <w:marRight w:val="0"/>
          <w:marTop w:val="0"/>
          <w:marBottom w:val="0"/>
          <w:divBdr>
            <w:top w:val="none" w:sz="0" w:space="0" w:color="auto"/>
            <w:left w:val="none" w:sz="0" w:space="0" w:color="auto"/>
            <w:bottom w:val="none" w:sz="0" w:space="0" w:color="auto"/>
            <w:right w:val="none" w:sz="0" w:space="0" w:color="auto"/>
          </w:divBdr>
          <w:divsChild>
            <w:div w:id="2009408329">
              <w:marLeft w:val="0"/>
              <w:marRight w:val="0"/>
              <w:marTop w:val="0"/>
              <w:marBottom w:val="0"/>
              <w:divBdr>
                <w:top w:val="none" w:sz="0" w:space="0" w:color="auto"/>
                <w:left w:val="none" w:sz="0" w:space="0" w:color="auto"/>
                <w:bottom w:val="none" w:sz="0" w:space="0" w:color="auto"/>
                <w:right w:val="none" w:sz="0" w:space="0" w:color="auto"/>
              </w:divBdr>
              <w:divsChild>
                <w:div w:id="9781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vistep.birdlife.org/" TargetMode="External"/><Relationship Id="rId21" Type="http://schemas.openxmlformats.org/officeDocument/2006/relationships/hyperlink" Target="https://www.cms.int/sites/default/files/uploads/ETF%20Workplan%202021-2024.pdf" TargetMode="External"/><Relationship Id="rId34" Type="http://schemas.openxmlformats.org/officeDocument/2006/relationships/hyperlink" Target="https://www.cms.int/sites/default/files/document/cms_li-iwg_meeting-report_e_1.pdf" TargetMode="External"/><Relationship Id="rId42" Type="http://schemas.openxmlformats.org/officeDocument/2006/relationships/hyperlink" Target="https://birdelectrocution.org/quick-guidance-preventing-electrocution-on-birds/" TargetMode="External"/><Relationship Id="rId47" Type="http://schemas.openxmlformats.org/officeDocument/2006/relationships/hyperlink" Target="https://www.cms.int/sites/default/files/uploads/3_case_study_egypt_2019.pdf" TargetMode="External"/><Relationship Id="rId50" Type="http://schemas.openxmlformats.org/officeDocument/2006/relationships/hyperlink" Target="https://www.cms.int/sites/default/files/uploads/6_birdLife_sa_mainstreaming_case_study.pdf" TargetMode="External"/><Relationship Id="rId55" Type="http://schemas.openxmlformats.org/officeDocument/2006/relationships/hyperlink" Target="https://vimeo.com/624350999/d728347099" TargetMode="External"/><Relationship Id="rId63"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cms.int/en/taskforce/energy-task-force" TargetMode="External"/><Relationship Id="rId11" Type="http://schemas.openxmlformats.org/officeDocument/2006/relationships/image" Target="media/image1.wmf"/><Relationship Id="rId24" Type="http://schemas.openxmlformats.org/officeDocument/2006/relationships/hyperlink" Target="https://www.cms.int/sites/default/files/document/cms_etf6_doc.2_work-plan-progress_e_0.pdf" TargetMode="External"/><Relationship Id="rId32" Type="http://schemas.openxmlformats.org/officeDocument/2006/relationships/hyperlink" Target="https://www.cms.int/en/page/decisions-13130-13134-infrastructure-development-and-migratory-species" TargetMode="External"/><Relationship Id="rId37" Type="http://schemas.openxmlformats.org/officeDocument/2006/relationships/footer" Target="footer4.xml"/><Relationship Id="rId40" Type="http://schemas.openxmlformats.org/officeDocument/2006/relationships/hyperlink" Target="https://eur02.safelinks.protection.outlook.com/?url=https%3A%2F%2Fwww.ofb.gouv.fr%2Fle-projet-life-btp-biodiversite-integree-dans-les-territoires-et-les-politiques&amp;data=05%7C01%7Cdunia.sforzin%40un.org%7C19bc6110d0db426f3a7208db0aa78832%7C0f9e35db544f4f60bdcc5ea416e6dc70%7C0%7C0%7C638115486905581938%7CUnknown%7CTWFpbGZsb3d8eyJWIjoiMC4wLjAwMDAiLCJQIjoiV2luMzIiLCJBTiI6Ik1haWwiLCJXVCI6Mn0%3D%7C3000%7C%7C%7C&amp;sdata=bb%2BWEFEYFzEAcXdiKj70yD%2BsnZhkm6astgDfBZvifIg%3D&amp;reserved=0" TargetMode="External"/><Relationship Id="rId45" Type="http://schemas.openxmlformats.org/officeDocument/2006/relationships/hyperlink" Target="http://datazone.birdlife.org/info/transmit" TargetMode="External"/><Relationship Id="rId53" Type="http://schemas.openxmlformats.org/officeDocument/2006/relationships/hyperlink" Target="https://www.cms.int/sites/default/files/uploads/taskforce/energy/Case_study_NABU-RGI_2021-2Page_FINAL.pdf" TargetMode="External"/><Relationship Id="rId58" Type="http://schemas.openxmlformats.org/officeDocument/2006/relationships/hyperlink" Target="https://vimeo.com/693933211/6e30e6225e"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eader" Target="header9.xml"/><Relationship Id="rId19" Type="http://schemas.openxmlformats.org/officeDocument/2006/relationships/hyperlink" Target="https://www.google.com/search?client=safari&amp;rls=en&amp;q=cms+etf+task+force&amp;ie=UTF-8&amp;oe=UTF-8" TargetMode="External"/><Relationship Id="rId14" Type="http://schemas.openxmlformats.org/officeDocument/2006/relationships/footer" Target="footer1.xml"/><Relationship Id="rId22" Type="http://schemas.openxmlformats.org/officeDocument/2006/relationships/hyperlink" Target="https://www.cms.int/en/meeting/fifth-meeting-multi-stakeholder-energy-task-force-virtual-meeting" TargetMode="External"/><Relationship Id="rId27" Type="http://schemas.openxmlformats.org/officeDocument/2006/relationships/hyperlink" Target="https://www.cms.int/en/taskforce/energy-task-force" TargetMode="External"/><Relationship Id="rId30" Type="http://schemas.openxmlformats.org/officeDocument/2006/relationships/hyperlink" Target="https://www.cms.int/sites/default/files/document/cms_etf6_doc.4_updates-etf-technical-working-group_e.pdf" TargetMode="External"/><Relationship Id="rId35" Type="http://schemas.openxmlformats.org/officeDocument/2006/relationships/header" Target="header4.xml"/><Relationship Id="rId43" Type="http://schemas.openxmlformats.org/officeDocument/2006/relationships/hyperlink" Target="https://protect-eu.mimecast.com/s/f-iTC64wurNEyzF6ZlUe?domain=eur02.safelinks.protection.outlook.com" TargetMode="External"/><Relationship Id="rId48" Type="http://schemas.openxmlformats.org/officeDocument/2006/relationships/hyperlink" Target="https://www.cms.int/sites/default/files/uploads/4_case_study_jordan_2019.pdf" TargetMode="External"/><Relationship Id="rId56" Type="http://schemas.openxmlformats.org/officeDocument/2006/relationships/hyperlink" Target="https://www.mavir.hu/documents/10258/240241641/Rhiannon+Niven_CMS+ETF+MAVIR.pdf/2640ac46-8cd0-7ff1-7e8e-91442c8f3c89?t=1637766440178"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ms.int/sites/default/files/uploads/7_birdLife_sa_species%20guidelines_case_study.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ms.int/en/page/soaring-bird-sensitivity-map-planning-tool-wind-energy-and-other-sectors" TargetMode="External"/><Relationship Id="rId33" Type="http://schemas.openxmlformats.org/officeDocument/2006/relationships/hyperlink" Target="https://www.cms.int/sites/default/files/document/cms_scc-sc5_outcome13_tor-wg-infrastructure-development-and-migratory-species_e.pdf" TargetMode="External"/><Relationship Id="rId38" Type="http://schemas.openxmlformats.org/officeDocument/2006/relationships/header" Target="header6.xml"/><Relationship Id="rId46" Type="http://schemas.openxmlformats.org/officeDocument/2006/relationships/hyperlink" Target="https://www.cms.int/en/publication/fact-sheet-safeguarding-species-energy-planning" TargetMode="External"/><Relationship Id="rId59" Type="http://schemas.openxmlformats.org/officeDocument/2006/relationships/header" Target="header7.xml"/><Relationship Id="rId20" Type="http://schemas.openxmlformats.org/officeDocument/2006/relationships/hyperlink" Target="https://www.cms.int/en/page/decisions-13106-13108-support-energy-taskforce" TargetMode="External"/><Relationship Id="rId41" Type="http://schemas.openxmlformats.org/officeDocument/2006/relationships/hyperlink" Target="https://portals.iucn.org/library/node/49283" TargetMode="External"/><Relationship Id="rId54" Type="http://schemas.openxmlformats.org/officeDocument/2006/relationships/hyperlink" Target="https://vimeo.com/492004020/c17decaf74" TargetMode="Externa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ms.int/en/meeting/sixth-meeting-multi-stakeholder-energy-task-force-virtual-meeting" TargetMode="External"/><Relationship Id="rId28" Type="http://schemas.openxmlformats.org/officeDocument/2006/relationships/hyperlink" Target="https://www.cms.int/en/taskforce/energy-task-force" TargetMode="External"/><Relationship Id="rId36" Type="http://schemas.openxmlformats.org/officeDocument/2006/relationships/header" Target="header5.xml"/><Relationship Id="rId49" Type="http://schemas.openxmlformats.org/officeDocument/2006/relationships/hyperlink" Target="https://www.cms.int/sites/default/files/uploads/5_sea_and_sensitivity_mapping_kenya_case_study.pdf" TargetMode="External"/><Relationship Id="rId57" Type="http://schemas.openxmlformats.org/officeDocument/2006/relationships/hyperlink" Target="https://vimeo.com/652499707/95623d262c" TargetMode="External"/><Relationship Id="rId10" Type="http://schemas.openxmlformats.org/officeDocument/2006/relationships/endnotes" Target="endnotes.xml"/><Relationship Id="rId31" Type="http://schemas.openxmlformats.org/officeDocument/2006/relationships/hyperlink" Target="https://www.cms.int/sites/default/files/document/cms_etf6_doc.5_updates-etf-powerlines-wg-and-cms-raptors-electrocution-discussion-group_e.pdf" TargetMode="External"/><Relationship Id="rId44" Type="http://schemas.openxmlformats.org/officeDocument/2006/relationships/hyperlink" Target="https://avistep.birdlife.org/" TargetMode="External"/><Relationship Id="rId52" Type="http://schemas.openxmlformats.org/officeDocument/2006/relationships/hyperlink" Target="https://www.cms.int/sites/default/files/uploads/taskforce/energy/Case_study_IAF_2021-2Page_FINAL.pdf" TargetMode="External"/><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cms.int/en/document/renewable-energy-technologies-and-migratory-species-guidelines-sustainable-deployment-0" TargetMode="External"/><Relationship Id="rId39"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renewable-energy-and-migratory-species-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SharedWithUsers xmlns="c15478a5-0be8-4f5d-8383-b307d5ba8bf6">
      <UserInfo>
        <DisplayName/>
        <AccountId xsi:nil="true"/>
        <AccountType/>
      </UserInfo>
    </SharedWithUsers>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4E75-B73E-471D-9D4B-0A513736F593}"/>
</file>

<file path=customXml/itemProps2.xml><?xml version="1.0" encoding="utf-8"?>
<ds:datastoreItem xmlns:ds="http://schemas.openxmlformats.org/officeDocument/2006/customXml" ds:itemID="{19F980D9-9451-4DF3-970B-B502E5D91650}">
  <ds:schemaRefs>
    <ds:schemaRef ds:uri="http://schemas.microsoft.com/sharepoint/v3/contenttype/forms"/>
  </ds:schemaRefs>
</ds:datastoreItem>
</file>

<file path=customXml/itemProps3.xml><?xml version="1.0" encoding="utf-8"?>
<ds:datastoreItem xmlns:ds="http://schemas.openxmlformats.org/officeDocument/2006/customXml" ds:itemID="{88D0C8FA-FFF7-4B67-940F-CBD154539EEF}">
  <ds:schemaRefs>
    <ds:schemaRef ds:uri="985ec44e-1bab-4c0b-9df0-6ba128686fc9"/>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c15478a5-0be8-4f5d-8383-b307d5ba8bf6"/>
    <ds:schemaRef ds:uri="a7b50396-0b06-45c1-b28e-46f86d566a10"/>
    <ds:schemaRef ds:uri="http://schemas.microsoft.com/office/2006/metadata/properties"/>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4371</Words>
  <Characters>24921</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Samarkand, Uzbekistan, 23 - 28 October 2023</vt:lpstr>
      <vt:lpstr>    RENEWABLE ENERGY AND MIGRATORY SPECIES</vt:lpstr>
      <vt:lpstr>    </vt:lpstr>
      <vt:lpstr>    Renewable Energy and migratory species</vt:lpstr>
    </vt:vector>
  </TitlesOfParts>
  <Company/>
  <LinksUpToDate>false</LinksUpToDate>
  <CharactersWithSpaces>29234</CharactersWithSpaces>
  <SharedDoc>false</SharedDoc>
  <HLinks>
    <vt:vector size="222" baseType="variant">
      <vt:variant>
        <vt:i4>6946920</vt:i4>
      </vt:variant>
      <vt:variant>
        <vt:i4>105</vt:i4>
      </vt:variant>
      <vt:variant>
        <vt:i4>0</vt:i4>
      </vt:variant>
      <vt:variant>
        <vt:i4>5</vt:i4>
      </vt:variant>
      <vt:variant>
        <vt:lpwstr>https://vimeo.com/693933211/6e30e6225e</vt:lpwstr>
      </vt:variant>
      <vt:variant>
        <vt:lpwstr/>
      </vt:variant>
      <vt:variant>
        <vt:i4>6422587</vt:i4>
      </vt:variant>
      <vt:variant>
        <vt:i4>102</vt:i4>
      </vt:variant>
      <vt:variant>
        <vt:i4>0</vt:i4>
      </vt:variant>
      <vt:variant>
        <vt:i4>5</vt:i4>
      </vt:variant>
      <vt:variant>
        <vt:lpwstr>https://vimeo.com/652499707/95623d262c</vt:lpwstr>
      </vt:variant>
      <vt:variant>
        <vt:lpwstr/>
      </vt:variant>
      <vt:variant>
        <vt:i4>3604484</vt:i4>
      </vt:variant>
      <vt:variant>
        <vt:i4>99</vt:i4>
      </vt:variant>
      <vt:variant>
        <vt:i4>0</vt:i4>
      </vt:variant>
      <vt:variant>
        <vt:i4>5</vt:i4>
      </vt:variant>
      <vt:variant>
        <vt:lpwstr>https://www.mavir.hu/documents/10258/240241641/Rhiannon+Niven_CMS+ETF+MAVIR.pdf/2640ac46-8cd0-7ff1-7e8e-91442c8f3c89?t=1637766440178</vt:lpwstr>
      </vt:variant>
      <vt:variant>
        <vt:lpwstr/>
      </vt:variant>
      <vt:variant>
        <vt:i4>6684774</vt:i4>
      </vt:variant>
      <vt:variant>
        <vt:i4>96</vt:i4>
      </vt:variant>
      <vt:variant>
        <vt:i4>0</vt:i4>
      </vt:variant>
      <vt:variant>
        <vt:i4>5</vt:i4>
      </vt:variant>
      <vt:variant>
        <vt:lpwstr>https://vimeo.com/624350999/d728347099</vt:lpwstr>
      </vt:variant>
      <vt:variant>
        <vt:lpwstr/>
      </vt:variant>
      <vt:variant>
        <vt:i4>3604587</vt:i4>
      </vt:variant>
      <vt:variant>
        <vt:i4>93</vt:i4>
      </vt:variant>
      <vt:variant>
        <vt:i4>0</vt:i4>
      </vt:variant>
      <vt:variant>
        <vt:i4>5</vt:i4>
      </vt:variant>
      <vt:variant>
        <vt:lpwstr>https://vimeo.com/492004020/c17decaf74</vt:lpwstr>
      </vt:variant>
      <vt:variant>
        <vt:lpwstr/>
      </vt:variant>
      <vt:variant>
        <vt:i4>3997751</vt:i4>
      </vt:variant>
      <vt:variant>
        <vt:i4>90</vt:i4>
      </vt:variant>
      <vt:variant>
        <vt:i4>0</vt:i4>
      </vt:variant>
      <vt:variant>
        <vt:i4>5</vt:i4>
      </vt:variant>
      <vt:variant>
        <vt:lpwstr>https://www.cms.int/sites/default/files/uploads/taskforce/energy/Case_study_NABU-RGI_2021-2Page_FINAL.pdf</vt:lpwstr>
      </vt:variant>
      <vt:variant>
        <vt:lpwstr/>
      </vt:variant>
      <vt:variant>
        <vt:i4>7208997</vt:i4>
      </vt:variant>
      <vt:variant>
        <vt:i4>87</vt:i4>
      </vt:variant>
      <vt:variant>
        <vt:i4>0</vt:i4>
      </vt:variant>
      <vt:variant>
        <vt:i4>5</vt:i4>
      </vt:variant>
      <vt:variant>
        <vt:lpwstr>https://www.cms.int/sites/default/files/uploads/taskforce/energy/Case_study_IAF_2021-2Page_FINAL.pdf</vt:lpwstr>
      </vt:variant>
      <vt:variant>
        <vt:lpwstr/>
      </vt:variant>
      <vt:variant>
        <vt:i4>524388</vt:i4>
      </vt:variant>
      <vt:variant>
        <vt:i4>84</vt:i4>
      </vt:variant>
      <vt:variant>
        <vt:i4>0</vt:i4>
      </vt:variant>
      <vt:variant>
        <vt:i4>5</vt:i4>
      </vt:variant>
      <vt:variant>
        <vt:lpwstr>https://www.cms.int/sites/default/files/uploads/7_birdLife_sa_species guidelines_case_study.pdf</vt:lpwstr>
      </vt:variant>
      <vt:variant>
        <vt:lpwstr/>
      </vt:variant>
      <vt:variant>
        <vt:i4>262181</vt:i4>
      </vt:variant>
      <vt:variant>
        <vt:i4>81</vt:i4>
      </vt:variant>
      <vt:variant>
        <vt:i4>0</vt:i4>
      </vt:variant>
      <vt:variant>
        <vt:i4>5</vt:i4>
      </vt:variant>
      <vt:variant>
        <vt:lpwstr>https://www.cms.int/sites/default/files/uploads/6_birdLife_sa_mainstreaming_case_study.pdf</vt:lpwstr>
      </vt:variant>
      <vt:variant>
        <vt:lpwstr/>
      </vt:variant>
      <vt:variant>
        <vt:i4>3932165</vt:i4>
      </vt:variant>
      <vt:variant>
        <vt:i4>78</vt:i4>
      </vt:variant>
      <vt:variant>
        <vt:i4>0</vt:i4>
      </vt:variant>
      <vt:variant>
        <vt:i4>5</vt:i4>
      </vt:variant>
      <vt:variant>
        <vt:lpwstr>https://www.cms.int/sites/default/files/uploads/5_sea_and_sensitivity_mapping_kenya_case_study.pdf</vt:lpwstr>
      </vt:variant>
      <vt:variant>
        <vt:lpwstr/>
      </vt:variant>
      <vt:variant>
        <vt:i4>4456528</vt:i4>
      </vt:variant>
      <vt:variant>
        <vt:i4>75</vt:i4>
      </vt:variant>
      <vt:variant>
        <vt:i4>0</vt:i4>
      </vt:variant>
      <vt:variant>
        <vt:i4>5</vt:i4>
      </vt:variant>
      <vt:variant>
        <vt:lpwstr>https://www.cms.int/sites/default/files/uploads/4_case_study_jordan_2019.pdf</vt:lpwstr>
      </vt:variant>
      <vt:variant>
        <vt:lpwstr/>
      </vt:variant>
      <vt:variant>
        <vt:i4>6029386</vt:i4>
      </vt:variant>
      <vt:variant>
        <vt:i4>72</vt:i4>
      </vt:variant>
      <vt:variant>
        <vt:i4>0</vt:i4>
      </vt:variant>
      <vt:variant>
        <vt:i4>5</vt:i4>
      </vt:variant>
      <vt:variant>
        <vt:lpwstr>https://www.cms.int/sites/default/files/uploads/3_case_study_egypt_2019.pdf</vt:lpwstr>
      </vt:variant>
      <vt:variant>
        <vt:lpwstr/>
      </vt:variant>
      <vt:variant>
        <vt:i4>7733285</vt:i4>
      </vt:variant>
      <vt:variant>
        <vt:i4>69</vt:i4>
      </vt:variant>
      <vt:variant>
        <vt:i4>0</vt:i4>
      </vt:variant>
      <vt:variant>
        <vt:i4>5</vt:i4>
      </vt:variant>
      <vt:variant>
        <vt:lpwstr>https://www.cms.int/en/publication/fact-sheet-safeguarding-species-energy-planning</vt:lpwstr>
      </vt:variant>
      <vt:variant>
        <vt:lpwstr/>
      </vt:variant>
      <vt:variant>
        <vt:i4>2949220</vt:i4>
      </vt:variant>
      <vt:variant>
        <vt:i4>66</vt:i4>
      </vt:variant>
      <vt:variant>
        <vt:i4>0</vt:i4>
      </vt:variant>
      <vt:variant>
        <vt:i4>5</vt:i4>
      </vt:variant>
      <vt:variant>
        <vt:lpwstr>http://datazone.birdlife.org/info/transmit</vt:lpwstr>
      </vt:variant>
      <vt:variant>
        <vt:lpwstr/>
      </vt:variant>
      <vt:variant>
        <vt:i4>5636106</vt:i4>
      </vt:variant>
      <vt:variant>
        <vt:i4>63</vt:i4>
      </vt:variant>
      <vt:variant>
        <vt:i4>0</vt:i4>
      </vt:variant>
      <vt:variant>
        <vt:i4>5</vt:i4>
      </vt:variant>
      <vt:variant>
        <vt:lpwstr>https://avistep.birdlife.org/</vt:lpwstr>
      </vt:variant>
      <vt:variant>
        <vt:lpwstr/>
      </vt:variant>
      <vt:variant>
        <vt:i4>5898324</vt:i4>
      </vt:variant>
      <vt:variant>
        <vt:i4>60</vt:i4>
      </vt:variant>
      <vt:variant>
        <vt:i4>0</vt:i4>
      </vt:variant>
      <vt:variant>
        <vt:i4>5</vt:i4>
      </vt:variant>
      <vt:variant>
        <vt:lpwstr>https://protect-eu.mimecast.com/s/f-iTC64wurNEyzF6ZlUe?domain=eur02.safelinks.protection.outlook.com</vt:lpwstr>
      </vt:variant>
      <vt:variant>
        <vt:lpwstr/>
      </vt:variant>
      <vt:variant>
        <vt:i4>2687009</vt:i4>
      </vt:variant>
      <vt:variant>
        <vt:i4>57</vt:i4>
      </vt:variant>
      <vt:variant>
        <vt:i4>0</vt:i4>
      </vt:variant>
      <vt:variant>
        <vt:i4>5</vt:i4>
      </vt:variant>
      <vt:variant>
        <vt:lpwstr>https://birdelectrocution.org/quick-guidance-preventing-electrocution-on-birds/</vt:lpwstr>
      </vt:variant>
      <vt:variant>
        <vt:lpwstr/>
      </vt:variant>
      <vt:variant>
        <vt:i4>6881379</vt:i4>
      </vt:variant>
      <vt:variant>
        <vt:i4>54</vt:i4>
      </vt:variant>
      <vt:variant>
        <vt:i4>0</vt:i4>
      </vt:variant>
      <vt:variant>
        <vt:i4>5</vt:i4>
      </vt:variant>
      <vt:variant>
        <vt:lpwstr>https://portals.iucn.org/library/node/49283</vt:lpwstr>
      </vt:variant>
      <vt:variant>
        <vt:lpwstr/>
      </vt:variant>
      <vt:variant>
        <vt:i4>6291514</vt:i4>
      </vt:variant>
      <vt:variant>
        <vt:i4>51</vt:i4>
      </vt:variant>
      <vt:variant>
        <vt:i4>0</vt:i4>
      </vt:variant>
      <vt:variant>
        <vt:i4>5</vt:i4>
      </vt:variant>
      <vt:variant>
        <vt:lpwstr>https://eur02.safelinks.protection.outlook.com/?url=https%3A%2F%2Fwww.ofb.gouv.fr%2Fle-projet-life-btp-biodiversite-integree-dans-les-territoires-et-les-politiques&amp;data=05%7C01%7Cdunia.sforzin%40un.org%7C19bc6110d0db426f3a7208db0aa78832%7C0f9e35db544f4f60bdcc5ea416e6dc70%7C0%7C0%7C638115486905581938%7CUnknown%7CTWFpbGZsb3d8eyJWIjoiMC4wLjAwMDAiLCJQIjoiV2luMzIiLCJBTiI6Ik1haWwiLCJXVCI6Mn0%3D%7C3000%7C%7C%7C&amp;sdata=bb%2BWEFEYFzEAcXdiKj70yD%2BsnZhkm6astgDfBZvifIg%3D&amp;reserved=0</vt:lpwstr>
      </vt:variant>
      <vt:variant>
        <vt:lpwstr/>
      </vt:variant>
      <vt:variant>
        <vt:i4>1114113</vt:i4>
      </vt:variant>
      <vt:variant>
        <vt:i4>48</vt:i4>
      </vt:variant>
      <vt:variant>
        <vt:i4>0</vt:i4>
      </vt:variant>
      <vt:variant>
        <vt:i4>5</vt:i4>
      </vt:variant>
      <vt:variant>
        <vt:lpwstr>https://www.cms.int/sites/default/files/document/cms_li-iwg_meeting-report_e_1.pdf</vt:lpwstr>
      </vt:variant>
      <vt:variant>
        <vt:lpwstr/>
      </vt:variant>
      <vt:variant>
        <vt:i4>4718605</vt:i4>
      </vt:variant>
      <vt:variant>
        <vt:i4>45</vt:i4>
      </vt:variant>
      <vt:variant>
        <vt:i4>0</vt:i4>
      </vt:variant>
      <vt:variant>
        <vt:i4>5</vt:i4>
      </vt:variant>
      <vt:variant>
        <vt:lpwstr>https://www.cms.int/sites/default/files/document/cms_scc-sc5_outcome13_tor-wg-infrastructure-development-and-migratory-species_e.pdf</vt:lpwstr>
      </vt:variant>
      <vt:variant>
        <vt:lpwstr/>
      </vt:variant>
      <vt:variant>
        <vt:i4>4128879</vt:i4>
      </vt:variant>
      <vt:variant>
        <vt:i4>42</vt:i4>
      </vt:variant>
      <vt:variant>
        <vt:i4>0</vt:i4>
      </vt:variant>
      <vt:variant>
        <vt:i4>5</vt:i4>
      </vt:variant>
      <vt:variant>
        <vt:lpwstr>https://www.cms.int/en/page/decisions-13130-13134-infrastructure-development-and-migratory-species</vt:lpwstr>
      </vt:variant>
      <vt:variant>
        <vt:lpwstr/>
      </vt:variant>
      <vt:variant>
        <vt:i4>6357039</vt:i4>
      </vt:variant>
      <vt:variant>
        <vt:i4>39</vt:i4>
      </vt:variant>
      <vt:variant>
        <vt:i4>0</vt:i4>
      </vt:variant>
      <vt:variant>
        <vt:i4>5</vt:i4>
      </vt:variant>
      <vt:variant>
        <vt:lpwstr>https://www.cms.int/sites/default/files/document/cms_etf6_doc.5_updates-etf-powerlines-wg-and-cms-raptors-electrocution-discussion-group_e.pdf</vt:lpwstr>
      </vt:variant>
      <vt:variant>
        <vt:lpwstr/>
      </vt:variant>
      <vt:variant>
        <vt:i4>2687022</vt:i4>
      </vt:variant>
      <vt:variant>
        <vt:i4>36</vt:i4>
      </vt:variant>
      <vt:variant>
        <vt:i4>0</vt:i4>
      </vt:variant>
      <vt:variant>
        <vt:i4>5</vt:i4>
      </vt:variant>
      <vt:variant>
        <vt:lpwstr>https://www.cms.int/sites/default/files/document/cms_etf6_doc.4_updates-etf-technical-working-group_e.pdf</vt:lpwstr>
      </vt:variant>
      <vt:variant>
        <vt:lpwstr/>
      </vt:variant>
      <vt:variant>
        <vt:i4>393246</vt:i4>
      </vt:variant>
      <vt:variant>
        <vt:i4>33</vt:i4>
      </vt:variant>
      <vt:variant>
        <vt:i4>0</vt:i4>
      </vt:variant>
      <vt:variant>
        <vt:i4>5</vt:i4>
      </vt:variant>
      <vt:variant>
        <vt:lpwstr>http://www.cms.int/en/taskforce/energy-task-force</vt:lpwstr>
      </vt:variant>
      <vt:variant>
        <vt:lpwstr/>
      </vt:variant>
      <vt:variant>
        <vt:i4>6488173</vt:i4>
      </vt:variant>
      <vt:variant>
        <vt:i4>30</vt:i4>
      </vt:variant>
      <vt:variant>
        <vt:i4>0</vt:i4>
      </vt:variant>
      <vt:variant>
        <vt:i4>5</vt:i4>
      </vt:variant>
      <vt:variant>
        <vt:lpwstr>https://www.cms.int/en/taskforce/energy-task-force</vt:lpwstr>
      </vt:variant>
      <vt:variant>
        <vt:lpwstr/>
      </vt:variant>
      <vt:variant>
        <vt:i4>6488173</vt:i4>
      </vt:variant>
      <vt:variant>
        <vt:i4>27</vt:i4>
      </vt:variant>
      <vt:variant>
        <vt:i4>0</vt:i4>
      </vt:variant>
      <vt:variant>
        <vt:i4>5</vt:i4>
      </vt:variant>
      <vt:variant>
        <vt:lpwstr>https://www.cms.int/en/taskforce/energy-task-force</vt:lpwstr>
      </vt:variant>
      <vt:variant>
        <vt:lpwstr/>
      </vt:variant>
      <vt:variant>
        <vt:i4>5636106</vt:i4>
      </vt:variant>
      <vt:variant>
        <vt:i4>24</vt:i4>
      </vt:variant>
      <vt:variant>
        <vt:i4>0</vt:i4>
      </vt:variant>
      <vt:variant>
        <vt:i4>5</vt:i4>
      </vt:variant>
      <vt:variant>
        <vt:lpwstr>https://avistep.birdlife.org/</vt:lpwstr>
      </vt:variant>
      <vt:variant>
        <vt:lpwstr/>
      </vt:variant>
      <vt:variant>
        <vt:i4>5046338</vt:i4>
      </vt:variant>
      <vt:variant>
        <vt:i4>21</vt:i4>
      </vt:variant>
      <vt:variant>
        <vt:i4>0</vt:i4>
      </vt:variant>
      <vt:variant>
        <vt:i4>5</vt:i4>
      </vt:variant>
      <vt:variant>
        <vt:lpwstr>https://www.cms.int/en/page/soaring-bird-sensitivity-map-planning-tool-wind-energy-and-other-sectors</vt:lpwstr>
      </vt:variant>
      <vt:variant>
        <vt:lpwstr/>
      </vt:variant>
      <vt:variant>
        <vt:i4>2883667</vt:i4>
      </vt:variant>
      <vt:variant>
        <vt:i4>18</vt:i4>
      </vt:variant>
      <vt:variant>
        <vt:i4>0</vt:i4>
      </vt:variant>
      <vt:variant>
        <vt:i4>5</vt:i4>
      </vt:variant>
      <vt:variant>
        <vt:lpwstr>https://www.cms.int/sites/default/files/document/cms_etf6_doc.2_work-plan-progress_e_0.pdf</vt:lpwstr>
      </vt:variant>
      <vt:variant>
        <vt:lpwstr/>
      </vt:variant>
      <vt:variant>
        <vt:i4>720906</vt:i4>
      </vt:variant>
      <vt:variant>
        <vt:i4>15</vt:i4>
      </vt:variant>
      <vt:variant>
        <vt:i4>0</vt:i4>
      </vt:variant>
      <vt:variant>
        <vt:i4>5</vt:i4>
      </vt:variant>
      <vt:variant>
        <vt:lpwstr>https://www.cms.int/en/meeting/sixth-meeting-multi-stakeholder-energy-task-force-virtual-meeting</vt:lpwstr>
      </vt:variant>
      <vt:variant>
        <vt:lpwstr/>
      </vt:variant>
      <vt:variant>
        <vt:i4>10</vt:i4>
      </vt:variant>
      <vt:variant>
        <vt:i4>12</vt:i4>
      </vt:variant>
      <vt:variant>
        <vt:i4>0</vt:i4>
      </vt:variant>
      <vt:variant>
        <vt:i4>5</vt:i4>
      </vt:variant>
      <vt:variant>
        <vt:lpwstr>https://www.cms.int/en/meeting/fifth-meeting-multi-stakeholder-energy-task-force-virtual-meeting</vt:lpwstr>
      </vt:variant>
      <vt:variant>
        <vt:lpwstr/>
      </vt:variant>
      <vt:variant>
        <vt:i4>3407924</vt:i4>
      </vt:variant>
      <vt:variant>
        <vt:i4>9</vt:i4>
      </vt:variant>
      <vt:variant>
        <vt:i4>0</vt:i4>
      </vt:variant>
      <vt:variant>
        <vt:i4>5</vt:i4>
      </vt:variant>
      <vt:variant>
        <vt:lpwstr>https://www.cms.int/sites/default/files/uploads/ETF Workplan 2021-2024.pdf</vt:lpwstr>
      </vt:variant>
      <vt:variant>
        <vt:lpwstr/>
      </vt:variant>
      <vt:variant>
        <vt:i4>7536689</vt:i4>
      </vt:variant>
      <vt:variant>
        <vt:i4>6</vt:i4>
      </vt:variant>
      <vt:variant>
        <vt:i4>0</vt:i4>
      </vt:variant>
      <vt:variant>
        <vt:i4>5</vt:i4>
      </vt:variant>
      <vt:variant>
        <vt:lpwstr>https://www.cms.int/en/page/decisions-13106-13108-support-energy-taskforce</vt:lpwstr>
      </vt:variant>
      <vt:variant>
        <vt:lpwstr/>
      </vt:variant>
      <vt:variant>
        <vt:i4>4653125</vt:i4>
      </vt:variant>
      <vt:variant>
        <vt:i4>3</vt:i4>
      </vt:variant>
      <vt:variant>
        <vt:i4>0</vt:i4>
      </vt:variant>
      <vt:variant>
        <vt:i4>5</vt:i4>
      </vt:variant>
      <vt:variant>
        <vt:lpwstr>https://www.google.com/search?client=safari&amp;rls=en&amp;q=cms+etf+task+force&amp;ie=UTF-8&amp;oe=UTF-8</vt:lpwstr>
      </vt:variant>
      <vt:variant>
        <vt:lpwstr/>
      </vt:variant>
      <vt:variant>
        <vt:i4>6619178</vt:i4>
      </vt:variant>
      <vt:variant>
        <vt:i4>0</vt:i4>
      </vt:variant>
      <vt:variant>
        <vt:i4>0</vt:i4>
      </vt:variant>
      <vt:variant>
        <vt:i4>5</vt:i4>
      </vt:variant>
      <vt:variant>
        <vt:lpwstr>https://www.cms.int/en/document/renewable-energy-technologies-and-migratory-species-guidelines-sustainable-deployment-0</vt:lpwstr>
      </vt:variant>
      <vt:variant>
        <vt:lpwstr/>
      </vt:variant>
      <vt:variant>
        <vt:i4>589826</vt:i4>
      </vt:variant>
      <vt:variant>
        <vt:i4>0</vt:i4>
      </vt:variant>
      <vt:variant>
        <vt:i4>0</vt:i4>
      </vt:variant>
      <vt:variant>
        <vt:i4>5</vt:i4>
      </vt:variant>
      <vt:variant>
        <vt:lpwstr>https://www.cms.int/en/document/renewable-energy-and-migratory-species-7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17</cp:revision>
  <cp:lastPrinted>2019-09-19T20:54:00Z</cp:lastPrinted>
  <dcterms:created xsi:type="dcterms:W3CDTF">2023-06-26T13:29:00Z</dcterms:created>
  <dcterms:modified xsi:type="dcterms:W3CDTF">2023-08-02T13:42:00Z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