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C7078" w14:textId="77777777" w:rsidR="000E21C8" w:rsidRPr="00292E63" w:rsidRDefault="000E21C8" w:rsidP="00EB2EEE">
      <w:pPr>
        <w:rPr>
          <w:sz w:val="12"/>
          <w:szCs w:val="12"/>
        </w:rPr>
      </w:pPr>
    </w:p>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292E63" w:rsidRPr="00D61D7E" w14:paraId="2AC9BE32" w14:textId="77777777" w:rsidTr="00532729">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1934EB4A" w14:textId="77777777" w:rsidR="00292E63" w:rsidRPr="00EC2A58" w:rsidRDefault="00292E63" w:rsidP="00532729">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18925278" wp14:editId="407271F4">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2533" t="-726" r="-2533" b="-726"/>
                          <a:stretch>
                            <a:fillRect/>
                          </a:stretch>
                        </pic:blipFill>
                        <pic:spPr>
                          <a:xfrm>
                            <a:off x="0" y="0"/>
                            <a:ext cx="752478" cy="771525"/>
                          </a:xfrm>
                          <a:prstGeom prst="rect">
                            <a:avLst/>
                          </a:prstGeom>
                          <a:noFill/>
                          <a:ln>
                            <a:noFill/>
                            <a:prstDash/>
                          </a:ln>
                        </pic:spPr>
                      </pic:pic>
                    </a:graphicData>
                  </a:graphic>
                </wp:inline>
              </w:drawing>
            </w:r>
          </w:p>
          <w:p w14:paraId="1E334828" w14:textId="77777777" w:rsidR="00292E63" w:rsidRPr="00EC2A58" w:rsidRDefault="00292E63" w:rsidP="00532729">
            <w:pPr>
              <w:widowControl w:val="0"/>
              <w:suppressAutoHyphens/>
              <w:autoSpaceDE w:val="0"/>
              <w:autoSpaceDN w:val="0"/>
              <w:textAlignment w:val="baseline"/>
              <w:rPr>
                <w:rFonts w:eastAsia="Times New Roman" w:cs="Arial"/>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3063EAF1" w14:textId="77777777" w:rsidR="00292E63" w:rsidRPr="00EC2A58" w:rsidRDefault="00292E63" w:rsidP="00532729">
            <w:pPr>
              <w:keepNext/>
              <w:widowControl w:val="0"/>
              <w:suppressAutoHyphens/>
              <w:autoSpaceDE w:val="0"/>
              <w:autoSpaceDN w:val="0"/>
              <w:ind w:left="-108"/>
              <w:textAlignment w:val="baseline"/>
              <w:outlineLvl w:val="1"/>
              <w:rPr>
                <w:rFonts w:eastAsia="Times New Roman" w:cs="Arial"/>
                <w:sz w:val="12"/>
                <w:szCs w:val="12"/>
                <w:lang w:val="fr-FR"/>
              </w:rPr>
            </w:pPr>
          </w:p>
          <w:p w14:paraId="0438F32D" w14:textId="77777777" w:rsidR="00292E63" w:rsidRPr="00EC2A58" w:rsidRDefault="00292E63" w:rsidP="00532729">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7D5ADBD" w14:textId="77777777" w:rsidR="00292E63" w:rsidRPr="00EC2A58" w:rsidRDefault="00292E63" w:rsidP="00532729">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7B76DB76" w14:textId="77777777" w:rsidR="00292E63" w:rsidRPr="00EC2A58" w:rsidRDefault="00292E63" w:rsidP="00532729">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19CE39BA" w14:textId="18D4A93B" w:rsidR="00292E63" w:rsidRPr="00AD2748" w:rsidRDefault="00292E63" w:rsidP="00532729">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sidRPr="00EC2A58">
              <w:rPr>
                <w:rFonts w:eastAsia="Arial" w:cs="Arial"/>
                <w:lang w:val="fr-FR"/>
              </w:rPr>
              <w:t>UNEP/CMS/COP1</w:t>
            </w:r>
            <w:r>
              <w:rPr>
                <w:rFonts w:eastAsia="Arial" w:cs="Arial"/>
                <w:lang w:val="fr-FR"/>
              </w:rPr>
              <w:t>4</w:t>
            </w:r>
            <w:r w:rsidRPr="00EC2A58">
              <w:rPr>
                <w:rFonts w:eastAsia="Arial" w:cs="Arial"/>
                <w:lang w:val="fr-FR"/>
              </w:rPr>
              <w:t>/Doc.</w:t>
            </w:r>
            <w:r w:rsidR="00D61D7E">
              <w:rPr>
                <w:rFonts w:eastAsia="Arial" w:cs="Arial"/>
                <w:lang w:val="fr-FR"/>
              </w:rPr>
              <w:t>31.3</w:t>
            </w:r>
          </w:p>
          <w:p w14:paraId="178951CA" w14:textId="0FDEAE49" w:rsidR="00292E63" w:rsidRPr="00AD2748" w:rsidRDefault="00D61D7E" w:rsidP="00532729">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27 juillet</w:t>
            </w:r>
            <w:r w:rsidR="00292E63" w:rsidRPr="00AD2748">
              <w:rPr>
                <w:rFonts w:eastAsia="Arial" w:cs="Arial"/>
                <w:lang w:val="fr-FR"/>
              </w:rPr>
              <w:t xml:space="preserve"> 2023</w:t>
            </w:r>
          </w:p>
          <w:p w14:paraId="0A137539" w14:textId="77777777" w:rsidR="00292E63" w:rsidRPr="00D61D7E" w:rsidRDefault="00292E63" w:rsidP="00532729">
            <w:pPr>
              <w:widowControl w:val="0"/>
              <w:suppressAutoHyphens/>
              <w:autoSpaceDE w:val="0"/>
              <w:autoSpaceDN w:val="0"/>
              <w:textAlignment w:val="baseline"/>
              <w:rPr>
                <w:rFonts w:ascii="Calibri" w:eastAsia="Calibri" w:hAnsi="Calibri" w:cs="Times New Roman"/>
                <w:lang w:val="fr-FR"/>
              </w:rPr>
            </w:pPr>
            <w:r w:rsidRPr="00EC2A58">
              <w:rPr>
                <w:rFonts w:eastAsia="Arial" w:cs="Arial"/>
                <w:lang w:val="fr-FR"/>
              </w:rPr>
              <w:t>Français</w:t>
            </w:r>
          </w:p>
          <w:p w14:paraId="2784C015" w14:textId="77777777" w:rsidR="00292E63" w:rsidRPr="00D61D7E" w:rsidRDefault="00292E63" w:rsidP="00532729">
            <w:pPr>
              <w:widowControl w:val="0"/>
              <w:suppressAutoHyphens/>
              <w:autoSpaceDE w:val="0"/>
              <w:autoSpaceDN w:val="0"/>
              <w:spacing w:after="120"/>
              <w:textAlignment w:val="baseline"/>
              <w:rPr>
                <w:rFonts w:ascii="Calibri" w:eastAsia="Calibri" w:hAnsi="Calibri" w:cs="Times New Roman"/>
                <w:lang w:val="fr-FR"/>
              </w:rPr>
            </w:pPr>
            <w:r w:rsidRPr="00EC2A58">
              <w:rPr>
                <w:rFonts w:eastAsia="Arial" w:cs="Arial"/>
                <w:lang w:val="fr-FR"/>
              </w:rPr>
              <w:t>Original : Anglais</w:t>
            </w:r>
          </w:p>
        </w:tc>
      </w:tr>
    </w:tbl>
    <w:p w14:paraId="00025CD7" w14:textId="77777777" w:rsidR="00292E63" w:rsidRPr="00EC2A58" w:rsidRDefault="00292E63" w:rsidP="00292E63">
      <w:pPr>
        <w:widowControl w:val="0"/>
        <w:tabs>
          <w:tab w:val="left" w:pos="-1057"/>
          <w:tab w:val="left" w:pos="-720"/>
        </w:tabs>
        <w:suppressAutoHyphens/>
        <w:autoSpaceDE w:val="0"/>
        <w:autoSpaceDN w:val="0"/>
        <w:textAlignment w:val="baseline"/>
        <w:rPr>
          <w:rFonts w:eastAsia="Arial" w:cs="Arial"/>
          <w:sz w:val="8"/>
          <w:szCs w:val="8"/>
          <w:lang w:val="fr-FR"/>
        </w:rPr>
      </w:pPr>
    </w:p>
    <w:p w14:paraId="75B05B1A" w14:textId="77777777" w:rsidR="00292E63" w:rsidRPr="00EC2A58" w:rsidRDefault="00292E63" w:rsidP="00292E63">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09A3DABA" w14:textId="77777777" w:rsidR="00292E63" w:rsidRPr="00EC2A58" w:rsidRDefault="00292E63" w:rsidP="00292E6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Samarcande, Ouzbékistan, 12 – 17 février 2024</w:t>
      </w:r>
    </w:p>
    <w:p w14:paraId="6E0AD095" w14:textId="1E43126E" w:rsidR="00292E63" w:rsidRPr="00EC2A58" w:rsidRDefault="00292E63" w:rsidP="00292E63">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D61D7E">
        <w:rPr>
          <w:rFonts w:eastAsia="Arial" w:cs="Arial"/>
          <w:iCs/>
          <w:lang w:val="fr-FR"/>
        </w:rPr>
        <w:t>31.3</w:t>
      </w:r>
      <w:r w:rsidRPr="00EC2A58">
        <w:rPr>
          <w:rFonts w:eastAsia="Arial" w:cs="Arial"/>
          <w:iCs/>
          <w:lang w:val="fr-FR"/>
        </w:rPr>
        <w:t xml:space="preserve"> de l’ordre du jour</w:t>
      </w:r>
    </w:p>
    <w:p w14:paraId="0CD0965B" w14:textId="14F9927A" w:rsidR="00814E23" w:rsidRPr="00292E63" w:rsidRDefault="00814E23" w:rsidP="00814E23">
      <w:pPr>
        <w:pStyle w:val="paragraph"/>
        <w:spacing w:before="0" w:beforeAutospacing="0" w:after="0" w:afterAutospacing="0"/>
        <w:jc w:val="both"/>
        <w:textAlignment w:val="baseline"/>
        <w:rPr>
          <w:rFonts w:ascii="Arial" w:hAnsi="Arial" w:cs="Arial"/>
          <w:sz w:val="22"/>
          <w:szCs w:val="22"/>
          <w:lang w:val="fr-FR"/>
        </w:rPr>
      </w:pPr>
    </w:p>
    <w:p w14:paraId="6976E549" w14:textId="77777777" w:rsidR="00B129AE" w:rsidRDefault="00B129AE" w:rsidP="00B129AE">
      <w:pPr>
        <w:tabs>
          <w:tab w:val="left" w:pos="6285"/>
        </w:tabs>
        <w:jc w:val="both"/>
        <w:rPr>
          <w:rFonts w:cs="Arial"/>
          <w:lang w:val="fr-FR"/>
        </w:rPr>
      </w:pPr>
    </w:p>
    <w:p w14:paraId="11471669" w14:textId="77777777" w:rsidR="00B129AE" w:rsidRDefault="00B129AE" w:rsidP="00B129AE">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Pr>
          <w:rFonts w:eastAsia="Times New Roman" w:cs="Arial"/>
          <w:b/>
          <w:bCs/>
          <w:lang w:val="fr-FR"/>
        </w:rPr>
        <w:t>TAXONS AVIAIRES SUSCEPTIBLES D'INSCRIPTION</w:t>
      </w:r>
    </w:p>
    <w:p w14:paraId="6F337B68" w14:textId="7ECBB556" w:rsidR="00B129AE" w:rsidRDefault="00B129AE" w:rsidP="00B129AE">
      <w:pPr>
        <w:widowControl w:val="0"/>
        <w:suppressAutoHyphens/>
        <w:autoSpaceDE w:val="0"/>
        <w:autoSpaceDN w:val="0"/>
        <w:jc w:val="center"/>
        <w:textAlignment w:val="baseline"/>
        <w:rPr>
          <w:rFonts w:eastAsia="Times New Roman" w:cs="Arial"/>
          <w:i/>
          <w:lang w:val="fr-FR"/>
        </w:rPr>
      </w:pPr>
      <w:r>
        <w:rPr>
          <w:rFonts w:eastAsia="Times New Roman" w:cs="Arial"/>
          <w:i/>
          <w:lang w:val="fr-FR"/>
        </w:rPr>
        <w:t xml:space="preserve">(Préparé par </w:t>
      </w:r>
      <w:r w:rsidR="00D61D7E">
        <w:rPr>
          <w:rFonts w:eastAsia="Times New Roman" w:cs="Arial"/>
          <w:i/>
          <w:lang w:val="fr-FR"/>
        </w:rPr>
        <w:t>le Conseil scientifique</w:t>
      </w:r>
      <w:r>
        <w:rPr>
          <w:rFonts w:eastAsia="Times New Roman" w:cs="Arial"/>
          <w:i/>
          <w:lang w:val="fr-FR"/>
        </w:rPr>
        <w:t>)</w:t>
      </w:r>
    </w:p>
    <w:p w14:paraId="251226A4" w14:textId="77777777" w:rsidR="00B129AE" w:rsidRPr="002E0DE9" w:rsidRDefault="00B129AE" w:rsidP="00B129AE">
      <w:pPr>
        <w:widowControl w:val="0"/>
        <w:suppressAutoHyphens/>
        <w:autoSpaceDE w:val="0"/>
        <w:autoSpaceDN w:val="0"/>
        <w:textAlignment w:val="baseline"/>
        <w:rPr>
          <w:rFonts w:eastAsia="Times New Roman" w:cs="Arial"/>
          <w:sz w:val="21"/>
          <w:szCs w:val="21"/>
          <w:lang w:val="fr-FR"/>
        </w:rPr>
      </w:pPr>
    </w:p>
    <w:p w14:paraId="44611DBF" w14:textId="36984AE1" w:rsidR="00B129AE" w:rsidRPr="002E0DE9" w:rsidRDefault="00B129AE" w:rsidP="00B129AE">
      <w:pPr>
        <w:widowControl w:val="0"/>
        <w:suppressAutoHyphens/>
        <w:autoSpaceDE w:val="0"/>
        <w:autoSpaceDN w:val="0"/>
        <w:textAlignment w:val="baseline"/>
        <w:rPr>
          <w:rFonts w:eastAsia="Times New Roman" w:cs="Arial"/>
          <w:sz w:val="21"/>
          <w:szCs w:val="21"/>
          <w:lang w:val="fr-FR"/>
        </w:rPr>
      </w:pPr>
    </w:p>
    <w:p w14:paraId="5CBEFCC1" w14:textId="0B7D6066" w:rsidR="00B129AE" w:rsidRPr="002E0DE9" w:rsidRDefault="00B129AE" w:rsidP="00B129AE">
      <w:pPr>
        <w:widowControl w:val="0"/>
        <w:suppressAutoHyphens/>
        <w:autoSpaceDE w:val="0"/>
        <w:autoSpaceDN w:val="0"/>
        <w:textAlignment w:val="baseline"/>
        <w:rPr>
          <w:rFonts w:eastAsia="Times New Roman" w:cs="Arial"/>
          <w:sz w:val="21"/>
          <w:szCs w:val="21"/>
          <w:lang w:val="fr-FR"/>
        </w:rPr>
      </w:pPr>
      <w:r>
        <w:rPr>
          <w:rFonts w:eastAsia="Times New Roman" w:cs="Arial"/>
          <w:noProof/>
          <w:sz w:val="21"/>
          <w:szCs w:val="21"/>
          <w:lang w:val="fr-FR"/>
        </w:rPr>
        <mc:AlternateContent>
          <mc:Choice Requires="wps">
            <w:drawing>
              <wp:anchor distT="0" distB="0" distL="114300" distR="114300" simplePos="0" relativeHeight="251659264" behindDoc="0" locked="0" layoutInCell="1" allowOverlap="1" wp14:anchorId="435FC68F" wp14:editId="500A3905">
                <wp:simplePos x="0" y="0"/>
                <wp:positionH relativeFrom="column">
                  <wp:posOffset>819150</wp:posOffset>
                </wp:positionH>
                <wp:positionV relativeFrom="paragraph">
                  <wp:posOffset>97155</wp:posOffset>
                </wp:positionV>
                <wp:extent cx="4495800" cy="23812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4495800" cy="2381250"/>
                        </a:xfrm>
                        <a:prstGeom prst="rect">
                          <a:avLst/>
                        </a:prstGeom>
                        <a:solidFill>
                          <a:srgbClr val="FFFFFF"/>
                        </a:solidFill>
                        <a:ln w="3172">
                          <a:solidFill>
                            <a:srgbClr val="000000"/>
                          </a:solidFill>
                          <a:prstDash val="solid"/>
                        </a:ln>
                      </wps:spPr>
                      <wps:txbx>
                        <w:txbxContent>
                          <w:p w14:paraId="541B445F" w14:textId="77777777" w:rsidR="00B129AE" w:rsidRDefault="00B129AE" w:rsidP="00B129AE">
                            <w:pPr>
                              <w:rPr>
                                <w:rFonts w:cs="Arial"/>
                                <w:lang w:val="fr-FR"/>
                              </w:rPr>
                            </w:pPr>
                            <w:r>
                              <w:rPr>
                                <w:rFonts w:cs="Arial"/>
                                <w:lang w:val="fr-FR"/>
                              </w:rPr>
                              <w:t>Résumé :</w:t>
                            </w:r>
                          </w:p>
                          <w:p w14:paraId="351AD24B" w14:textId="77777777" w:rsidR="00B129AE" w:rsidRDefault="00B129AE" w:rsidP="00B129AE">
                            <w:pPr>
                              <w:rPr>
                                <w:rFonts w:cs="Arial"/>
                                <w:lang w:val="fr-FR"/>
                              </w:rPr>
                            </w:pPr>
                          </w:p>
                          <w:p w14:paraId="610262A8" w14:textId="2106DC45" w:rsidR="00B129AE" w:rsidRPr="002464B2" w:rsidRDefault="00D61D7E" w:rsidP="00B129AE">
                            <w:pPr>
                              <w:jc w:val="both"/>
                              <w:rPr>
                                <w:rFonts w:cs="Arial"/>
                                <w:iCs/>
                                <w:lang w:val="fr-FR"/>
                              </w:rPr>
                            </w:pPr>
                            <w:r>
                              <w:rPr>
                                <w:rFonts w:cs="Arial"/>
                                <w:iCs/>
                                <w:lang w:val="fr-FR"/>
                              </w:rPr>
                              <w:t>D</w:t>
                            </w:r>
                            <w:r w:rsidR="00B129AE">
                              <w:rPr>
                                <w:rFonts w:cs="Arial"/>
                                <w:iCs/>
                                <w:lang w:val="fr-FR"/>
                              </w:rPr>
                              <w:t>es travaux ont été entrepris pour déterminer les taxons aviaires qui ne sont actuellement inscrits ni à l'Annexe I ni à l'Annexe II, mais qui pourraient remplir les conditions requises pour une inscription.  Cette liste est fournie à titre informatif aux Parties qui souhaiteraient envisager la soumission de propositions d'inscription pour la COP15 et les sessions suivantes.</w:t>
                            </w:r>
                          </w:p>
                          <w:p w14:paraId="338FB7F3" w14:textId="77777777" w:rsidR="00B129AE" w:rsidRDefault="00B129AE" w:rsidP="00B129AE">
                            <w:pPr>
                              <w:jc w:val="both"/>
                              <w:rPr>
                                <w:rFonts w:cs="Arial"/>
                                <w:lang w:val="fr-FR"/>
                              </w:rPr>
                            </w:pPr>
                          </w:p>
                          <w:p w14:paraId="74DD49E3" w14:textId="0B3190FF" w:rsidR="00D61D7E" w:rsidRDefault="00D61D7E" w:rsidP="00B129AE">
                            <w:pPr>
                              <w:jc w:val="both"/>
                              <w:rPr>
                                <w:rFonts w:cs="Arial"/>
                                <w:lang w:val="fr-FR"/>
                              </w:rPr>
                            </w:pPr>
                            <w:r w:rsidRPr="00D61D7E">
                              <w:rPr>
                                <w:rFonts w:cs="Arial"/>
                                <w:lang w:val="fr-FR"/>
                              </w:rPr>
                              <w:t>Ce document a été préparé sur la base du document UNEP/CMS/ScC-SC6/Doc.13.3, qui a été discuté lors de la sixième réunion du Comité de Session du Conseil Scientifique.</w:t>
                            </w:r>
                          </w:p>
                          <w:p w14:paraId="5BC5A4DF" w14:textId="77777777" w:rsidR="00D61D7E" w:rsidRDefault="00D61D7E" w:rsidP="00B129AE">
                            <w:pPr>
                              <w:jc w:val="both"/>
                              <w:rPr>
                                <w:rFonts w:cs="Arial"/>
                                <w:lang w:val="fr-FR"/>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35FC68F" id="_x0000_t202" coordsize="21600,21600" o:spt="202" path="m,l,21600r21600,l21600,xe">
                <v:stroke joinstyle="miter"/>
                <v:path gradientshapeok="t" o:connecttype="rect"/>
              </v:shapetype>
              <v:shape id="Text Box 12" o:spid="_x0000_s1026" type="#_x0000_t202" style="position:absolute;margin-left:64.5pt;margin-top:7.65pt;width:354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" strokeweight=".08811mm">
                <v:textbox>
                  <w:txbxContent>
                    <w:p w14:paraId="541B445F" w14:textId="77777777" w:rsidR="00B129AE" w:rsidRDefault="00B129AE" w:rsidP="00B129AE">
                      <w:pPr>
                        <w:rPr>
                          <w:rFonts w:cs="Arial"/>
                          <w:lang w:val="fr-FR"/>
                        </w:rPr>
                      </w:pPr>
                      <w:r>
                        <w:rPr>
                          <w:rFonts w:cs="Arial"/>
                          <w:lang w:val="fr-FR"/>
                        </w:rPr>
                        <w:t>Résumé :</w:t>
                      </w:r>
                    </w:p>
                    <w:p w14:paraId="351AD24B" w14:textId="77777777" w:rsidR="00B129AE" w:rsidRDefault="00B129AE" w:rsidP="00B129AE">
                      <w:pPr>
                        <w:rPr>
                          <w:rFonts w:cs="Arial"/>
                          <w:lang w:val="fr-FR"/>
                        </w:rPr>
                      </w:pPr>
                    </w:p>
                    <w:p w14:paraId="610262A8" w14:textId="2106DC45" w:rsidR="00B129AE" w:rsidRPr="002464B2" w:rsidRDefault="00D61D7E" w:rsidP="00B129AE">
                      <w:pPr>
                        <w:jc w:val="both"/>
                        <w:rPr>
                          <w:rFonts w:cs="Arial"/>
                          <w:iCs/>
                          <w:lang w:val="fr-FR"/>
                        </w:rPr>
                      </w:pPr>
                      <w:r>
                        <w:rPr>
                          <w:rFonts w:cs="Arial"/>
                          <w:iCs/>
                          <w:lang w:val="fr-FR"/>
                        </w:rPr>
                        <w:t>D</w:t>
                      </w:r>
                      <w:r w:rsidR="00B129AE">
                        <w:rPr>
                          <w:rFonts w:cs="Arial"/>
                          <w:iCs/>
                          <w:lang w:val="fr-FR"/>
                        </w:rPr>
                        <w:t>es travaux ont été entrepris pour déterminer les taxons aviaires qui ne sont actuellement inscrits ni à l'Annexe I ni à l'Annexe II, mais qui pourraient remplir les conditions requises pour une inscription.  Cette liste est fournie à titre informatif aux Parties qui souhaiteraient envisager la soumission de propositions d'inscription pour la COP15 et les sessions suivantes.</w:t>
                      </w:r>
                    </w:p>
                    <w:p w14:paraId="338FB7F3" w14:textId="77777777" w:rsidR="00B129AE" w:rsidRDefault="00B129AE" w:rsidP="00B129AE">
                      <w:pPr>
                        <w:jc w:val="both"/>
                        <w:rPr>
                          <w:rFonts w:cs="Arial"/>
                          <w:lang w:val="fr-FR"/>
                        </w:rPr>
                      </w:pPr>
                    </w:p>
                    <w:p w14:paraId="74DD49E3" w14:textId="0B3190FF" w:rsidR="00D61D7E" w:rsidRDefault="00D61D7E" w:rsidP="00B129AE">
                      <w:pPr>
                        <w:jc w:val="both"/>
                        <w:rPr>
                          <w:rFonts w:cs="Arial"/>
                          <w:lang w:val="fr-FR"/>
                        </w:rPr>
                      </w:pPr>
                      <w:r w:rsidRPr="00D61D7E">
                        <w:rPr>
                          <w:rFonts w:cs="Arial"/>
                          <w:lang w:val="fr-FR"/>
                        </w:rPr>
                        <w:t>Ce document a été préparé sur la base du document UNEP/CMS/ScC-SC6/Doc.13.3, qui a été discuté lors de la sixième réunion du Comité de Session du Conseil Scientifique.</w:t>
                      </w:r>
                    </w:p>
                    <w:p w14:paraId="5BC5A4DF" w14:textId="77777777" w:rsidR="00D61D7E" w:rsidRDefault="00D61D7E" w:rsidP="00B129AE">
                      <w:pPr>
                        <w:jc w:val="both"/>
                        <w:rPr>
                          <w:rFonts w:cs="Arial"/>
                          <w:lang w:val="fr-FR"/>
                        </w:rPr>
                      </w:pPr>
                    </w:p>
                  </w:txbxContent>
                </v:textbox>
              </v:shape>
            </w:pict>
          </mc:Fallback>
        </mc:AlternateContent>
      </w:r>
    </w:p>
    <w:p w14:paraId="25F3662F" w14:textId="77777777" w:rsidR="00B129AE" w:rsidRPr="002E0DE9" w:rsidRDefault="00B129AE" w:rsidP="00B129AE">
      <w:pPr>
        <w:widowControl w:val="0"/>
        <w:suppressAutoHyphens/>
        <w:autoSpaceDE w:val="0"/>
        <w:autoSpaceDN w:val="0"/>
        <w:textAlignment w:val="baseline"/>
        <w:rPr>
          <w:rFonts w:eastAsia="Times New Roman" w:cs="Arial"/>
          <w:sz w:val="21"/>
          <w:szCs w:val="21"/>
          <w:lang w:val="fr-FR"/>
        </w:rPr>
      </w:pPr>
    </w:p>
    <w:p w14:paraId="05A3EC66" w14:textId="77777777" w:rsidR="00B129AE" w:rsidRPr="002E0DE9" w:rsidRDefault="00B129AE" w:rsidP="00B129AE">
      <w:pPr>
        <w:widowControl w:val="0"/>
        <w:suppressAutoHyphens/>
        <w:autoSpaceDE w:val="0"/>
        <w:autoSpaceDN w:val="0"/>
        <w:textAlignment w:val="baseline"/>
        <w:rPr>
          <w:rFonts w:eastAsia="Times New Roman" w:cs="Arial"/>
          <w:sz w:val="21"/>
          <w:szCs w:val="21"/>
          <w:lang w:val="fr-FR"/>
        </w:rPr>
      </w:pPr>
    </w:p>
    <w:p w14:paraId="7CB0B7ED" w14:textId="77777777" w:rsidR="00B129AE" w:rsidRPr="002E0DE9" w:rsidRDefault="00B129AE" w:rsidP="00B129AE">
      <w:pPr>
        <w:widowControl w:val="0"/>
        <w:suppressAutoHyphens/>
        <w:autoSpaceDE w:val="0"/>
        <w:autoSpaceDN w:val="0"/>
        <w:textAlignment w:val="baseline"/>
        <w:rPr>
          <w:rFonts w:eastAsia="Times New Roman" w:cs="Arial"/>
          <w:sz w:val="21"/>
          <w:szCs w:val="21"/>
          <w:lang w:val="fr-FR"/>
        </w:rPr>
      </w:pPr>
    </w:p>
    <w:p w14:paraId="228D0C1D" w14:textId="77777777" w:rsidR="00B129AE" w:rsidRPr="002E0DE9" w:rsidRDefault="00B129AE" w:rsidP="00B129AE">
      <w:pPr>
        <w:widowControl w:val="0"/>
        <w:suppressAutoHyphens/>
        <w:autoSpaceDE w:val="0"/>
        <w:autoSpaceDN w:val="0"/>
        <w:textAlignment w:val="baseline"/>
        <w:rPr>
          <w:rFonts w:eastAsia="Times New Roman" w:cs="Arial"/>
          <w:sz w:val="21"/>
          <w:szCs w:val="21"/>
          <w:lang w:val="fr-FR"/>
        </w:rPr>
      </w:pPr>
    </w:p>
    <w:p w14:paraId="181688AF" w14:textId="77777777" w:rsidR="00B129AE" w:rsidRPr="002E0DE9" w:rsidRDefault="00B129AE" w:rsidP="00B129AE">
      <w:pPr>
        <w:widowControl w:val="0"/>
        <w:suppressAutoHyphens/>
        <w:autoSpaceDE w:val="0"/>
        <w:autoSpaceDN w:val="0"/>
        <w:textAlignment w:val="baseline"/>
        <w:rPr>
          <w:rFonts w:eastAsia="Times New Roman" w:cs="Arial"/>
          <w:sz w:val="21"/>
          <w:szCs w:val="21"/>
          <w:lang w:val="fr-FR"/>
        </w:rPr>
      </w:pPr>
    </w:p>
    <w:p w14:paraId="33865460" w14:textId="77777777" w:rsidR="00B129AE" w:rsidRPr="002E0DE9" w:rsidRDefault="00B129AE" w:rsidP="00B129AE">
      <w:pPr>
        <w:widowControl w:val="0"/>
        <w:suppressAutoHyphens/>
        <w:autoSpaceDE w:val="0"/>
        <w:autoSpaceDN w:val="0"/>
        <w:textAlignment w:val="baseline"/>
        <w:rPr>
          <w:rFonts w:eastAsia="Times New Roman" w:cs="Arial"/>
          <w:sz w:val="21"/>
          <w:szCs w:val="21"/>
          <w:lang w:val="fr-FR"/>
        </w:rPr>
      </w:pPr>
    </w:p>
    <w:p w14:paraId="4EED1F3D" w14:textId="579C677E" w:rsidR="004007D4" w:rsidRDefault="004007D4" w:rsidP="00693EE8">
      <w:pPr>
        <w:pStyle w:val="Firstnumbering"/>
        <w:numPr>
          <w:ilvl w:val="0"/>
          <w:numId w:val="0"/>
        </w:numPr>
      </w:pPr>
    </w:p>
    <w:p w14:paraId="4AD4C0FA" w14:textId="77777777" w:rsidR="00B01F0A" w:rsidRDefault="00B01F0A" w:rsidP="00693EE8">
      <w:pPr>
        <w:pStyle w:val="Firstnumbering"/>
        <w:numPr>
          <w:ilvl w:val="0"/>
          <w:numId w:val="0"/>
        </w:numPr>
      </w:pPr>
    </w:p>
    <w:p w14:paraId="0956DB34" w14:textId="77777777" w:rsidR="00B01F0A" w:rsidRDefault="00B01F0A" w:rsidP="00693EE8">
      <w:pPr>
        <w:pStyle w:val="Firstnumbering"/>
        <w:numPr>
          <w:ilvl w:val="0"/>
          <w:numId w:val="0"/>
        </w:numPr>
      </w:pPr>
    </w:p>
    <w:p w14:paraId="786B4312" w14:textId="77777777" w:rsidR="00B01F0A" w:rsidRDefault="00B01F0A" w:rsidP="00693EE8">
      <w:pPr>
        <w:pStyle w:val="Firstnumbering"/>
        <w:numPr>
          <w:ilvl w:val="0"/>
          <w:numId w:val="0"/>
        </w:numPr>
      </w:pPr>
    </w:p>
    <w:p w14:paraId="209965B0" w14:textId="77777777" w:rsidR="00B01F0A" w:rsidRDefault="00B01F0A" w:rsidP="00693EE8">
      <w:pPr>
        <w:pStyle w:val="Firstnumbering"/>
        <w:numPr>
          <w:ilvl w:val="0"/>
          <w:numId w:val="0"/>
        </w:numPr>
      </w:pPr>
    </w:p>
    <w:p w14:paraId="7CA29451" w14:textId="3A378529" w:rsidR="00B01F0A" w:rsidRDefault="00B01F0A" w:rsidP="00693EE8">
      <w:pPr>
        <w:pStyle w:val="Firstnumbering"/>
        <w:numPr>
          <w:ilvl w:val="0"/>
          <w:numId w:val="0"/>
        </w:numPr>
      </w:pPr>
      <w:r>
        <w:br w:type="page"/>
      </w:r>
    </w:p>
    <w:p w14:paraId="7EFC5C05" w14:textId="77777777" w:rsidR="00B01F0A" w:rsidRDefault="00B01F0A" w:rsidP="00693EE8">
      <w:pPr>
        <w:pStyle w:val="Firstnumbering"/>
        <w:numPr>
          <w:ilvl w:val="0"/>
          <w:numId w:val="0"/>
        </w:numPr>
      </w:pPr>
    </w:p>
    <w:p w14:paraId="2348DA6B" w14:textId="77777777" w:rsidR="00B01F0A" w:rsidRDefault="00B01F0A" w:rsidP="00B01F0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Pr>
          <w:rFonts w:eastAsia="Times New Roman" w:cs="Arial"/>
          <w:b/>
          <w:bCs/>
          <w:lang w:val="fr-FR"/>
        </w:rPr>
        <w:t>TAXONS AVIAIRES SUSCEPTIBLES D'INSCRIPTION</w:t>
      </w:r>
    </w:p>
    <w:p w14:paraId="3CEFF8FD" w14:textId="77777777" w:rsidR="00B01F0A" w:rsidRDefault="00B01F0A" w:rsidP="00B01F0A">
      <w:pPr>
        <w:suppressAutoHyphens/>
        <w:autoSpaceDN w:val="0"/>
        <w:textAlignment w:val="baseline"/>
        <w:rPr>
          <w:rFonts w:eastAsia="Calibri" w:cs="Arial"/>
          <w:lang w:val="fr-FR"/>
        </w:rPr>
      </w:pPr>
    </w:p>
    <w:p w14:paraId="04C5BD35" w14:textId="77777777" w:rsidR="00B01F0A" w:rsidRPr="002E0DE9" w:rsidRDefault="00B01F0A" w:rsidP="00B01F0A">
      <w:pPr>
        <w:suppressAutoHyphens/>
        <w:autoSpaceDN w:val="0"/>
        <w:textAlignment w:val="baseline"/>
        <w:rPr>
          <w:rFonts w:eastAsia="Calibri" w:cs="Arial"/>
          <w:lang w:val="fr-FR"/>
        </w:rPr>
      </w:pPr>
    </w:p>
    <w:p w14:paraId="5D2FCBA3" w14:textId="77777777" w:rsidR="00B01F0A" w:rsidRPr="002E0DE9" w:rsidRDefault="00B01F0A" w:rsidP="00B01F0A">
      <w:pPr>
        <w:suppressAutoHyphens/>
        <w:autoSpaceDN w:val="0"/>
        <w:textAlignment w:val="baseline"/>
        <w:rPr>
          <w:rFonts w:eastAsia="Calibri" w:cs="Arial"/>
          <w:u w:val="single"/>
          <w:lang w:val="fr-FR"/>
        </w:rPr>
      </w:pPr>
      <w:r>
        <w:rPr>
          <w:rFonts w:eastAsia="Calibri" w:cs="Arial"/>
          <w:u w:val="single"/>
          <w:lang w:val="fr-FR"/>
        </w:rPr>
        <w:t>Contexte</w:t>
      </w:r>
    </w:p>
    <w:p w14:paraId="0DA4223B" w14:textId="77777777" w:rsidR="00B01F0A" w:rsidRDefault="00B01F0A" w:rsidP="00B01F0A"/>
    <w:p w14:paraId="6CC1E821" w14:textId="77777777" w:rsidR="00B01F0A" w:rsidRPr="00ED6A0B" w:rsidRDefault="00B01F0A" w:rsidP="00BF38CE">
      <w:pPr>
        <w:widowControl w:val="0"/>
        <w:numPr>
          <w:ilvl w:val="0"/>
          <w:numId w:val="3"/>
        </w:numPr>
        <w:autoSpaceDE w:val="0"/>
        <w:autoSpaceDN w:val="0"/>
        <w:adjustRightInd w:val="0"/>
        <w:ind w:left="567" w:hanging="567"/>
        <w:contextualSpacing/>
        <w:jc w:val="both"/>
        <w:rPr>
          <w:rFonts w:cs="Arial"/>
          <w:lang w:val="fr-FR"/>
        </w:rPr>
      </w:pPr>
      <w:bookmarkStart w:id="0" w:name="_Hlk19517251"/>
      <w:r>
        <w:rPr>
          <w:rFonts w:cs="Arial"/>
          <w:lang w:val="fr-FR"/>
        </w:rPr>
        <w:t xml:space="preserve">À chaque session de la Conférence des Parties, les Parties sont invitées à présenter des propositions en vue d'ajouter des espèces aux Annexes de la Convention. Le processus est souvent facilité par les entités intéressées qui font des suggestions aux Parties et contribuent à la rédaction des propositions. </w:t>
      </w:r>
    </w:p>
    <w:p w14:paraId="65F32AC1" w14:textId="77777777" w:rsidR="00B01F0A" w:rsidRPr="00D92909" w:rsidRDefault="00B01F0A" w:rsidP="00B01F0A">
      <w:pPr>
        <w:widowControl w:val="0"/>
        <w:autoSpaceDE w:val="0"/>
        <w:autoSpaceDN w:val="0"/>
        <w:adjustRightInd w:val="0"/>
        <w:contextualSpacing/>
        <w:jc w:val="both"/>
        <w:rPr>
          <w:rFonts w:cs="Arial"/>
          <w:lang w:val="fr-FR"/>
        </w:rPr>
      </w:pPr>
    </w:p>
    <w:bookmarkEnd w:id="0"/>
    <w:p w14:paraId="3CBC1630" w14:textId="3542B9A7" w:rsidR="00B01F0A" w:rsidRPr="00D92909" w:rsidRDefault="00B01F0A" w:rsidP="00BF38CE">
      <w:pPr>
        <w:widowControl w:val="0"/>
        <w:numPr>
          <w:ilvl w:val="0"/>
          <w:numId w:val="3"/>
        </w:numPr>
        <w:autoSpaceDE w:val="0"/>
        <w:autoSpaceDN w:val="0"/>
        <w:adjustRightInd w:val="0"/>
        <w:ind w:left="567" w:hanging="567"/>
        <w:contextualSpacing/>
        <w:jc w:val="both"/>
        <w:rPr>
          <w:rFonts w:cs="Arial"/>
          <w:lang w:val="fr-FR"/>
        </w:rPr>
      </w:pPr>
      <w:r>
        <w:rPr>
          <w:rFonts w:cs="Arial"/>
          <w:lang w:val="fr-FR"/>
        </w:rPr>
        <w:t xml:space="preserve">Toutefois, ce processus est dépendant de personnes qui suggèrent des espèces pour lesquelles celles-ci portent un intérêt particulier. </w:t>
      </w:r>
      <w:r w:rsidR="00D61D7E">
        <w:rPr>
          <w:rFonts w:cs="Arial"/>
          <w:lang w:val="fr-FR"/>
        </w:rPr>
        <w:t>U</w:t>
      </w:r>
      <w:r>
        <w:rPr>
          <w:rFonts w:cs="Arial"/>
          <w:lang w:val="fr-FR"/>
        </w:rPr>
        <w:t>ne approche plus stratégique</w:t>
      </w:r>
      <w:r w:rsidR="00D61D7E">
        <w:rPr>
          <w:rFonts w:cs="Arial"/>
          <w:lang w:val="fr-FR"/>
        </w:rPr>
        <w:t xml:space="preserve"> pourrait être bénéfique</w:t>
      </w:r>
      <w:r>
        <w:rPr>
          <w:rFonts w:cs="Arial"/>
          <w:lang w:val="fr-FR"/>
        </w:rPr>
        <w:t xml:space="preserve">, en identifiant les espèces qui répondraient aux critères définis dans les Lignes directrices pour la préparation et l'évaluation des propositions d'amendement des Annexes de la Convention de la </w:t>
      </w:r>
      <w:hyperlink r:id="rId11" w:history="1">
        <w:r>
          <w:rPr>
            <w:rStyle w:val="Hyperlink"/>
            <w:rFonts w:cs="Arial"/>
            <w:lang w:val="fr-FR"/>
          </w:rPr>
          <w:t>Résolution 13.7</w:t>
        </w:r>
      </w:hyperlink>
      <w:r>
        <w:rPr>
          <w:rFonts w:cs="Arial"/>
          <w:lang w:val="fr-FR"/>
        </w:rPr>
        <w:t xml:space="preserve">. Cela permettrait aux Parties de donner la priorité aux espèces qui bénéficieraient le plus d'une inscription sur la liste et d'un travail de conservation conjoint en vertu de la Convention ; par exemple, dans le cadre d'une action concertée. </w:t>
      </w:r>
    </w:p>
    <w:p w14:paraId="16AC14BE" w14:textId="77777777" w:rsidR="00B01F0A" w:rsidRPr="00D92909" w:rsidRDefault="00B01F0A" w:rsidP="00B01F0A">
      <w:pPr>
        <w:pStyle w:val="Firstnumbering"/>
        <w:numPr>
          <w:ilvl w:val="0"/>
          <w:numId w:val="0"/>
        </w:numPr>
      </w:pPr>
    </w:p>
    <w:p w14:paraId="62A486AD" w14:textId="165104FB" w:rsidR="00B01F0A" w:rsidRDefault="00B01F0A" w:rsidP="00B01F0A">
      <w:pPr>
        <w:rPr>
          <w:rFonts w:cs="Arial"/>
          <w:u w:val="single"/>
          <w:lang w:val="fr-FR"/>
        </w:rPr>
      </w:pPr>
      <w:r>
        <w:rPr>
          <w:rFonts w:cs="Arial"/>
          <w:u w:val="single"/>
          <w:lang w:val="fr-FR"/>
        </w:rPr>
        <w:t xml:space="preserve">Une liste stratégique pour les </w:t>
      </w:r>
      <w:r w:rsidR="00D61D7E">
        <w:rPr>
          <w:rFonts w:cs="Arial"/>
          <w:u w:val="single"/>
          <w:lang w:val="fr-FR"/>
        </w:rPr>
        <w:t>espèces d’</w:t>
      </w:r>
      <w:r>
        <w:rPr>
          <w:rFonts w:cs="Arial"/>
          <w:u w:val="single"/>
          <w:lang w:val="fr-FR"/>
        </w:rPr>
        <w:t>oiseaux</w:t>
      </w:r>
    </w:p>
    <w:p w14:paraId="5CCF89E4" w14:textId="77777777" w:rsidR="00B01F0A" w:rsidRPr="00661875" w:rsidRDefault="00B01F0A" w:rsidP="00B01F0A">
      <w:pPr>
        <w:rPr>
          <w:rFonts w:cs="Arial"/>
          <w:u w:val="single"/>
          <w:lang w:val="fr-FR"/>
        </w:rPr>
      </w:pPr>
    </w:p>
    <w:p w14:paraId="20E9D103" w14:textId="2D0C735D" w:rsidR="00B01F0A" w:rsidRDefault="004524C2" w:rsidP="00BF38CE">
      <w:pPr>
        <w:widowControl w:val="0"/>
        <w:numPr>
          <w:ilvl w:val="0"/>
          <w:numId w:val="3"/>
        </w:numPr>
        <w:autoSpaceDE w:val="0"/>
        <w:autoSpaceDN w:val="0"/>
        <w:adjustRightInd w:val="0"/>
        <w:ind w:left="567" w:hanging="567"/>
        <w:contextualSpacing/>
        <w:jc w:val="both"/>
        <w:rPr>
          <w:rFonts w:cs="Arial"/>
          <w:lang w:val="fr-FR"/>
        </w:rPr>
      </w:pPr>
      <w:r>
        <w:rPr>
          <w:rFonts w:cs="Arial"/>
          <w:lang w:val="fr-FR"/>
        </w:rPr>
        <w:t>De nombreuses</w:t>
      </w:r>
      <w:r w:rsidR="00B01F0A">
        <w:rPr>
          <w:rFonts w:cs="Arial"/>
          <w:lang w:val="fr-FR"/>
        </w:rPr>
        <w:t xml:space="preserve"> espèces aviaires</w:t>
      </w:r>
      <w:r>
        <w:rPr>
          <w:rFonts w:cs="Arial"/>
          <w:lang w:val="fr-FR"/>
        </w:rPr>
        <w:t>,</w:t>
      </w:r>
      <w:r w:rsidR="00B01F0A">
        <w:rPr>
          <w:rFonts w:cs="Arial"/>
          <w:lang w:val="fr-FR"/>
        </w:rPr>
        <w:t xml:space="preserve"> dont une fraction importante franchit cycliquement et de façon prévisible une ou plusieurs des limites de juridiction nationale et dont l'état de conservation est défavorable, ne sont pas inscrites individuellement à l'Annexe I ou II et ne font pas partie d'une famille ou d'un genre agrégé de l'Annexe II. Cette liste pourrait aider les Parties à hiérarchiser les futures propositions d'inscription d'espèces aviaires. </w:t>
      </w:r>
    </w:p>
    <w:p w14:paraId="45042A1E" w14:textId="77777777" w:rsidR="00B01F0A" w:rsidRPr="00D92909" w:rsidRDefault="00B01F0A" w:rsidP="00B01F0A">
      <w:pPr>
        <w:widowControl w:val="0"/>
        <w:autoSpaceDE w:val="0"/>
        <w:autoSpaceDN w:val="0"/>
        <w:adjustRightInd w:val="0"/>
        <w:contextualSpacing/>
        <w:jc w:val="both"/>
        <w:rPr>
          <w:rFonts w:cs="Arial"/>
          <w:lang w:val="fr-FR"/>
        </w:rPr>
      </w:pPr>
    </w:p>
    <w:p w14:paraId="4BD0AC6C" w14:textId="06A956A2" w:rsidR="00B01F0A" w:rsidRPr="005D74BF" w:rsidRDefault="00B01F0A" w:rsidP="00BF38CE">
      <w:pPr>
        <w:widowControl w:val="0"/>
        <w:numPr>
          <w:ilvl w:val="0"/>
          <w:numId w:val="3"/>
        </w:numPr>
        <w:autoSpaceDE w:val="0"/>
        <w:autoSpaceDN w:val="0"/>
        <w:adjustRightInd w:val="0"/>
        <w:ind w:left="567" w:hanging="567"/>
        <w:jc w:val="both"/>
        <w:rPr>
          <w:rFonts w:cs="Arial"/>
          <w:lang w:val="fr-FR"/>
        </w:rPr>
      </w:pPr>
      <w:r>
        <w:rPr>
          <w:rFonts w:cs="Arial"/>
          <w:lang w:val="fr-FR"/>
        </w:rPr>
        <w:t xml:space="preserve">L'élaboration de listes similaires pour d'autres groupes taxonomiques pourrait également être bénéfique, et le Conseil scientifique est </w:t>
      </w:r>
      <w:r w:rsidR="004524C2">
        <w:rPr>
          <w:rFonts w:cs="Arial"/>
          <w:lang w:val="fr-FR"/>
        </w:rPr>
        <w:t>prié, par le biais d’un projet de décision,</w:t>
      </w:r>
      <w:r>
        <w:rPr>
          <w:rFonts w:cs="Arial"/>
          <w:lang w:val="fr-FR"/>
        </w:rPr>
        <w:t xml:space="preserve"> à entreprendre des travaux en vue d'aider les Parties lors de la prise de décisions stratégiques sur les propositions d'inscription futures pour l'ensemble des taxons. </w:t>
      </w:r>
    </w:p>
    <w:p w14:paraId="1F7377D0" w14:textId="77777777" w:rsidR="00B01F0A" w:rsidRPr="00CD0FE9" w:rsidRDefault="00B01F0A" w:rsidP="00B01F0A">
      <w:pPr>
        <w:rPr>
          <w:rFonts w:cs="Arial"/>
          <w:lang w:val="fr-FR"/>
        </w:rPr>
      </w:pPr>
    </w:p>
    <w:p w14:paraId="2BC83277" w14:textId="77777777" w:rsidR="00B01F0A" w:rsidRPr="00CD0FE9" w:rsidRDefault="00B01F0A" w:rsidP="00B01F0A">
      <w:pPr>
        <w:rPr>
          <w:rFonts w:cs="Arial"/>
          <w:u w:val="single"/>
          <w:lang w:val="fr-FR"/>
        </w:rPr>
      </w:pPr>
      <w:r>
        <w:rPr>
          <w:rFonts w:cs="Arial"/>
          <w:u w:val="single"/>
          <w:lang w:val="fr-FR"/>
        </w:rPr>
        <w:t>Discussion et analyse</w:t>
      </w:r>
    </w:p>
    <w:p w14:paraId="3A44D925" w14:textId="77777777" w:rsidR="00B01F0A" w:rsidRPr="00CD0FE9" w:rsidRDefault="00B01F0A" w:rsidP="00B01F0A">
      <w:pPr>
        <w:rPr>
          <w:rFonts w:cs="Arial"/>
          <w:lang w:val="fr-FR"/>
        </w:rPr>
      </w:pPr>
    </w:p>
    <w:p w14:paraId="7E4B3914" w14:textId="77777777" w:rsidR="00B01F0A" w:rsidRPr="0096029F" w:rsidRDefault="00B01F0A" w:rsidP="00BF38CE">
      <w:pPr>
        <w:widowControl w:val="0"/>
        <w:numPr>
          <w:ilvl w:val="0"/>
          <w:numId w:val="3"/>
        </w:numPr>
        <w:autoSpaceDE w:val="0"/>
        <w:autoSpaceDN w:val="0"/>
        <w:adjustRightInd w:val="0"/>
        <w:ind w:left="567" w:hanging="567"/>
        <w:jc w:val="both"/>
        <w:rPr>
          <w:rFonts w:cs="Arial"/>
          <w:lang w:val="fr-FR"/>
        </w:rPr>
      </w:pPr>
      <w:r>
        <w:rPr>
          <w:rFonts w:cs="Arial"/>
          <w:lang w:val="fr-FR"/>
        </w:rPr>
        <w:t xml:space="preserve">Jusqu'à présent, le processus d'amendement des Annexes de la Convention s'est déroulé de façon relativement </w:t>
      </w:r>
      <w:r>
        <w:rPr>
          <w:lang w:val="fr-FR"/>
        </w:rPr>
        <w:t>ad</w:t>
      </w:r>
      <w:r>
        <w:rPr>
          <w:rFonts w:cs="Arial"/>
          <w:lang w:val="fr-FR"/>
        </w:rPr>
        <w:t xml:space="preserve"> </w:t>
      </w:r>
      <w:r>
        <w:rPr>
          <w:lang w:val="fr-FR"/>
        </w:rPr>
        <w:t>hoc</w:t>
      </w:r>
      <w:r>
        <w:rPr>
          <w:rFonts w:cs="Arial"/>
          <w:lang w:val="fr-FR"/>
        </w:rPr>
        <w:t xml:space="preserve">. À la lumière de la crise actuelle que connaît la biodiversité, une approche plus stratégique est nécessaire en vue de guider les mesures d'urgence requises pour éviter de futures extinctions et pour encourager les Parties à travailler ensemble à l'amélioration de l'état de conservation de chacune des espèces migratrices. </w:t>
      </w:r>
    </w:p>
    <w:p w14:paraId="26D9AFE6" w14:textId="77777777" w:rsidR="00B01F0A" w:rsidRPr="0096029F" w:rsidRDefault="00B01F0A" w:rsidP="00B01F0A">
      <w:pPr>
        <w:widowControl w:val="0"/>
        <w:autoSpaceDE w:val="0"/>
        <w:autoSpaceDN w:val="0"/>
        <w:adjustRightInd w:val="0"/>
        <w:jc w:val="both"/>
        <w:rPr>
          <w:rFonts w:cs="Arial"/>
          <w:lang w:val="fr-FR"/>
        </w:rPr>
      </w:pPr>
    </w:p>
    <w:p w14:paraId="083DD94F" w14:textId="77777777" w:rsidR="00B01F0A" w:rsidRDefault="00B01F0A" w:rsidP="00BF38CE">
      <w:pPr>
        <w:widowControl w:val="0"/>
        <w:numPr>
          <w:ilvl w:val="0"/>
          <w:numId w:val="3"/>
        </w:numPr>
        <w:autoSpaceDE w:val="0"/>
        <w:autoSpaceDN w:val="0"/>
        <w:adjustRightInd w:val="0"/>
        <w:ind w:left="567" w:hanging="567"/>
        <w:jc w:val="both"/>
        <w:rPr>
          <w:rFonts w:cs="Arial"/>
          <w:lang w:val="fr-FR"/>
        </w:rPr>
      </w:pPr>
      <w:r>
        <w:rPr>
          <w:rFonts w:cs="Arial"/>
          <w:lang w:val="fr-FR"/>
        </w:rPr>
        <w:t xml:space="preserve">Comprendre quelles espèces pourraient être inscrites sur la liste de la Convention est une première étape pour décider de celles qui bénéficieraient le plus d'une inscription. Dans le cadre de la Convention, il est désormais considéré comme une bonne pratique que les propositions d'inscription soient accompagnées d'actions concertées. Les avantages de cette approche sont évidents : des actions immédiates répondant aux besoins des espèces sont proposées en même temps que ces dernières sont ajoutées aux Annexes de la Convention. Mais la pièce manquante du puzzle est l'identification initiale des espèces qui mériteraient d'être inscrites aux Annexes de la Convention. </w:t>
      </w:r>
    </w:p>
    <w:p w14:paraId="47C65B81" w14:textId="40355755" w:rsidR="00B01F0A" w:rsidRDefault="00B01F0A" w:rsidP="00B01F0A">
      <w:pPr>
        <w:pStyle w:val="ListParagraph"/>
        <w:jc w:val="both"/>
        <w:rPr>
          <w:lang w:val="fr-FR"/>
        </w:rPr>
      </w:pPr>
      <w:r>
        <w:rPr>
          <w:lang w:val="fr-FR"/>
        </w:rPr>
        <w:br w:type="page"/>
      </w:r>
    </w:p>
    <w:p w14:paraId="59642162" w14:textId="77777777" w:rsidR="00B01F0A" w:rsidRPr="006E2FE4" w:rsidRDefault="00B01F0A" w:rsidP="00B01F0A">
      <w:pPr>
        <w:pStyle w:val="ListParagraph"/>
        <w:jc w:val="both"/>
        <w:rPr>
          <w:lang w:val="fr-FR"/>
        </w:rPr>
      </w:pPr>
    </w:p>
    <w:p w14:paraId="1FB1395C" w14:textId="77777777" w:rsidR="00B01F0A" w:rsidRDefault="00B01F0A" w:rsidP="00BF38CE">
      <w:pPr>
        <w:widowControl w:val="0"/>
        <w:numPr>
          <w:ilvl w:val="0"/>
          <w:numId w:val="3"/>
        </w:numPr>
        <w:autoSpaceDE w:val="0"/>
        <w:autoSpaceDN w:val="0"/>
        <w:adjustRightInd w:val="0"/>
        <w:ind w:left="567" w:hanging="567"/>
        <w:jc w:val="both"/>
        <w:rPr>
          <w:rFonts w:cs="Arial"/>
          <w:lang w:val="fr-FR"/>
        </w:rPr>
      </w:pPr>
      <w:r>
        <w:rPr>
          <w:rFonts w:cs="Arial"/>
          <w:lang w:val="fr-FR"/>
        </w:rPr>
        <w:t xml:space="preserve">En conséquence, la liste de l'Annexe 1 du projet de résolution peut aider les Parties lors de la prise de décision quant aux espèces aviaires requérant en priorité des mesures d'urgence, en fonction de leur statut migratoire et de leur état de conservation. Les Parties peuvent souhaiter orienter leurs efforts initiaux vers les espèces considérées par l'Union internationale pour la conservation de la nature (UICN) comme En danger critique ou En danger. </w:t>
      </w:r>
    </w:p>
    <w:p w14:paraId="6CF23B90" w14:textId="77777777" w:rsidR="00B01F0A" w:rsidRDefault="00B01F0A" w:rsidP="00B01F0A">
      <w:pPr>
        <w:pStyle w:val="ListParagraph"/>
        <w:jc w:val="both"/>
        <w:rPr>
          <w:rFonts w:cs="Arial"/>
          <w:lang w:val="fr-FR"/>
        </w:rPr>
      </w:pPr>
    </w:p>
    <w:p w14:paraId="78E9E46D" w14:textId="4A43DC33" w:rsidR="00B01F0A" w:rsidRPr="00B01F0A" w:rsidRDefault="00B01F0A" w:rsidP="00BF38CE">
      <w:pPr>
        <w:widowControl w:val="0"/>
        <w:numPr>
          <w:ilvl w:val="0"/>
          <w:numId w:val="3"/>
        </w:numPr>
        <w:autoSpaceDE w:val="0"/>
        <w:autoSpaceDN w:val="0"/>
        <w:adjustRightInd w:val="0"/>
        <w:ind w:left="567" w:hanging="567"/>
        <w:jc w:val="both"/>
        <w:rPr>
          <w:rFonts w:cs="Arial"/>
          <w:lang w:val="fr-FR"/>
        </w:rPr>
      </w:pPr>
      <w:r>
        <w:rPr>
          <w:rFonts w:cs="Arial"/>
          <w:lang w:val="fr-FR"/>
        </w:rPr>
        <w:t>Des décisions adressées au Conseil scientifique, au Secrétariat et aux Parties sont également proposées.</w:t>
      </w:r>
    </w:p>
    <w:p w14:paraId="3FED2F1F" w14:textId="77777777" w:rsidR="00B01F0A" w:rsidRPr="00CD0FE9" w:rsidRDefault="00B01F0A" w:rsidP="00B01F0A">
      <w:pPr>
        <w:jc w:val="both"/>
        <w:rPr>
          <w:rFonts w:cs="Arial"/>
          <w:lang w:val="fr-FR"/>
        </w:rPr>
      </w:pPr>
    </w:p>
    <w:p w14:paraId="0935861E" w14:textId="77777777" w:rsidR="00B01F0A" w:rsidRPr="00CD0FE9" w:rsidRDefault="00B01F0A" w:rsidP="00B01F0A">
      <w:pPr>
        <w:keepNext/>
        <w:rPr>
          <w:rFonts w:cs="Arial"/>
          <w:lang w:val="fr-FR"/>
        </w:rPr>
      </w:pPr>
      <w:r>
        <w:rPr>
          <w:rFonts w:cs="Arial"/>
          <w:u w:val="single"/>
          <w:lang w:val="fr-FR"/>
        </w:rPr>
        <w:t>Actions recommandées</w:t>
      </w:r>
    </w:p>
    <w:p w14:paraId="6566D5CF" w14:textId="77777777" w:rsidR="00B01F0A" w:rsidRPr="00CD0FE9" w:rsidRDefault="00B01F0A" w:rsidP="00B01F0A">
      <w:pPr>
        <w:keepNext/>
        <w:rPr>
          <w:rFonts w:cs="Arial"/>
          <w:lang w:val="fr-FR"/>
        </w:rPr>
      </w:pPr>
    </w:p>
    <w:p w14:paraId="352546C8" w14:textId="69EBE133" w:rsidR="00B01F0A" w:rsidRPr="00CD0FE9" w:rsidRDefault="00B01F0A" w:rsidP="00BF38CE">
      <w:pPr>
        <w:widowControl w:val="0"/>
        <w:numPr>
          <w:ilvl w:val="0"/>
          <w:numId w:val="3"/>
        </w:numPr>
        <w:autoSpaceDE w:val="0"/>
        <w:autoSpaceDN w:val="0"/>
        <w:adjustRightInd w:val="0"/>
        <w:ind w:left="567" w:hanging="567"/>
        <w:jc w:val="both"/>
        <w:rPr>
          <w:rFonts w:cs="Arial"/>
          <w:lang w:val="fr-FR"/>
        </w:rPr>
      </w:pPr>
      <w:r>
        <w:rPr>
          <w:rFonts w:cs="Arial"/>
          <w:lang w:val="fr-FR" w:eastAsia="en-GB"/>
        </w:rPr>
        <w:t xml:space="preserve">Il est recommandé </w:t>
      </w:r>
      <w:r w:rsidR="004524C2">
        <w:rPr>
          <w:rFonts w:cs="Arial"/>
          <w:lang w:val="fr-FR" w:eastAsia="en-GB"/>
        </w:rPr>
        <w:t>à la Conférence des Parties</w:t>
      </w:r>
      <w:r>
        <w:rPr>
          <w:rFonts w:cs="Arial"/>
          <w:lang w:val="fr-FR"/>
        </w:rPr>
        <w:t xml:space="preserve"> :</w:t>
      </w:r>
    </w:p>
    <w:p w14:paraId="721945AA" w14:textId="77777777" w:rsidR="00B01F0A" w:rsidRPr="00C761F0" w:rsidRDefault="00B01F0A" w:rsidP="00B01F0A">
      <w:pPr>
        <w:rPr>
          <w:lang w:val="fr-FR"/>
        </w:rPr>
      </w:pPr>
    </w:p>
    <w:p w14:paraId="4E9270E2" w14:textId="41F7B5EC" w:rsidR="00B01F0A" w:rsidRPr="00523B80" w:rsidRDefault="00B01F0A" w:rsidP="00B01F0A">
      <w:pPr>
        <w:pStyle w:val="Secondnumbering"/>
        <w:rPr>
          <w:sz w:val="22"/>
          <w:szCs w:val="22"/>
          <w:lang w:val="fr-FR"/>
        </w:rPr>
      </w:pPr>
      <w:r>
        <w:rPr>
          <w:sz w:val="22"/>
          <w:szCs w:val="22"/>
          <w:lang w:val="fr-FR"/>
        </w:rPr>
        <w:t>d'</w:t>
      </w:r>
      <w:r w:rsidR="004524C2">
        <w:rPr>
          <w:sz w:val="22"/>
          <w:szCs w:val="22"/>
          <w:lang w:val="fr-FR"/>
        </w:rPr>
        <w:t>adopter</w:t>
      </w:r>
      <w:r>
        <w:rPr>
          <w:sz w:val="22"/>
          <w:szCs w:val="22"/>
          <w:lang w:val="fr-FR"/>
        </w:rPr>
        <w:t xml:space="preserve"> le projet de Résolution figurant à l'Annexe 1 du présent document; </w:t>
      </w:r>
    </w:p>
    <w:p w14:paraId="63017E1E" w14:textId="77777777" w:rsidR="00B01F0A" w:rsidRPr="00523B80" w:rsidRDefault="00B01F0A" w:rsidP="00B01F0A">
      <w:pPr>
        <w:pStyle w:val="Secondnumbering"/>
        <w:numPr>
          <w:ilvl w:val="0"/>
          <w:numId w:val="0"/>
        </w:numPr>
        <w:ind w:left="1134"/>
        <w:rPr>
          <w:sz w:val="22"/>
          <w:szCs w:val="22"/>
          <w:lang w:val="fr-FR"/>
        </w:rPr>
      </w:pPr>
    </w:p>
    <w:p w14:paraId="4B5033F1" w14:textId="59AF8F22" w:rsidR="00B01F0A" w:rsidRDefault="00B01F0A" w:rsidP="00B01F0A">
      <w:pPr>
        <w:pStyle w:val="Secondnumbering"/>
        <w:rPr>
          <w:sz w:val="22"/>
          <w:szCs w:val="22"/>
          <w:lang w:val="fr-FR"/>
        </w:rPr>
      </w:pPr>
      <w:r>
        <w:rPr>
          <w:sz w:val="22"/>
          <w:szCs w:val="22"/>
          <w:lang w:val="fr-FR"/>
        </w:rPr>
        <w:t>d'</w:t>
      </w:r>
      <w:r w:rsidR="004524C2">
        <w:rPr>
          <w:sz w:val="22"/>
          <w:szCs w:val="22"/>
          <w:lang w:val="fr-FR"/>
        </w:rPr>
        <w:t>adopter</w:t>
      </w:r>
      <w:r>
        <w:rPr>
          <w:sz w:val="22"/>
          <w:szCs w:val="22"/>
          <w:lang w:val="fr-FR"/>
        </w:rPr>
        <w:t xml:space="preserve"> le projet de Décisions figurant à l'Annexe 2 du présent document.</w:t>
      </w:r>
    </w:p>
    <w:p w14:paraId="55DAC1FC" w14:textId="77777777" w:rsidR="00B01F0A" w:rsidRDefault="00B01F0A" w:rsidP="00693EE8">
      <w:pPr>
        <w:pStyle w:val="Firstnumbering"/>
        <w:numPr>
          <w:ilvl w:val="0"/>
          <w:numId w:val="0"/>
        </w:numPr>
        <w:sectPr w:rsidR="00B01F0A" w:rsidSect="00292E63">
          <w:headerReference w:type="even" r:id="rId12"/>
          <w:headerReference w:type="default" r:id="rId13"/>
          <w:footerReference w:type="even" r:id="rId14"/>
          <w:footerReference w:type="default" r:id="rId15"/>
          <w:headerReference w:type="first" r:id="rId16"/>
          <w:pgSz w:w="11906" w:h="16838" w:code="9"/>
          <w:pgMar w:top="1440" w:right="1440" w:bottom="1440" w:left="1440" w:header="720" w:footer="390" w:gutter="0"/>
          <w:cols w:space="720"/>
          <w:titlePg/>
          <w:docGrid w:linePitch="360"/>
        </w:sectPr>
      </w:pPr>
    </w:p>
    <w:p w14:paraId="50EE8CA0" w14:textId="77777777" w:rsidR="00B01F0A" w:rsidRPr="00C15318" w:rsidRDefault="00B01F0A" w:rsidP="00B01F0A">
      <w:pPr>
        <w:pStyle w:val="Secondnumbering"/>
        <w:numPr>
          <w:ilvl w:val="0"/>
          <w:numId w:val="0"/>
        </w:numPr>
        <w:jc w:val="right"/>
        <w:rPr>
          <w:lang w:val="fr-FR"/>
        </w:rPr>
      </w:pPr>
      <w:r>
        <w:rPr>
          <w:b/>
          <w:caps/>
          <w:lang w:val="fr-FR"/>
        </w:rPr>
        <w:lastRenderedPageBreak/>
        <w:t>Annexe 1</w:t>
      </w:r>
    </w:p>
    <w:p w14:paraId="6A95C58B" w14:textId="77777777" w:rsidR="00B01F0A" w:rsidRDefault="00B01F0A" w:rsidP="00B01F0A">
      <w:pPr>
        <w:pStyle w:val="Secondnumbering"/>
        <w:numPr>
          <w:ilvl w:val="0"/>
          <w:numId w:val="0"/>
        </w:numPr>
        <w:rPr>
          <w:lang w:val="fr-FR"/>
        </w:rPr>
      </w:pPr>
    </w:p>
    <w:p w14:paraId="0EC84329" w14:textId="77777777" w:rsidR="00B01F0A" w:rsidRDefault="00B01F0A" w:rsidP="00B01F0A">
      <w:pPr>
        <w:widowControl w:val="0"/>
        <w:autoSpaceDE w:val="0"/>
        <w:autoSpaceDN w:val="0"/>
        <w:adjustRightInd w:val="0"/>
        <w:jc w:val="center"/>
        <w:rPr>
          <w:rFonts w:eastAsia="Times New Roman" w:cs="Arial"/>
          <w:lang w:val="fr-FR"/>
        </w:rPr>
      </w:pPr>
      <w:r>
        <w:rPr>
          <w:rFonts w:eastAsia="Times New Roman" w:cs="Arial"/>
          <w:lang w:val="fr-FR"/>
        </w:rPr>
        <w:t>[PROJET DE RÉSOLUTION]</w:t>
      </w:r>
    </w:p>
    <w:p w14:paraId="33C53152" w14:textId="77777777" w:rsidR="00B01F0A" w:rsidRDefault="00B01F0A" w:rsidP="00B01F0A">
      <w:pPr>
        <w:widowControl w:val="0"/>
        <w:autoSpaceDE w:val="0"/>
        <w:autoSpaceDN w:val="0"/>
        <w:adjustRightInd w:val="0"/>
        <w:jc w:val="center"/>
        <w:rPr>
          <w:rFonts w:eastAsia="Times New Roman" w:cs="Arial"/>
          <w:lang w:val="fr-FR"/>
        </w:rPr>
      </w:pPr>
    </w:p>
    <w:p w14:paraId="2F01DDD3" w14:textId="77777777" w:rsidR="00B01F0A" w:rsidRDefault="00B01F0A" w:rsidP="00B01F0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Pr>
          <w:rFonts w:eastAsia="Times New Roman" w:cs="Arial"/>
          <w:b/>
          <w:bCs/>
          <w:lang w:val="fr-FR"/>
        </w:rPr>
        <w:t>TAXONS SUSCEPTIBLES D'INSCRIPTION</w:t>
      </w:r>
    </w:p>
    <w:p w14:paraId="75A7A29E" w14:textId="77777777" w:rsidR="00B01F0A" w:rsidRDefault="00B01F0A" w:rsidP="00B01F0A">
      <w:pPr>
        <w:widowControl w:val="0"/>
        <w:autoSpaceDE w:val="0"/>
        <w:autoSpaceDN w:val="0"/>
        <w:adjustRightInd w:val="0"/>
        <w:jc w:val="both"/>
        <w:rPr>
          <w:rFonts w:eastAsia="MS Mincho" w:cs="Arial"/>
          <w:lang w:val="fr-FR"/>
        </w:rPr>
      </w:pPr>
    </w:p>
    <w:p w14:paraId="3B1685BA" w14:textId="77777777" w:rsidR="00B01F0A" w:rsidRDefault="00B01F0A" w:rsidP="00B01F0A">
      <w:pPr>
        <w:widowControl w:val="0"/>
        <w:autoSpaceDE w:val="0"/>
        <w:autoSpaceDN w:val="0"/>
        <w:adjustRightInd w:val="0"/>
        <w:jc w:val="both"/>
        <w:rPr>
          <w:rFonts w:eastAsia="Times New Roman" w:cs="Arial"/>
          <w:i/>
          <w:lang w:val="fr-FR"/>
        </w:rPr>
      </w:pPr>
      <w:r>
        <w:rPr>
          <w:rFonts w:eastAsia="Times New Roman" w:cs="Arial"/>
          <w:i/>
          <w:lang w:val="fr-FR"/>
        </w:rPr>
        <w:t xml:space="preserve">Rappelant </w:t>
      </w:r>
      <w:r>
        <w:rPr>
          <w:rFonts w:eastAsia="Times New Roman" w:cs="Arial"/>
          <w:iCs/>
          <w:lang w:val="fr-FR"/>
        </w:rPr>
        <w:t xml:space="preserve">les </w:t>
      </w:r>
      <w:r>
        <w:rPr>
          <w:rFonts w:cs="Arial"/>
          <w:lang w:val="fr-FR"/>
        </w:rPr>
        <w:t xml:space="preserve">Lignes directrices pour la préparation et l'évaluation des propositions d'amendement des Annexes de la Convention de la Résolution 13.7 et les </w:t>
      </w:r>
      <w:r>
        <w:rPr>
          <w:lang w:val="fr-FR"/>
        </w:rPr>
        <w:t>Lignes directrices pour la mise en œuvre du processus d’actions concertées de la Résolution 12.28 (Rev.COP13)</w:t>
      </w:r>
      <w:r>
        <w:rPr>
          <w:rFonts w:eastAsia="Times New Roman" w:cs="Arial"/>
          <w:iCs/>
          <w:lang w:val="fr-FR"/>
        </w:rPr>
        <w:t>,</w:t>
      </w:r>
    </w:p>
    <w:p w14:paraId="6A1513FF" w14:textId="77777777" w:rsidR="00B01F0A" w:rsidRDefault="00B01F0A" w:rsidP="00B01F0A">
      <w:pPr>
        <w:widowControl w:val="0"/>
        <w:autoSpaceDE w:val="0"/>
        <w:autoSpaceDN w:val="0"/>
        <w:adjustRightInd w:val="0"/>
        <w:jc w:val="both"/>
        <w:rPr>
          <w:rFonts w:eastAsia="Times New Roman" w:cs="Arial"/>
          <w:i/>
          <w:lang w:val="fr-FR"/>
        </w:rPr>
      </w:pPr>
    </w:p>
    <w:p w14:paraId="45AD1F43" w14:textId="77777777" w:rsidR="00B01F0A" w:rsidRDefault="00B01F0A" w:rsidP="00B01F0A">
      <w:pPr>
        <w:widowControl w:val="0"/>
        <w:autoSpaceDE w:val="0"/>
        <w:autoSpaceDN w:val="0"/>
        <w:adjustRightInd w:val="0"/>
        <w:jc w:val="both"/>
        <w:rPr>
          <w:rFonts w:eastAsia="Times New Roman" w:cs="Arial"/>
          <w:i/>
          <w:lang w:val="fr-FR"/>
        </w:rPr>
      </w:pPr>
      <w:r>
        <w:rPr>
          <w:rFonts w:eastAsia="Times New Roman" w:cs="Arial"/>
          <w:i/>
          <w:lang w:val="fr-FR"/>
        </w:rPr>
        <w:t xml:space="preserve">Réaffirmant </w:t>
      </w:r>
      <w:r>
        <w:rPr>
          <w:rFonts w:eastAsia="Times New Roman" w:cs="Arial"/>
          <w:iCs/>
          <w:lang w:val="fr-FR"/>
        </w:rPr>
        <w:t>l'importance d'une action conjointe pour améliorer l'état de conservation des espèces migratrices,</w:t>
      </w:r>
    </w:p>
    <w:p w14:paraId="1D953053" w14:textId="77777777" w:rsidR="00B01F0A" w:rsidRDefault="00B01F0A" w:rsidP="00B01F0A">
      <w:pPr>
        <w:widowControl w:val="0"/>
        <w:autoSpaceDE w:val="0"/>
        <w:autoSpaceDN w:val="0"/>
        <w:adjustRightInd w:val="0"/>
        <w:jc w:val="both"/>
        <w:rPr>
          <w:rFonts w:eastAsia="Times New Roman" w:cs="Arial"/>
          <w:i/>
          <w:lang w:val="fr-FR"/>
        </w:rPr>
      </w:pPr>
    </w:p>
    <w:p w14:paraId="544888B4" w14:textId="22A82341" w:rsidR="003531DB" w:rsidRPr="003531DB" w:rsidRDefault="003531DB" w:rsidP="00B01F0A">
      <w:pPr>
        <w:widowControl w:val="0"/>
        <w:autoSpaceDE w:val="0"/>
        <w:autoSpaceDN w:val="0"/>
        <w:adjustRightInd w:val="0"/>
        <w:jc w:val="both"/>
        <w:rPr>
          <w:rFonts w:eastAsia="Times New Roman" w:cs="Arial"/>
          <w:iCs/>
          <w:lang w:val="fr-FR"/>
        </w:rPr>
      </w:pPr>
      <w:r w:rsidRPr="003531DB">
        <w:rPr>
          <w:rFonts w:eastAsia="Times New Roman" w:cs="Arial"/>
          <w:i/>
          <w:lang w:val="fr-FR"/>
        </w:rPr>
        <w:t xml:space="preserve">Notant </w:t>
      </w:r>
      <w:r w:rsidRPr="003531DB">
        <w:rPr>
          <w:rFonts w:eastAsia="Times New Roman" w:cs="Arial"/>
          <w:iCs/>
          <w:lang w:val="fr-FR"/>
        </w:rPr>
        <w:t>le texte de la Convention à l'Article VIII 5.c), qui stipule que le Conseil scientifique devrait faire des recommandations à la Conférence des Parties sur les espèces migratrices à inclure dans les Annexes I ou II, ainsi qu'une indication de l'aire de répartition de ces espèces migratrices,</w:t>
      </w:r>
    </w:p>
    <w:p w14:paraId="16BDCFA1" w14:textId="77777777" w:rsidR="003531DB" w:rsidRDefault="003531DB" w:rsidP="00B01F0A">
      <w:pPr>
        <w:widowControl w:val="0"/>
        <w:autoSpaceDE w:val="0"/>
        <w:autoSpaceDN w:val="0"/>
        <w:adjustRightInd w:val="0"/>
        <w:jc w:val="both"/>
        <w:rPr>
          <w:rFonts w:eastAsia="Times New Roman" w:cs="Arial"/>
          <w:i/>
          <w:lang w:val="fr-FR"/>
        </w:rPr>
      </w:pPr>
    </w:p>
    <w:p w14:paraId="7F6B919A" w14:textId="77777777" w:rsidR="00B01F0A" w:rsidRDefault="00B01F0A" w:rsidP="00B01F0A">
      <w:pPr>
        <w:widowControl w:val="0"/>
        <w:autoSpaceDE w:val="0"/>
        <w:autoSpaceDN w:val="0"/>
        <w:adjustRightInd w:val="0"/>
        <w:jc w:val="both"/>
        <w:rPr>
          <w:rFonts w:eastAsia="Times New Roman" w:cs="Arial"/>
          <w:i/>
          <w:lang w:val="fr-FR"/>
        </w:rPr>
      </w:pPr>
      <w:r>
        <w:rPr>
          <w:rFonts w:eastAsia="Times New Roman" w:cs="Arial"/>
          <w:i/>
          <w:lang w:val="fr-FR"/>
        </w:rPr>
        <w:t xml:space="preserve">Notant </w:t>
      </w:r>
      <w:r>
        <w:rPr>
          <w:rFonts w:eastAsia="Times New Roman" w:cs="Arial"/>
          <w:iCs/>
          <w:lang w:val="fr-FR"/>
        </w:rPr>
        <w:t>l'importance d'adopter une approche stratégique dans l'élaboration des propositions d'inscription sur la liste, afin de se concentrer sur les espèces qui en bénéficieraient le plus,</w:t>
      </w:r>
    </w:p>
    <w:p w14:paraId="5CBDBCA7" w14:textId="77777777" w:rsidR="00B01F0A" w:rsidRDefault="00B01F0A" w:rsidP="00B01F0A">
      <w:pPr>
        <w:widowControl w:val="0"/>
        <w:autoSpaceDE w:val="0"/>
        <w:autoSpaceDN w:val="0"/>
        <w:adjustRightInd w:val="0"/>
        <w:jc w:val="both"/>
        <w:rPr>
          <w:rFonts w:eastAsia="Times New Roman" w:cs="Arial"/>
          <w:i/>
          <w:lang w:val="fr-FR"/>
        </w:rPr>
      </w:pPr>
    </w:p>
    <w:p w14:paraId="75FB284F" w14:textId="2FEB690D" w:rsidR="00B01F0A" w:rsidRDefault="00B01F0A" w:rsidP="00B01F0A">
      <w:pPr>
        <w:widowControl w:val="0"/>
        <w:autoSpaceDE w:val="0"/>
        <w:autoSpaceDN w:val="0"/>
        <w:adjustRightInd w:val="0"/>
        <w:jc w:val="both"/>
        <w:rPr>
          <w:rFonts w:eastAsia="Times New Roman" w:cs="Arial"/>
          <w:i/>
          <w:lang w:val="fr-FR"/>
        </w:rPr>
      </w:pPr>
      <w:r>
        <w:rPr>
          <w:rFonts w:eastAsia="Times New Roman" w:cs="Arial"/>
          <w:i/>
          <w:lang w:val="fr-FR"/>
        </w:rPr>
        <w:t xml:space="preserve">Saluant </w:t>
      </w:r>
      <w:r>
        <w:rPr>
          <w:rFonts w:eastAsia="Times New Roman" w:cs="Arial"/>
          <w:iCs/>
          <w:lang w:val="fr-FR"/>
        </w:rPr>
        <w:t xml:space="preserve">les travaux du Comité de session </w:t>
      </w:r>
      <w:r>
        <w:rPr>
          <w:lang w:val="fr-FR"/>
        </w:rPr>
        <w:t>lors la période intersessions entre la COP13 et la COP14 sur les taxons aviaires</w:t>
      </w:r>
      <w:r>
        <w:rPr>
          <w:rFonts w:eastAsia="Times New Roman" w:cs="Arial"/>
          <w:iCs/>
          <w:lang w:val="fr-FR"/>
        </w:rPr>
        <w:t>,</w:t>
      </w:r>
      <w:r w:rsidR="003531DB">
        <w:rPr>
          <w:rFonts w:eastAsia="Times New Roman" w:cs="Arial"/>
          <w:iCs/>
          <w:lang w:val="fr-FR"/>
        </w:rPr>
        <w:t xml:space="preserve"> </w:t>
      </w:r>
      <w:r w:rsidR="003531DB" w:rsidRPr="003531DB">
        <w:rPr>
          <w:rFonts w:eastAsia="Times New Roman" w:cs="Arial"/>
          <w:iCs/>
          <w:lang w:val="fr-FR"/>
        </w:rPr>
        <w:t>ainsi que les travaux entrepris sur tous les taxons dans le cadre de l'élaboration de l'état des espèces migratrices dans le monde, et</w:t>
      </w:r>
    </w:p>
    <w:p w14:paraId="3F465024" w14:textId="77777777" w:rsidR="00B01F0A" w:rsidRDefault="00B01F0A" w:rsidP="00B01F0A">
      <w:pPr>
        <w:widowControl w:val="0"/>
        <w:autoSpaceDE w:val="0"/>
        <w:autoSpaceDN w:val="0"/>
        <w:adjustRightInd w:val="0"/>
        <w:jc w:val="both"/>
        <w:rPr>
          <w:rFonts w:eastAsia="Times New Roman" w:cs="Arial"/>
          <w:i/>
          <w:lang w:val="fr-FR"/>
        </w:rPr>
      </w:pPr>
    </w:p>
    <w:p w14:paraId="077D4F38" w14:textId="26885D5F" w:rsidR="00B01F0A" w:rsidRDefault="003531DB" w:rsidP="00B01F0A">
      <w:pPr>
        <w:widowControl w:val="0"/>
        <w:autoSpaceDE w:val="0"/>
        <w:autoSpaceDN w:val="0"/>
        <w:adjustRightInd w:val="0"/>
        <w:jc w:val="both"/>
        <w:rPr>
          <w:rFonts w:eastAsia="Times New Roman" w:cs="Arial"/>
          <w:iCs/>
          <w:lang w:val="fr-FR"/>
        </w:rPr>
      </w:pPr>
      <w:r w:rsidRPr="003531DB">
        <w:rPr>
          <w:rFonts w:eastAsia="Times New Roman" w:cs="Arial"/>
          <w:i/>
          <w:lang w:val="fr-FR"/>
        </w:rPr>
        <w:t xml:space="preserve">Étant consciente </w:t>
      </w:r>
      <w:r w:rsidRPr="003531DB">
        <w:rPr>
          <w:rFonts w:eastAsia="Times New Roman" w:cs="Arial"/>
          <w:iCs/>
          <w:lang w:val="fr-FR"/>
        </w:rPr>
        <w:t>du fait que certaines espèces aviaires ont des données insuffisantes et que des efforts importants sont nécessaires pour améliorer le niveau de connaissance de ces taxons afin d'éviter le risque d'ignorer des taxons qui méritent des efforts de conservation, les listes proposées ici doivent être considérées comme des taxons qui nécessitent une action sur la base du niveau actuel des connaissances, mais n'englobent pas nécessairement tous les taxons qui ont besoin d'initiatives de conservation,</w:t>
      </w:r>
    </w:p>
    <w:p w14:paraId="48DB5DC8" w14:textId="77777777" w:rsidR="003531DB" w:rsidRPr="003531DB" w:rsidRDefault="003531DB" w:rsidP="00B01F0A">
      <w:pPr>
        <w:widowControl w:val="0"/>
        <w:autoSpaceDE w:val="0"/>
        <w:autoSpaceDN w:val="0"/>
        <w:adjustRightInd w:val="0"/>
        <w:jc w:val="both"/>
        <w:rPr>
          <w:rFonts w:eastAsia="Times New Roman" w:cs="Arial"/>
          <w:iCs/>
          <w:lang w:val="fr-FR"/>
        </w:rPr>
      </w:pPr>
    </w:p>
    <w:p w14:paraId="6D54DE86" w14:textId="77777777" w:rsidR="00B01F0A" w:rsidRPr="00831DC2" w:rsidRDefault="00B01F0A" w:rsidP="00B01F0A">
      <w:pPr>
        <w:widowControl w:val="0"/>
        <w:autoSpaceDE w:val="0"/>
        <w:autoSpaceDN w:val="0"/>
        <w:adjustRightInd w:val="0"/>
        <w:jc w:val="center"/>
        <w:rPr>
          <w:rFonts w:eastAsia="Times New Roman" w:cs="Arial"/>
          <w:i/>
          <w:lang w:val="fr-FR"/>
        </w:rPr>
      </w:pPr>
      <w:r>
        <w:rPr>
          <w:rFonts w:eastAsia="Times New Roman" w:cs="Arial"/>
          <w:i/>
          <w:lang w:val="fr-FR"/>
        </w:rPr>
        <w:t>La Conférence des Parties à la</w:t>
      </w:r>
    </w:p>
    <w:p w14:paraId="6BE9A9F2" w14:textId="77777777" w:rsidR="00B01F0A" w:rsidRPr="00831DC2" w:rsidRDefault="00B01F0A" w:rsidP="00B01F0A">
      <w:pPr>
        <w:widowControl w:val="0"/>
        <w:autoSpaceDE w:val="0"/>
        <w:autoSpaceDN w:val="0"/>
        <w:adjustRightInd w:val="0"/>
        <w:jc w:val="center"/>
        <w:rPr>
          <w:rFonts w:eastAsia="Times New Roman" w:cs="Arial"/>
          <w:i/>
          <w:lang w:val="fr-FR"/>
        </w:rPr>
      </w:pPr>
      <w:r>
        <w:rPr>
          <w:rFonts w:eastAsia="Times New Roman" w:cs="Arial"/>
          <w:i/>
          <w:lang w:val="fr-FR"/>
        </w:rPr>
        <w:t>Convention sur la conservation des espèces migratrices appartenant à la faune sauvage</w:t>
      </w:r>
    </w:p>
    <w:p w14:paraId="7E299F13" w14:textId="77777777" w:rsidR="00B01F0A" w:rsidRPr="00831DC2" w:rsidRDefault="00B01F0A" w:rsidP="00B01F0A">
      <w:pPr>
        <w:widowControl w:val="0"/>
        <w:autoSpaceDE w:val="0"/>
        <w:autoSpaceDN w:val="0"/>
        <w:adjustRightInd w:val="0"/>
        <w:jc w:val="both"/>
        <w:rPr>
          <w:rFonts w:eastAsia="Times New Roman" w:cs="Arial"/>
          <w:lang w:val="fr-FR"/>
        </w:rPr>
      </w:pPr>
    </w:p>
    <w:p w14:paraId="30EEEE07" w14:textId="604E5671" w:rsidR="00B01F0A" w:rsidRDefault="00B01F0A" w:rsidP="003531DB">
      <w:pPr>
        <w:widowControl w:val="0"/>
        <w:numPr>
          <w:ilvl w:val="0"/>
          <w:numId w:val="4"/>
        </w:numPr>
        <w:autoSpaceDE w:val="0"/>
        <w:autoSpaceDN w:val="0"/>
        <w:adjustRightInd w:val="0"/>
        <w:ind w:left="567" w:hanging="567"/>
        <w:jc w:val="both"/>
        <w:rPr>
          <w:rFonts w:eastAsia="Times New Roman" w:cs="Arial"/>
          <w:lang w:val="fr-FR"/>
        </w:rPr>
      </w:pPr>
      <w:r w:rsidRPr="003531DB">
        <w:rPr>
          <w:rFonts w:eastAsia="Times New Roman" w:cs="Arial"/>
          <w:i/>
          <w:lang w:val="fr-FR"/>
        </w:rPr>
        <w:t>A</w:t>
      </w:r>
      <w:r w:rsidR="003531DB" w:rsidRPr="003531DB">
        <w:rPr>
          <w:rFonts w:eastAsia="Times New Roman" w:cs="Arial"/>
          <w:i/>
          <w:lang w:val="fr-FR"/>
        </w:rPr>
        <w:t>pprouve</w:t>
      </w:r>
      <w:r w:rsidRPr="003531DB">
        <w:rPr>
          <w:rFonts w:eastAsia="Times New Roman" w:cs="Arial"/>
          <w:i/>
          <w:lang w:val="fr-FR"/>
        </w:rPr>
        <w:t xml:space="preserve"> </w:t>
      </w:r>
      <w:r w:rsidRPr="003531DB">
        <w:rPr>
          <w:rFonts w:eastAsia="Times New Roman" w:cs="Arial"/>
          <w:iCs/>
          <w:lang w:val="fr-FR"/>
        </w:rPr>
        <w:t xml:space="preserve">la liste des espèces aviaires susceptibles </w:t>
      </w:r>
      <w:r w:rsidR="003531DB" w:rsidRPr="003531DB">
        <w:rPr>
          <w:rFonts w:eastAsia="Times New Roman" w:cs="Arial"/>
          <w:lang w:val="fr-FR"/>
        </w:rPr>
        <w:t>de remplir les critères d'inscription</w:t>
      </w:r>
      <w:r w:rsidR="003531DB" w:rsidRPr="003531DB">
        <w:rPr>
          <w:rFonts w:eastAsia="Times New Roman" w:cs="Arial"/>
          <w:iCs/>
          <w:lang w:val="fr-FR"/>
        </w:rPr>
        <w:t xml:space="preserve"> </w:t>
      </w:r>
      <w:r w:rsidRPr="003531DB">
        <w:rPr>
          <w:rFonts w:eastAsia="Times New Roman" w:cs="Arial"/>
          <w:iCs/>
          <w:lang w:val="fr-FR"/>
        </w:rPr>
        <w:t>aux Annexes de la Convention, figurant en annexe à la présente résolution, en tant qu'étape stratégique visant à orienter la Convention vers les espèces qui bénéficieraient le plus de mesures de conservation</w:t>
      </w:r>
      <w:r w:rsidR="003531DB" w:rsidRPr="003531DB">
        <w:rPr>
          <w:rFonts w:eastAsia="Times New Roman" w:cs="Arial"/>
          <w:lang w:val="fr-FR"/>
        </w:rPr>
        <w:t>,</w:t>
      </w:r>
    </w:p>
    <w:p w14:paraId="7E232553" w14:textId="77777777" w:rsidR="003531DB" w:rsidRPr="003531DB" w:rsidRDefault="003531DB" w:rsidP="003531DB">
      <w:pPr>
        <w:widowControl w:val="0"/>
        <w:autoSpaceDE w:val="0"/>
        <w:autoSpaceDN w:val="0"/>
        <w:adjustRightInd w:val="0"/>
        <w:ind w:left="567"/>
        <w:jc w:val="both"/>
        <w:rPr>
          <w:rFonts w:eastAsia="Times New Roman" w:cs="Arial"/>
          <w:lang w:val="fr-FR"/>
        </w:rPr>
      </w:pPr>
    </w:p>
    <w:p w14:paraId="592E47C7" w14:textId="56955E21" w:rsidR="00B01F0A" w:rsidRPr="00831DC2" w:rsidRDefault="00B01F0A" w:rsidP="00BF38CE">
      <w:pPr>
        <w:widowControl w:val="0"/>
        <w:numPr>
          <w:ilvl w:val="0"/>
          <w:numId w:val="4"/>
        </w:numPr>
        <w:autoSpaceDE w:val="0"/>
        <w:autoSpaceDN w:val="0"/>
        <w:adjustRightInd w:val="0"/>
        <w:ind w:left="567" w:hanging="567"/>
        <w:jc w:val="both"/>
        <w:rPr>
          <w:rFonts w:eastAsia="Times New Roman" w:cs="Arial"/>
          <w:lang w:val="fr-FR"/>
        </w:rPr>
      </w:pPr>
      <w:r>
        <w:rPr>
          <w:rFonts w:eastAsia="Times New Roman" w:cs="Arial"/>
          <w:i/>
          <w:lang w:val="fr-FR"/>
        </w:rPr>
        <w:t xml:space="preserve">Invite </w:t>
      </w:r>
      <w:r>
        <w:rPr>
          <w:rFonts w:eastAsia="Times New Roman" w:cs="Arial"/>
          <w:lang w:val="fr-FR"/>
        </w:rPr>
        <w:t xml:space="preserve">les Parties, les organisations non gouvernementales, les organisations intergouvernementales et les autres parties prenantes à envisager de travailler conjointement à l'élaboration de propositions d'inscription et d'actions concertées </w:t>
      </w:r>
      <w:r w:rsidR="003531DB" w:rsidRPr="003531DB">
        <w:rPr>
          <w:rFonts w:eastAsia="Times New Roman" w:cs="Arial"/>
          <w:lang w:val="fr-FR"/>
        </w:rPr>
        <w:t>et d'autres interventions de conservation d'espèces multiples ou d'habitats plus vastes</w:t>
      </w:r>
      <w:r w:rsidR="003531DB" w:rsidRPr="003531DB">
        <w:rPr>
          <w:rFonts w:eastAsia="Times New Roman" w:cs="Arial"/>
          <w:lang w:val="fr-FR"/>
        </w:rPr>
        <w:t xml:space="preserve"> </w:t>
      </w:r>
      <w:r>
        <w:rPr>
          <w:rFonts w:eastAsia="Times New Roman" w:cs="Arial"/>
          <w:lang w:val="fr-FR"/>
        </w:rPr>
        <w:t xml:space="preserve">pour les espèces figurant à l'Annexe, en vue de leur examen lors des prochaines réunions de la Conférence des Parties; </w:t>
      </w:r>
    </w:p>
    <w:p w14:paraId="5F8470D6" w14:textId="77777777" w:rsidR="00B01F0A" w:rsidRPr="00831DC2" w:rsidRDefault="00B01F0A" w:rsidP="00B01F0A">
      <w:pPr>
        <w:widowControl w:val="0"/>
        <w:autoSpaceDE w:val="0"/>
        <w:autoSpaceDN w:val="0"/>
        <w:adjustRightInd w:val="0"/>
        <w:ind w:left="567" w:hanging="567"/>
        <w:rPr>
          <w:rFonts w:eastAsia="Times New Roman" w:cs="Arial"/>
          <w:lang w:val="fr-FR"/>
        </w:rPr>
      </w:pPr>
    </w:p>
    <w:p w14:paraId="76E9AFE2" w14:textId="00A19E1D" w:rsidR="00B01F0A" w:rsidRPr="008F4F61" w:rsidRDefault="00B01F0A" w:rsidP="00BF38CE">
      <w:pPr>
        <w:widowControl w:val="0"/>
        <w:numPr>
          <w:ilvl w:val="0"/>
          <w:numId w:val="4"/>
        </w:numPr>
        <w:autoSpaceDE w:val="0"/>
        <w:autoSpaceDN w:val="0"/>
        <w:adjustRightInd w:val="0"/>
        <w:ind w:left="567" w:hanging="567"/>
        <w:jc w:val="both"/>
        <w:rPr>
          <w:rFonts w:eastAsia="Times New Roman" w:cs="Arial"/>
          <w:lang w:val="fr-FR"/>
        </w:rPr>
      </w:pPr>
      <w:r w:rsidRPr="003531DB">
        <w:rPr>
          <w:rFonts w:eastAsia="Times New Roman" w:cs="Arial"/>
          <w:i/>
          <w:lang w:val="fr-FR"/>
        </w:rPr>
        <w:t xml:space="preserve">Prie </w:t>
      </w:r>
      <w:r w:rsidRPr="003531DB">
        <w:rPr>
          <w:rFonts w:eastAsia="Times New Roman" w:cs="Arial"/>
          <w:iCs/>
          <w:lang w:val="fr-FR"/>
        </w:rPr>
        <w:t>le Conseil scientifique d'examiner</w:t>
      </w:r>
      <w:r w:rsidR="003531DB">
        <w:rPr>
          <w:rFonts w:eastAsia="Times New Roman" w:cs="Arial"/>
          <w:iCs/>
          <w:lang w:val="fr-FR"/>
        </w:rPr>
        <w:t xml:space="preserve">, </w:t>
      </w:r>
      <w:r w:rsidR="003531DB" w:rsidRPr="003531DB">
        <w:rPr>
          <w:rFonts w:eastAsia="Times New Roman" w:cs="Arial"/>
          <w:iCs/>
          <w:lang w:val="fr-FR"/>
        </w:rPr>
        <w:t>en coordination avec les autorités chargées de la liste rouge de l'UICN</w:t>
      </w:r>
      <w:r w:rsidR="003531DB">
        <w:rPr>
          <w:rFonts w:eastAsia="Times New Roman" w:cs="Arial"/>
          <w:iCs/>
          <w:lang w:val="fr-FR"/>
        </w:rPr>
        <w:t>,</w:t>
      </w:r>
      <w:r w:rsidRPr="003531DB">
        <w:rPr>
          <w:rFonts w:eastAsia="Times New Roman" w:cs="Arial"/>
          <w:iCs/>
          <w:lang w:val="fr-FR"/>
        </w:rPr>
        <w:t xml:space="preserve"> </w:t>
      </w:r>
      <w:r w:rsidR="003531DB" w:rsidRPr="003531DB">
        <w:rPr>
          <w:rFonts w:eastAsia="Times New Roman" w:cs="Arial"/>
          <w:iCs/>
          <w:lang w:val="fr-FR"/>
        </w:rPr>
        <w:t xml:space="preserve">y compris les espèces pour lesquelles les données sont insuffisantes, et </w:t>
      </w:r>
      <w:r w:rsidR="003531DB">
        <w:rPr>
          <w:rFonts w:eastAsia="Times New Roman" w:cs="Arial"/>
          <w:iCs/>
          <w:lang w:val="fr-FR"/>
        </w:rPr>
        <w:t xml:space="preserve">de </w:t>
      </w:r>
      <w:r w:rsidR="003531DB" w:rsidRPr="003531DB">
        <w:rPr>
          <w:rFonts w:eastAsia="Times New Roman" w:cs="Arial"/>
          <w:iCs/>
          <w:lang w:val="fr-FR"/>
        </w:rPr>
        <w:t>mettre à jour</w:t>
      </w:r>
      <w:r w:rsidR="003531DB" w:rsidRPr="003531DB">
        <w:rPr>
          <w:rFonts w:eastAsia="Times New Roman" w:cs="Arial"/>
          <w:iCs/>
          <w:lang w:val="fr-FR"/>
        </w:rPr>
        <w:t xml:space="preserve"> </w:t>
      </w:r>
      <w:r w:rsidRPr="003531DB">
        <w:rPr>
          <w:rFonts w:eastAsia="Times New Roman" w:cs="Arial"/>
          <w:iCs/>
          <w:lang w:val="fr-FR"/>
        </w:rPr>
        <w:t xml:space="preserve">la liste de l'Annexe entre les </w:t>
      </w:r>
      <w:r w:rsidR="003531DB">
        <w:rPr>
          <w:rFonts w:eastAsia="Times New Roman" w:cs="Arial"/>
          <w:iCs/>
          <w:lang w:val="fr-FR"/>
        </w:rPr>
        <w:t>réunions</w:t>
      </w:r>
      <w:r w:rsidRPr="003531DB">
        <w:rPr>
          <w:rFonts w:eastAsia="Times New Roman" w:cs="Arial"/>
          <w:iCs/>
          <w:lang w:val="fr-FR"/>
        </w:rPr>
        <w:t xml:space="preserve"> de la Conférence</w:t>
      </w:r>
      <w:r>
        <w:rPr>
          <w:rFonts w:eastAsia="Times New Roman" w:cs="Arial"/>
          <w:iCs/>
          <w:lang w:val="fr-FR"/>
        </w:rPr>
        <w:t xml:space="preserve"> des Parties</w:t>
      </w:r>
      <w:r>
        <w:rPr>
          <w:rFonts w:eastAsia="Times New Roman" w:cs="Arial"/>
          <w:i/>
          <w:lang w:val="fr-FR"/>
        </w:rPr>
        <w:t xml:space="preserve">. </w:t>
      </w:r>
    </w:p>
    <w:p w14:paraId="0C48AF6C" w14:textId="77777777" w:rsidR="00B01F0A" w:rsidRDefault="00B01F0A" w:rsidP="00B01F0A">
      <w:pPr>
        <w:pStyle w:val="Firstnumbering"/>
        <w:numPr>
          <w:ilvl w:val="0"/>
          <w:numId w:val="0"/>
        </w:numPr>
        <w:contextualSpacing w:val="0"/>
        <w:sectPr w:rsidR="00B01F0A" w:rsidSect="00101B1A">
          <w:headerReference w:type="first" r:id="rId17"/>
          <w:footerReference w:type="first" r:id="rId18"/>
          <w:pgSz w:w="11906" w:h="16838" w:code="9"/>
          <w:pgMar w:top="1140" w:right="1140" w:bottom="1140" w:left="1140" w:header="720" w:footer="390" w:gutter="0"/>
          <w:cols w:space="720"/>
          <w:titlePg/>
          <w:docGrid w:linePitch="360"/>
        </w:sectPr>
      </w:pPr>
    </w:p>
    <w:p w14:paraId="4EB55EF0" w14:textId="77777777" w:rsidR="00B01F0A" w:rsidRPr="00C472BC" w:rsidRDefault="00B01F0A" w:rsidP="00B01F0A">
      <w:pPr>
        <w:pStyle w:val="ListParagraph"/>
        <w:spacing w:after="120"/>
        <w:ind w:left="0"/>
        <w:jc w:val="both"/>
        <w:rPr>
          <w:rFonts w:cs="Arial"/>
          <w:lang w:val="fr-FR"/>
        </w:rPr>
      </w:pPr>
      <w:r>
        <w:rPr>
          <w:rFonts w:cs="Arial"/>
          <w:b/>
          <w:bCs/>
          <w:i/>
          <w:lang w:val="fr-FR"/>
        </w:rPr>
        <w:lastRenderedPageBreak/>
        <w:t xml:space="preserve">Annexe à la Résolution 14.xx. </w:t>
      </w:r>
      <w:r>
        <w:rPr>
          <w:rFonts w:cs="Arial"/>
          <w:lang w:val="fr-FR"/>
        </w:rPr>
        <w:t xml:space="preserve">Liste des espèces aviaires qui répondent aux critères de mouvement de la CMS et ayant un état de conservation défavorable, qui ne sont pas incluses au sein de familles agrégées et qui ne sont actuellement pas inscrites individuellement à l'Annexe I ou à l'Annexe II de la CMS. Les taxons en caractères gras sont menacés : En danger critique (CR, 14 </w:t>
      </w:r>
      <w:proofErr w:type="spellStart"/>
      <w:r>
        <w:rPr>
          <w:rFonts w:cs="Arial"/>
          <w:lang w:val="fr-FR"/>
        </w:rPr>
        <w:t>spp</w:t>
      </w:r>
      <w:proofErr w:type="spellEnd"/>
      <w:r>
        <w:rPr>
          <w:rFonts w:cs="Arial"/>
          <w:lang w:val="fr-FR"/>
        </w:rPr>
        <w:t xml:space="preserve">.), En danger (EN, 31 </w:t>
      </w:r>
      <w:proofErr w:type="spellStart"/>
      <w:r>
        <w:rPr>
          <w:rFonts w:cs="Arial"/>
          <w:lang w:val="fr-FR"/>
        </w:rPr>
        <w:t>spp</w:t>
      </w:r>
      <w:proofErr w:type="spellEnd"/>
      <w:r>
        <w:rPr>
          <w:rFonts w:cs="Arial"/>
          <w:lang w:val="fr-FR"/>
        </w:rPr>
        <w:t xml:space="preserve">.), Vulnérable (VU, 53 </w:t>
      </w:r>
      <w:proofErr w:type="spellStart"/>
      <w:r>
        <w:rPr>
          <w:rFonts w:cs="Arial"/>
          <w:lang w:val="fr-FR"/>
        </w:rPr>
        <w:t>spp</w:t>
      </w:r>
      <w:proofErr w:type="spellEnd"/>
      <w:r>
        <w:rPr>
          <w:rFonts w:cs="Arial"/>
          <w:lang w:val="fr-FR"/>
        </w:rPr>
        <w:t xml:space="preserve">.) ou Données insuffisantes (DD, 2 </w:t>
      </w:r>
      <w:proofErr w:type="spellStart"/>
      <w:r>
        <w:rPr>
          <w:rFonts w:cs="Arial"/>
          <w:lang w:val="fr-FR"/>
        </w:rPr>
        <w:t>spp</w:t>
      </w:r>
      <w:proofErr w:type="spellEnd"/>
      <w:r>
        <w:rPr>
          <w:rFonts w:cs="Arial"/>
          <w:lang w:val="fr-FR"/>
        </w:rPr>
        <w:t xml:space="preserve">.). Les espèces en caractères simples sont quasi menacées (NT, 58 </w:t>
      </w:r>
      <w:proofErr w:type="spellStart"/>
      <w:r>
        <w:rPr>
          <w:rFonts w:cs="Arial"/>
          <w:lang w:val="fr-FR"/>
        </w:rPr>
        <w:t>spp</w:t>
      </w:r>
      <w:proofErr w:type="spellEnd"/>
      <w:r>
        <w:rPr>
          <w:rFonts w:cs="Arial"/>
          <w:lang w:val="fr-FR"/>
        </w:rPr>
        <w:t>.). Total de 158 espèces (sur 1 443 espèces répondant aux critères de mouvement de la CMS).</w:t>
      </w:r>
    </w:p>
    <w:tbl>
      <w:tblPr>
        <w:tblW w:w="14752" w:type="dxa"/>
        <w:tblInd w:w="-30" w:type="dxa"/>
        <w:tblLayout w:type="fixed"/>
        <w:tblLook w:val="0000" w:firstRow="0" w:lastRow="0" w:firstColumn="0" w:lastColumn="0" w:noHBand="0" w:noVBand="0"/>
      </w:tblPr>
      <w:tblGrid>
        <w:gridCol w:w="1731"/>
        <w:gridCol w:w="1964"/>
        <w:gridCol w:w="2126"/>
        <w:gridCol w:w="1413"/>
        <w:gridCol w:w="7518"/>
      </w:tblGrid>
      <w:tr w:rsidR="00B01F0A" w:rsidRPr="00B01F0A" w14:paraId="6EE13EBD" w14:textId="77777777" w:rsidTr="00B7394E">
        <w:trPr>
          <w:cantSplit/>
          <w:tblHeader/>
        </w:trPr>
        <w:tc>
          <w:tcPr>
            <w:tcW w:w="1731" w:type="dxa"/>
            <w:tcBorders>
              <w:bottom w:val="single" w:sz="4" w:space="0" w:color="auto"/>
            </w:tcBorders>
            <w:shd w:val="clear" w:color="auto" w:fill="auto"/>
            <w:vAlign w:val="bottom"/>
          </w:tcPr>
          <w:p w14:paraId="1F07FA07"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Famille</w:t>
            </w:r>
          </w:p>
        </w:tc>
        <w:tc>
          <w:tcPr>
            <w:tcW w:w="1964" w:type="dxa"/>
            <w:tcBorders>
              <w:bottom w:val="single" w:sz="4" w:space="0" w:color="auto"/>
            </w:tcBorders>
            <w:shd w:val="clear" w:color="auto" w:fill="auto"/>
            <w:vAlign w:val="bottom"/>
          </w:tcPr>
          <w:p w14:paraId="100F940C"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Nom commun</w:t>
            </w:r>
          </w:p>
        </w:tc>
        <w:tc>
          <w:tcPr>
            <w:tcW w:w="2126" w:type="dxa"/>
            <w:tcBorders>
              <w:bottom w:val="single" w:sz="4" w:space="0" w:color="auto"/>
            </w:tcBorders>
            <w:shd w:val="clear" w:color="auto" w:fill="auto"/>
            <w:vAlign w:val="bottom"/>
          </w:tcPr>
          <w:p w14:paraId="40AF37FF"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Nom scientifique</w:t>
            </w:r>
          </w:p>
        </w:tc>
        <w:tc>
          <w:tcPr>
            <w:tcW w:w="1413" w:type="dxa"/>
            <w:tcBorders>
              <w:bottom w:val="single" w:sz="4" w:space="0" w:color="auto"/>
            </w:tcBorders>
            <w:shd w:val="clear" w:color="auto" w:fill="auto"/>
            <w:vAlign w:val="bottom"/>
          </w:tcPr>
          <w:p w14:paraId="1D040EDA" w14:textId="77777777" w:rsidR="00B01F0A" w:rsidRPr="00B01F0A" w:rsidRDefault="00B01F0A" w:rsidP="00B7394E">
            <w:pPr>
              <w:autoSpaceDE w:val="0"/>
              <w:autoSpaceDN w:val="0"/>
              <w:adjustRightInd w:val="0"/>
              <w:jc w:val="center"/>
              <w:rPr>
                <w:rFonts w:cs="Arial"/>
                <w:b/>
                <w:bCs/>
                <w:color w:val="000000"/>
                <w:sz w:val="20"/>
                <w:szCs w:val="20"/>
                <w:lang w:val="fr-FR"/>
              </w:rPr>
            </w:pPr>
            <w:r w:rsidRPr="00B01F0A">
              <w:rPr>
                <w:rFonts w:cs="Arial"/>
                <w:b/>
                <w:bCs/>
                <w:color w:val="000000"/>
                <w:sz w:val="20"/>
                <w:szCs w:val="20"/>
                <w:lang w:val="fr-FR"/>
              </w:rPr>
              <w:t>Catégorie de la liste rouge 2023 de l'UICN</w:t>
            </w:r>
          </w:p>
        </w:tc>
        <w:tc>
          <w:tcPr>
            <w:tcW w:w="7518" w:type="dxa"/>
            <w:tcBorders>
              <w:bottom w:val="single" w:sz="4" w:space="0" w:color="auto"/>
            </w:tcBorders>
            <w:shd w:val="clear" w:color="auto" w:fill="auto"/>
            <w:vAlign w:val="bottom"/>
          </w:tcPr>
          <w:p w14:paraId="3FBA732C" w14:textId="77777777" w:rsidR="00B01F0A" w:rsidRPr="00B01F0A" w:rsidRDefault="00B01F0A" w:rsidP="00B7394E">
            <w:pPr>
              <w:autoSpaceDE w:val="0"/>
              <w:autoSpaceDN w:val="0"/>
              <w:adjustRightInd w:val="0"/>
              <w:jc w:val="both"/>
              <w:rPr>
                <w:rFonts w:cs="Arial"/>
                <w:b/>
                <w:bCs/>
                <w:color w:val="000000"/>
                <w:sz w:val="20"/>
                <w:szCs w:val="20"/>
                <w:lang w:val="fr-FR"/>
              </w:rPr>
            </w:pPr>
            <w:r w:rsidRPr="00B01F0A">
              <w:rPr>
                <w:rFonts w:cs="Arial"/>
                <w:b/>
                <w:bCs/>
                <w:color w:val="000000"/>
                <w:sz w:val="20"/>
                <w:szCs w:val="20"/>
                <w:lang w:val="fr-FR"/>
              </w:rPr>
              <w:t>Texte récapitulatif des mouvements</w:t>
            </w:r>
          </w:p>
        </w:tc>
      </w:tr>
      <w:tr w:rsidR="00B01F0A" w:rsidRPr="00B01F0A" w14:paraId="29A4286D" w14:textId="77777777" w:rsidTr="00B7394E">
        <w:trPr>
          <w:cantSplit/>
        </w:trPr>
        <w:tc>
          <w:tcPr>
            <w:tcW w:w="1731" w:type="dxa"/>
            <w:tcBorders>
              <w:top w:val="single" w:sz="4" w:space="0" w:color="auto"/>
            </w:tcBorders>
            <w:shd w:val="clear" w:color="auto" w:fill="auto"/>
          </w:tcPr>
          <w:p w14:paraId="5230DE1B"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Phasianidae</w:t>
            </w:r>
          </w:p>
        </w:tc>
        <w:tc>
          <w:tcPr>
            <w:tcW w:w="1964" w:type="dxa"/>
            <w:tcBorders>
              <w:top w:val="single" w:sz="4" w:space="0" w:color="auto"/>
            </w:tcBorders>
            <w:shd w:val="clear" w:color="auto" w:fill="auto"/>
          </w:tcPr>
          <w:p w14:paraId="37C59EFB"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Caille japonaise</w:t>
            </w:r>
          </w:p>
        </w:tc>
        <w:tc>
          <w:tcPr>
            <w:tcW w:w="2126" w:type="dxa"/>
            <w:tcBorders>
              <w:top w:val="single" w:sz="4" w:space="0" w:color="auto"/>
            </w:tcBorders>
            <w:shd w:val="clear" w:color="auto" w:fill="auto"/>
          </w:tcPr>
          <w:p w14:paraId="3370CF9D"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Coturnix japonica</w:t>
            </w:r>
          </w:p>
        </w:tc>
        <w:tc>
          <w:tcPr>
            <w:tcW w:w="1413" w:type="dxa"/>
            <w:tcBorders>
              <w:top w:val="single" w:sz="4" w:space="0" w:color="auto"/>
            </w:tcBorders>
            <w:shd w:val="clear" w:color="auto" w:fill="auto"/>
          </w:tcPr>
          <w:p w14:paraId="09D97801"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tcBorders>
              <w:top w:val="single" w:sz="4" w:space="0" w:color="auto"/>
            </w:tcBorders>
            <w:shd w:val="clear" w:color="auto" w:fill="auto"/>
          </w:tcPr>
          <w:p w14:paraId="76DD7A2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239116A1" w14:textId="77777777" w:rsidTr="00B7394E">
        <w:trPr>
          <w:cantSplit/>
        </w:trPr>
        <w:tc>
          <w:tcPr>
            <w:tcW w:w="1731" w:type="dxa"/>
            <w:shd w:val="clear" w:color="auto" w:fill="auto"/>
          </w:tcPr>
          <w:p w14:paraId="32C4788E"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Columbidae</w:t>
            </w:r>
          </w:p>
        </w:tc>
        <w:tc>
          <w:tcPr>
            <w:tcW w:w="1964" w:type="dxa"/>
            <w:shd w:val="clear" w:color="auto" w:fill="auto"/>
          </w:tcPr>
          <w:p w14:paraId="3651BFB8"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Pigeon d'</w:t>
            </w:r>
            <w:proofErr w:type="spellStart"/>
            <w:r w:rsidRPr="00B01F0A">
              <w:rPr>
                <w:rFonts w:cs="Arial"/>
                <w:b/>
                <w:bCs/>
                <w:color w:val="000000"/>
                <w:sz w:val="20"/>
                <w:szCs w:val="20"/>
                <w:lang w:val="fr-FR"/>
              </w:rPr>
              <w:t>Eversmann</w:t>
            </w:r>
            <w:proofErr w:type="spellEnd"/>
          </w:p>
        </w:tc>
        <w:tc>
          <w:tcPr>
            <w:tcW w:w="2126" w:type="dxa"/>
            <w:shd w:val="clear" w:color="auto" w:fill="auto"/>
          </w:tcPr>
          <w:p w14:paraId="7934D167"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Columba </w:t>
            </w:r>
            <w:proofErr w:type="spellStart"/>
            <w:r w:rsidRPr="00B01F0A">
              <w:rPr>
                <w:rFonts w:cs="Arial"/>
                <w:b/>
                <w:bCs/>
                <w:i/>
                <w:iCs/>
                <w:color w:val="000000"/>
                <w:sz w:val="20"/>
                <w:szCs w:val="20"/>
                <w:lang w:val="en-AU"/>
              </w:rPr>
              <w:t>eversmanni</w:t>
            </w:r>
            <w:proofErr w:type="spellEnd"/>
          </w:p>
        </w:tc>
        <w:tc>
          <w:tcPr>
            <w:tcW w:w="1413" w:type="dxa"/>
            <w:shd w:val="clear" w:color="auto" w:fill="auto"/>
          </w:tcPr>
          <w:p w14:paraId="7A525B45"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448453D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et de non-reproduction étant occupés de façon fiable chaque saison ; les individus parcourent généralement plus de 1 000 km du nord au sud ; au moins certains déplacements sont principalement altitudinaux ; au moins une sous-population distincte de la voie de migration est considérée comme sédentaire. Répond aux critères de mouvement de la CMS.</w:t>
            </w:r>
          </w:p>
        </w:tc>
      </w:tr>
      <w:tr w:rsidR="00B01F0A" w:rsidRPr="00B01F0A" w14:paraId="5DE07123" w14:textId="77777777" w:rsidTr="00B7394E">
        <w:trPr>
          <w:cantSplit/>
        </w:trPr>
        <w:tc>
          <w:tcPr>
            <w:tcW w:w="1731" w:type="dxa"/>
            <w:shd w:val="clear" w:color="auto" w:fill="auto"/>
          </w:tcPr>
          <w:p w14:paraId="101DE8D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Columbidae</w:t>
            </w:r>
          </w:p>
        </w:tc>
        <w:tc>
          <w:tcPr>
            <w:tcW w:w="1964" w:type="dxa"/>
            <w:shd w:val="clear" w:color="auto" w:fill="auto"/>
          </w:tcPr>
          <w:p w14:paraId="66797AF5"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Pigeon de Nicobar</w:t>
            </w:r>
          </w:p>
        </w:tc>
        <w:tc>
          <w:tcPr>
            <w:tcW w:w="2126" w:type="dxa"/>
            <w:shd w:val="clear" w:color="auto" w:fill="auto"/>
          </w:tcPr>
          <w:p w14:paraId="5D6EEB75"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Caloenas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nicobarica</w:t>
            </w:r>
            <w:proofErr w:type="spellEnd"/>
          </w:p>
        </w:tc>
        <w:tc>
          <w:tcPr>
            <w:tcW w:w="1413" w:type="dxa"/>
            <w:shd w:val="clear" w:color="auto" w:fill="auto"/>
          </w:tcPr>
          <w:p w14:paraId="034BDB46"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1027B1E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mais les lieux de reproduction et de non-reproduction sont rarement les mêmes d'une saison à l'autre ; les individus parcourent généralement 100 à 1 000 km, mais pas dans la même direction. Répond aux critères de mouvement de la CMS.</w:t>
            </w:r>
          </w:p>
        </w:tc>
      </w:tr>
      <w:tr w:rsidR="00B01F0A" w:rsidRPr="00B01F0A" w14:paraId="0B9A6F2C" w14:textId="77777777" w:rsidTr="00B7394E">
        <w:trPr>
          <w:cantSplit/>
        </w:trPr>
        <w:tc>
          <w:tcPr>
            <w:tcW w:w="1731" w:type="dxa"/>
            <w:shd w:val="clear" w:color="auto" w:fill="auto"/>
          </w:tcPr>
          <w:p w14:paraId="06613F7C"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Columbidae</w:t>
            </w:r>
          </w:p>
        </w:tc>
        <w:tc>
          <w:tcPr>
            <w:tcW w:w="1964" w:type="dxa"/>
            <w:shd w:val="clear" w:color="auto" w:fill="auto"/>
          </w:tcPr>
          <w:p w14:paraId="5BCD1D82" w14:textId="77777777" w:rsidR="00B01F0A" w:rsidRPr="00B01F0A" w:rsidRDefault="00B01F0A" w:rsidP="00B7394E">
            <w:pPr>
              <w:autoSpaceDE w:val="0"/>
              <w:autoSpaceDN w:val="0"/>
              <w:adjustRightInd w:val="0"/>
              <w:rPr>
                <w:rFonts w:cs="Arial"/>
                <w:color w:val="000000"/>
                <w:sz w:val="20"/>
                <w:szCs w:val="20"/>
                <w:lang w:val="fr-FR"/>
              </w:rPr>
            </w:pPr>
            <w:proofErr w:type="spellStart"/>
            <w:r w:rsidRPr="00B01F0A">
              <w:rPr>
                <w:rFonts w:cs="Arial"/>
                <w:color w:val="000000"/>
                <w:sz w:val="20"/>
                <w:szCs w:val="20"/>
                <w:lang w:val="fr-FR"/>
              </w:rPr>
              <w:t>Ptilope</w:t>
            </w:r>
            <w:proofErr w:type="spellEnd"/>
            <w:r w:rsidRPr="00B01F0A">
              <w:rPr>
                <w:rFonts w:cs="Arial"/>
                <w:color w:val="000000"/>
                <w:sz w:val="20"/>
                <w:szCs w:val="20"/>
                <w:lang w:val="fr-FR"/>
              </w:rPr>
              <w:t xml:space="preserve"> </w:t>
            </w:r>
            <w:proofErr w:type="spellStart"/>
            <w:r w:rsidRPr="00B01F0A">
              <w:rPr>
                <w:rFonts w:cs="Arial"/>
                <w:color w:val="000000"/>
                <w:sz w:val="20"/>
                <w:szCs w:val="20"/>
                <w:lang w:val="fr-FR"/>
              </w:rPr>
              <w:t>jambu</w:t>
            </w:r>
            <w:proofErr w:type="spellEnd"/>
          </w:p>
        </w:tc>
        <w:tc>
          <w:tcPr>
            <w:tcW w:w="2126" w:type="dxa"/>
            <w:shd w:val="clear" w:color="auto" w:fill="auto"/>
          </w:tcPr>
          <w:p w14:paraId="66F1FD89"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Ramphiculus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jambu</w:t>
            </w:r>
            <w:proofErr w:type="spellEnd"/>
          </w:p>
        </w:tc>
        <w:tc>
          <w:tcPr>
            <w:tcW w:w="1413" w:type="dxa"/>
            <w:shd w:val="clear" w:color="auto" w:fill="auto"/>
          </w:tcPr>
          <w:p w14:paraId="6C984D87"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29E32F4D"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mais modérément nomade pendant les saisons de reproduction et en dehors de la saison de reproduction ; les individus parcourent généralement 100 à 1 000 km, mais sans direction constante. Répond aux critères de mouvement de la CMS.</w:t>
            </w:r>
          </w:p>
        </w:tc>
      </w:tr>
      <w:tr w:rsidR="00B01F0A" w:rsidRPr="00B01F0A" w14:paraId="3E3D12CE" w14:textId="77777777" w:rsidTr="00B7394E">
        <w:trPr>
          <w:cantSplit/>
        </w:trPr>
        <w:tc>
          <w:tcPr>
            <w:tcW w:w="1731" w:type="dxa"/>
            <w:shd w:val="clear" w:color="auto" w:fill="auto"/>
          </w:tcPr>
          <w:p w14:paraId="3EA7A86D"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Caprimulgidae</w:t>
            </w:r>
            <w:proofErr w:type="spellEnd"/>
          </w:p>
        </w:tc>
        <w:tc>
          <w:tcPr>
            <w:tcW w:w="1964" w:type="dxa"/>
            <w:shd w:val="clear" w:color="auto" w:fill="auto"/>
          </w:tcPr>
          <w:p w14:paraId="40F53557"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Engoulevent à faucilles</w:t>
            </w:r>
          </w:p>
        </w:tc>
        <w:tc>
          <w:tcPr>
            <w:tcW w:w="2126" w:type="dxa"/>
            <w:shd w:val="clear" w:color="auto" w:fill="auto"/>
          </w:tcPr>
          <w:p w14:paraId="1A0C18FC"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Eleothreptus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anomalus</w:t>
            </w:r>
            <w:proofErr w:type="spellEnd"/>
          </w:p>
        </w:tc>
        <w:tc>
          <w:tcPr>
            <w:tcW w:w="1413" w:type="dxa"/>
            <w:shd w:val="clear" w:color="auto" w:fill="auto"/>
          </w:tcPr>
          <w:p w14:paraId="5D272EDF"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433E0B1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et de non-reproduction étant occupés de façon fiable chaque saison ; les individus parcourent généralement 100 à 1 000 km du nord au sud. Répond aux critères de mouvement de la CMS.</w:t>
            </w:r>
          </w:p>
        </w:tc>
      </w:tr>
      <w:tr w:rsidR="00B01F0A" w:rsidRPr="00B01F0A" w14:paraId="75B89B99" w14:textId="77777777" w:rsidTr="00B7394E">
        <w:trPr>
          <w:cantSplit/>
        </w:trPr>
        <w:tc>
          <w:tcPr>
            <w:tcW w:w="1731" w:type="dxa"/>
            <w:shd w:val="clear" w:color="auto" w:fill="auto"/>
          </w:tcPr>
          <w:p w14:paraId="48073650"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Caprimulgidae</w:t>
            </w:r>
            <w:proofErr w:type="spellEnd"/>
          </w:p>
        </w:tc>
        <w:tc>
          <w:tcPr>
            <w:tcW w:w="1964" w:type="dxa"/>
            <w:shd w:val="clear" w:color="auto" w:fill="auto"/>
          </w:tcPr>
          <w:p w14:paraId="57BB6DDB"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Engoulevent bois-pourri</w:t>
            </w:r>
          </w:p>
        </w:tc>
        <w:tc>
          <w:tcPr>
            <w:tcW w:w="2126" w:type="dxa"/>
            <w:shd w:val="clear" w:color="auto" w:fill="auto"/>
          </w:tcPr>
          <w:p w14:paraId="4C725FBF"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Antrostomus</w:t>
            </w:r>
            <w:proofErr w:type="spellEnd"/>
            <w:r w:rsidRPr="00B01F0A">
              <w:rPr>
                <w:rFonts w:cs="Arial"/>
                <w:i/>
                <w:iCs/>
                <w:color w:val="000000"/>
                <w:sz w:val="20"/>
                <w:szCs w:val="20"/>
                <w:lang w:val="en-AU"/>
              </w:rPr>
              <w:t xml:space="preserve"> vociferus</w:t>
            </w:r>
          </w:p>
        </w:tc>
        <w:tc>
          <w:tcPr>
            <w:tcW w:w="1413" w:type="dxa"/>
            <w:shd w:val="clear" w:color="auto" w:fill="auto"/>
          </w:tcPr>
          <w:p w14:paraId="5ACFFF85"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788A890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3CD1EE48" w14:textId="77777777" w:rsidTr="00B7394E">
        <w:trPr>
          <w:cantSplit/>
        </w:trPr>
        <w:tc>
          <w:tcPr>
            <w:tcW w:w="1731" w:type="dxa"/>
            <w:shd w:val="clear" w:color="auto" w:fill="auto"/>
          </w:tcPr>
          <w:p w14:paraId="463641BB"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Caprimulgidae</w:t>
            </w:r>
            <w:proofErr w:type="spellEnd"/>
          </w:p>
        </w:tc>
        <w:tc>
          <w:tcPr>
            <w:tcW w:w="1964" w:type="dxa"/>
            <w:shd w:val="clear" w:color="auto" w:fill="auto"/>
          </w:tcPr>
          <w:p w14:paraId="2A84743C"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Engoulevent de Caroline</w:t>
            </w:r>
          </w:p>
        </w:tc>
        <w:tc>
          <w:tcPr>
            <w:tcW w:w="2126" w:type="dxa"/>
            <w:shd w:val="clear" w:color="auto" w:fill="auto"/>
          </w:tcPr>
          <w:p w14:paraId="366BD858"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Antrostomus</w:t>
            </w:r>
            <w:proofErr w:type="spellEnd"/>
            <w:r w:rsidRPr="00B01F0A">
              <w:rPr>
                <w:rFonts w:cs="Arial"/>
                <w:i/>
                <w:iCs/>
                <w:color w:val="000000"/>
                <w:sz w:val="20"/>
                <w:szCs w:val="20"/>
                <w:lang w:val="en-AU"/>
              </w:rPr>
              <w:t xml:space="preserve"> carolinensis</w:t>
            </w:r>
          </w:p>
        </w:tc>
        <w:tc>
          <w:tcPr>
            <w:tcW w:w="1413" w:type="dxa"/>
            <w:shd w:val="clear" w:color="auto" w:fill="auto"/>
          </w:tcPr>
          <w:p w14:paraId="62578ACC"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5374A45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et de non-reproduction étant occupés de façon fiable chaque saison ; les individus parcourent généralement plus de 1 000 km du nord au sud ; les immatures peuvent migrer au-delà de l'aire de répartition normale des adultes avant de retourner à la reproduction. Répond aux critères de mouvement de la CMS.</w:t>
            </w:r>
          </w:p>
        </w:tc>
      </w:tr>
      <w:tr w:rsidR="00B01F0A" w:rsidRPr="00B01F0A" w14:paraId="3A1CC759" w14:textId="77777777" w:rsidTr="00B7394E">
        <w:trPr>
          <w:cantSplit/>
        </w:trPr>
        <w:tc>
          <w:tcPr>
            <w:tcW w:w="1731" w:type="dxa"/>
            <w:shd w:val="clear" w:color="auto" w:fill="auto"/>
          </w:tcPr>
          <w:p w14:paraId="5CAF14F9"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lastRenderedPageBreak/>
              <w:t>Caprimulgidae</w:t>
            </w:r>
            <w:proofErr w:type="spellEnd"/>
          </w:p>
        </w:tc>
        <w:tc>
          <w:tcPr>
            <w:tcW w:w="1964" w:type="dxa"/>
            <w:shd w:val="clear" w:color="auto" w:fill="auto"/>
          </w:tcPr>
          <w:p w14:paraId="43C485F9"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Engoulevent à collier roux</w:t>
            </w:r>
          </w:p>
        </w:tc>
        <w:tc>
          <w:tcPr>
            <w:tcW w:w="2126" w:type="dxa"/>
            <w:shd w:val="clear" w:color="auto" w:fill="auto"/>
          </w:tcPr>
          <w:p w14:paraId="6554826A"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Caprimulgus ruficollis</w:t>
            </w:r>
          </w:p>
        </w:tc>
        <w:tc>
          <w:tcPr>
            <w:tcW w:w="1413" w:type="dxa"/>
            <w:shd w:val="clear" w:color="auto" w:fill="auto"/>
          </w:tcPr>
          <w:p w14:paraId="761BF7FE"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2A05C32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54B4E59D" w14:textId="77777777" w:rsidTr="00B7394E">
        <w:trPr>
          <w:cantSplit/>
        </w:trPr>
        <w:tc>
          <w:tcPr>
            <w:tcW w:w="1731" w:type="dxa"/>
            <w:shd w:val="clear" w:color="auto" w:fill="auto"/>
          </w:tcPr>
          <w:p w14:paraId="7D1877CC"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Apodidae</w:t>
            </w:r>
          </w:p>
        </w:tc>
        <w:tc>
          <w:tcPr>
            <w:tcW w:w="1964" w:type="dxa"/>
            <w:shd w:val="clear" w:color="auto" w:fill="auto"/>
          </w:tcPr>
          <w:p w14:paraId="2EB8BE7A"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Martinet sombre</w:t>
            </w:r>
          </w:p>
        </w:tc>
        <w:tc>
          <w:tcPr>
            <w:tcW w:w="2126" w:type="dxa"/>
            <w:shd w:val="clear" w:color="auto" w:fill="auto"/>
          </w:tcPr>
          <w:p w14:paraId="0070216C"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Cypseloides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niger</w:t>
            </w:r>
            <w:proofErr w:type="spellEnd"/>
          </w:p>
        </w:tc>
        <w:tc>
          <w:tcPr>
            <w:tcW w:w="1413" w:type="dxa"/>
            <w:shd w:val="clear" w:color="auto" w:fill="auto"/>
          </w:tcPr>
          <w:p w14:paraId="68BECA34"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7A601FE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32C49773" w14:textId="77777777" w:rsidTr="00B7394E">
        <w:trPr>
          <w:cantSplit/>
        </w:trPr>
        <w:tc>
          <w:tcPr>
            <w:tcW w:w="1731" w:type="dxa"/>
            <w:shd w:val="clear" w:color="auto" w:fill="auto"/>
          </w:tcPr>
          <w:p w14:paraId="3AD9AC40"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Apodidae</w:t>
            </w:r>
          </w:p>
        </w:tc>
        <w:tc>
          <w:tcPr>
            <w:tcW w:w="1964" w:type="dxa"/>
            <w:shd w:val="clear" w:color="auto" w:fill="auto"/>
          </w:tcPr>
          <w:p w14:paraId="4BB1E286"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Martinet de Rothschild</w:t>
            </w:r>
          </w:p>
        </w:tc>
        <w:tc>
          <w:tcPr>
            <w:tcW w:w="2126" w:type="dxa"/>
            <w:shd w:val="clear" w:color="auto" w:fill="auto"/>
          </w:tcPr>
          <w:p w14:paraId="024C0F44"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Cypseloides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rothschildi</w:t>
            </w:r>
            <w:proofErr w:type="spellEnd"/>
          </w:p>
        </w:tc>
        <w:tc>
          <w:tcPr>
            <w:tcW w:w="1413" w:type="dxa"/>
            <w:shd w:val="clear" w:color="auto" w:fill="auto"/>
          </w:tcPr>
          <w:p w14:paraId="3AF25C59"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7ECDA875"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étant occupés de façon fiable chaque saison, mais modérément nomade en dehors de la saison de reproduction ; les individus parcourent généralement 100 à 1 000 km du nord au sud. Répond aux critères de mouvement de la CMS.</w:t>
            </w:r>
          </w:p>
        </w:tc>
      </w:tr>
      <w:tr w:rsidR="00B01F0A" w:rsidRPr="00B01F0A" w14:paraId="4E530ABA" w14:textId="77777777" w:rsidTr="00B7394E">
        <w:trPr>
          <w:cantSplit/>
        </w:trPr>
        <w:tc>
          <w:tcPr>
            <w:tcW w:w="1731" w:type="dxa"/>
            <w:shd w:val="clear" w:color="auto" w:fill="auto"/>
          </w:tcPr>
          <w:p w14:paraId="3AF2F5D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Apodidae</w:t>
            </w:r>
          </w:p>
        </w:tc>
        <w:tc>
          <w:tcPr>
            <w:tcW w:w="1964" w:type="dxa"/>
            <w:shd w:val="clear" w:color="auto" w:fill="auto"/>
          </w:tcPr>
          <w:p w14:paraId="15CEE605"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Martinet ramoneur</w:t>
            </w:r>
          </w:p>
        </w:tc>
        <w:tc>
          <w:tcPr>
            <w:tcW w:w="2126" w:type="dxa"/>
            <w:shd w:val="clear" w:color="auto" w:fill="auto"/>
          </w:tcPr>
          <w:p w14:paraId="3D5B1347"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Chaetura </w:t>
            </w:r>
            <w:proofErr w:type="spellStart"/>
            <w:r w:rsidRPr="00B01F0A">
              <w:rPr>
                <w:rFonts w:cs="Arial"/>
                <w:b/>
                <w:bCs/>
                <w:i/>
                <w:iCs/>
                <w:color w:val="000000"/>
                <w:sz w:val="20"/>
                <w:szCs w:val="20"/>
                <w:lang w:val="en-AU"/>
              </w:rPr>
              <w:t>pelagica</w:t>
            </w:r>
            <w:proofErr w:type="spellEnd"/>
          </w:p>
        </w:tc>
        <w:tc>
          <w:tcPr>
            <w:tcW w:w="1413" w:type="dxa"/>
            <w:shd w:val="clear" w:color="auto" w:fill="auto"/>
          </w:tcPr>
          <w:p w14:paraId="69FF4CE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235358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76C0568B" w14:textId="77777777" w:rsidTr="00B7394E">
        <w:trPr>
          <w:cantSplit/>
        </w:trPr>
        <w:tc>
          <w:tcPr>
            <w:tcW w:w="1731" w:type="dxa"/>
            <w:shd w:val="clear" w:color="auto" w:fill="auto"/>
          </w:tcPr>
          <w:p w14:paraId="62CF727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Apodidae</w:t>
            </w:r>
          </w:p>
        </w:tc>
        <w:tc>
          <w:tcPr>
            <w:tcW w:w="1964" w:type="dxa"/>
            <w:shd w:val="clear" w:color="auto" w:fill="auto"/>
          </w:tcPr>
          <w:p w14:paraId="4B680BFD"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Martinet d'Assam</w:t>
            </w:r>
          </w:p>
        </w:tc>
        <w:tc>
          <w:tcPr>
            <w:tcW w:w="2126" w:type="dxa"/>
            <w:shd w:val="clear" w:color="auto" w:fill="auto"/>
          </w:tcPr>
          <w:p w14:paraId="71A0B5EF"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Apus </w:t>
            </w:r>
            <w:proofErr w:type="spellStart"/>
            <w:r w:rsidRPr="00B01F0A">
              <w:rPr>
                <w:rFonts w:cs="Arial"/>
                <w:b/>
                <w:bCs/>
                <w:i/>
                <w:iCs/>
                <w:color w:val="000000"/>
                <w:sz w:val="20"/>
                <w:szCs w:val="20"/>
                <w:lang w:val="en-AU"/>
              </w:rPr>
              <w:t>acuticauda</w:t>
            </w:r>
            <w:proofErr w:type="spellEnd"/>
          </w:p>
        </w:tc>
        <w:tc>
          <w:tcPr>
            <w:tcW w:w="1413" w:type="dxa"/>
            <w:shd w:val="clear" w:color="auto" w:fill="auto"/>
          </w:tcPr>
          <w:p w14:paraId="3D708789"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210C7A6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nomades en dehors de la saison de reproduction ; les individus parcourent généralement 100 à 1 000 km, mais sans direction constante ; au moins certains déplacements sont principalement altitudinaux. Répond aux critères de mouvement de la CMS.</w:t>
            </w:r>
          </w:p>
        </w:tc>
      </w:tr>
      <w:tr w:rsidR="00B01F0A" w:rsidRPr="00B01F0A" w14:paraId="295E5B93" w14:textId="77777777" w:rsidTr="00B7394E">
        <w:trPr>
          <w:cantSplit/>
        </w:trPr>
        <w:tc>
          <w:tcPr>
            <w:tcW w:w="1731" w:type="dxa"/>
            <w:shd w:val="clear" w:color="auto" w:fill="auto"/>
          </w:tcPr>
          <w:p w14:paraId="4BC51B3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Trochilidae</w:t>
            </w:r>
          </w:p>
        </w:tc>
        <w:tc>
          <w:tcPr>
            <w:tcW w:w="1964" w:type="dxa"/>
            <w:shd w:val="clear" w:color="auto" w:fill="auto"/>
          </w:tcPr>
          <w:p w14:paraId="63B2E007"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Colibri roux</w:t>
            </w:r>
          </w:p>
        </w:tc>
        <w:tc>
          <w:tcPr>
            <w:tcW w:w="2126" w:type="dxa"/>
            <w:shd w:val="clear" w:color="auto" w:fill="auto"/>
          </w:tcPr>
          <w:p w14:paraId="604969D2"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Selasphorus</w:t>
            </w:r>
            <w:proofErr w:type="spellEnd"/>
            <w:r w:rsidRPr="00B01F0A">
              <w:rPr>
                <w:rFonts w:cs="Arial"/>
                <w:i/>
                <w:iCs/>
                <w:color w:val="000000"/>
                <w:sz w:val="20"/>
                <w:szCs w:val="20"/>
                <w:lang w:val="en-AU"/>
              </w:rPr>
              <w:t xml:space="preserve"> rufus</w:t>
            </w:r>
          </w:p>
        </w:tc>
        <w:tc>
          <w:tcPr>
            <w:tcW w:w="1413" w:type="dxa"/>
            <w:shd w:val="clear" w:color="auto" w:fill="auto"/>
          </w:tcPr>
          <w:p w14:paraId="7B6D9219"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358AD01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0CAC2FDC" w14:textId="77777777" w:rsidTr="00B7394E">
        <w:trPr>
          <w:cantSplit/>
        </w:trPr>
        <w:tc>
          <w:tcPr>
            <w:tcW w:w="1731" w:type="dxa"/>
            <w:shd w:val="clear" w:color="auto" w:fill="auto"/>
          </w:tcPr>
          <w:p w14:paraId="23EBDFFC"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Cuculidae</w:t>
            </w:r>
            <w:proofErr w:type="spellEnd"/>
          </w:p>
        </w:tc>
        <w:tc>
          <w:tcPr>
            <w:tcW w:w="1964" w:type="dxa"/>
            <w:shd w:val="clear" w:color="auto" w:fill="auto"/>
          </w:tcPr>
          <w:p w14:paraId="2AFC8843"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Coucou à moustaches</w:t>
            </w:r>
          </w:p>
        </w:tc>
        <w:tc>
          <w:tcPr>
            <w:tcW w:w="2126" w:type="dxa"/>
            <w:shd w:val="clear" w:color="auto" w:fill="auto"/>
          </w:tcPr>
          <w:p w14:paraId="35043148"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Hierococcyx</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vagans</w:t>
            </w:r>
            <w:proofErr w:type="spellEnd"/>
          </w:p>
        </w:tc>
        <w:tc>
          <w:tcPr>
            <w:tcW w:w="1413" w:type="dxa"/>
            <w:shd w:val="clear" w:color="auto" w:fill="auto"/>
          </w:tcPr>
          <w:p w14:paraId="7CE360CF"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3A05D43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et de non-reproduction étant occupés de façon fiable chaque saison ; les individus parcourent généralement 100 à 1 000 km, mais sans direction constante. Répond aux critères de mouvement de la CMS.</w:t>
            </w:r>
          </w:p>
        </w:tc>
      </w:tr>
      <w:tr w:rsidR="00B01F0A" w:rsidRPr="00B01F0A" w14:paraId="71DD78A4" w14:textId="77777777" w:rsidTr="00B7394E">
        <w:trPr>
          <w:cantSplit/>
        </w:trPr>
        <w:tc>
          <w:tcPr>
            <w:tcW w:w="1731" w:type="dxa"/>
            <w:shd w:val="clear" w:color="auto" w:fill="auto"/>
          </w:tcPr>
          <w:p w14:paraId="44B4BC86"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Rallidae</w:t>
            </w:r>
            <w:proofErr w:type="spellEnd"/>
          </w:p>
        </w:tc>
        <w:tc>
          <w:tcPr>
            <w:tcW w:w="1964" w:type="dxa"/>
            <w:shd w:val="clear" w:color="auto" w:fill="auto"/>
          </w:tcPr>
          <w:p w14:paraId="64B143F5"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Râle de </w:t>
            </w:r>
            <w:proofErr w:type="spellStart"/>
            <w:r w:rsidRPr="00B01F0A">
              <w:rPr>
                <w:rFonts w:cs="Arial"/>
                <w:b/>
                <w:bCs/>
                <w:color w:val="000000"/>
                <w:sz w:val="20"/>
                <w:szCs w:val="20"/>
                <w:lang w:val="fr-FR"/>
              </w:rPr>
              <w:t>Swinhoe</w:t>
            </w:r>
            <w:proofErr w:type="spellEnd"/>
          </w:p>
        </w:tc>
        <w:tc>
          <w:tcPr>
            <w:tcW w:w="2126" w:type="dxa"/>
            <w:shd w:val="clear" w:color="auto" w:fill="auto"/>
          </w:tcPr>
          <w:p w14:paraId="7F8901B1"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Coturnicops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exquisitus</w:t>
            </w:r>
            <w:proofErr w:type="spellEnd"/>
          </w:p>
        </w:tc>
        <w:tc>
          <w:tcPr>
            <w:tcW w:w="1413" w:type="dxa"/>
            <w:shd w:val="clear" w:color="auto" w:fill="auto"/>
          </w:tcPr>
          <w:p w14:paraId="4612CE86"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5A89C1D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100 à 1 000 km du nord au sud. Répond aux critères de mouvement de la CMS.</w:t>
            </w:r>
          </w:p>
        </w:tc>
      </w:tr>
      <w:tr w:rsidR="00B01F0A" w:rsidRPr="00B01F0A" w14:paraId="52CEDD9A" w14:textId="77777777" w:rsidTr="00B7394E">
        <w:trPr>
          <w:cantSplit/>
        </w:trPr>
        <w:tc>
          <w:tcPr>
            <w:tcW w:w="1731" w:type="dxa"/>
            <w:shd w:val="clear" w:color="auto" w:fill="auto"/>
          </w:tcPr>
          <w:p w14:paraId="586A263C"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Rallidae</w:t>
            </w:r>
            <w:proofErr w:type="spellEnd"/>
          </w:p>
        </w:tc>
        <w:tc>
          <w:tcPr>
            <w:tcW w:w="1964" w:type="dxa"/>
            <w:shd w:val="clear" w:color="auto" w:fill="auto"/>
          </w:tcPr>
          <w:p w14:paraId="7B49B2F8"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Râle noir</w:t>
            </w:r>
          </w:p>
        </w:tc>
        <w:tc>
          <w:tcPr>
            <w:tcW w:w="2126" w:type="dxa"/>
            <w:shd w:val="clear" w:color="auto" w:fill="auto"/>
          </w:tcPr>
          <w:p w14:paraId="5563D8DE"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Laterallus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jamaicensis</w:t>
            </w:r>
            <w:proofErr w:type="spellEnd"/>
          </w:p>
        </w:tc>
        <w:tc>
          <w:tcPr>
            <w:tcW w:w="1413" w:type="dxa"/>
            <w:shd w:val="clear" w:color="auto" w:fill="auto"/>
          </w:tcPr>
          <w:p w14:paraId="72839164"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3C6D93E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6BB7573E" w14:textId="77777777" w:rsidTr="00B7394E">
        <w:trPr>
          <w:cantSplit/>
        </w:trPr>
        <w:tc>
          <w:tcPr>
            <w:tcW w:w="1731" w:type="dxa"/>
            <w:shd w:val="clear" w:color="auto" w:fill="auto"/>
          </w:tcPr>
          <w:p w14:paraId="651845FE"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lastRenderedPageBreak/>
              <w:t>Rallidae</w:t>
            </w:r>
            <w:proofErr w:type="spellEnd"/>
          </w:p>
        </w:tc>
        <w:tc>
          <w:tcPr>
            <w:tcW w:w="1964" w:type="dxa"/>
            <w:shd w:val="clear" w:color="auto" w:fill="auto"/>
          </w:tcPr>
          <w:p w14:paraId="6F421470"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Râle élégant</w:t>
            </w:r>
          </w:p>
        </w:tc>
        <w:tc>
          <w:tcPr>
            <w:tcW w:w="2126" w:type="dxa"/>
            <w:shd w:val="clear" w:color="auto" w:fill="auto"/>
          </w:tcPr>
          <w:p w14:paraId="5516ED7E"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Rallus</w:t>
            </w:r>
            <w:proofErr w:type="spellEnd"/>
            <w:r w:rsidRPr="00B01F0A">
              <w:rPr>
                <w:rFonts w:cs="Arial"/>
                <w:i/>
                <w:iCs/>
                <w:color w:val="000000"/>
                <w:sz w:val="20"/>
                <w:szCs w:val="20"/>
                <w:lang w:val="en-AU"/>
              </w:rPr>
              <w:t xml:space="preserve"> elegans</w:t>
            </w:r>
          </w:p>
        </w:tc>
        <w:tc>
          <w:tcPr>
            <w:tcW w:w="1413" w:type="dxa"/>
            <w:shd w:val="clear" w:color="auto" w:fill="auto"/>
          </w:tcPr>
          <w:p w14:paraId="6BA1EEAF"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3E4EAFB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diminution substantielle de l'aire de répartition après la reproduction,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3CCAD422" w14:textId="77777777" w:rsidTr="00B7394E">
        <w:trPr>
          <w:cantSplit/>
        </w:trPr>
        <w:tc>
          <w:tcPr>
            <w:tcW w:w="1731" w:type="dxa"/>
            <w:shd w:val="clear" w:color="auto" w:fill="auto"/>
          </w:tcPr>
          <w:p w14:paraId="739AD0F8"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Rallidae</w:t>
            </w:r>
            <w:proofErr w:type="spellEnd"/>
          </w:p>
        </w:tc>
        <w:tc>
          <w:tcPr>
            <w:tcW w:w="1964" w:type="dxa"/>
            <w:shd w:val="clear" w:color="auto" w:fill="auto"/>
          </w:tcPr>
          <w:p w14:paraId="154FA638"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Râle austral</w:t>
            </w:r>
          </w:p>
        </w:tc>
        <w:tc>
          <w:tcPr>
            <w:tcW w:w="2126" w:type="dxa"/>
            <w:shd w:val="clear" w:color="auto" w:fill="auto"/>
          </w:tcPr>
          <w:p w14:paraId="2BA86A04"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Rallus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antarcticus</w:t>
            </w:r>
            <w:proofErr w:type="spellEnd"/>
          </w:p>
        </w:tc>
        <w:tc>
          <w:tcPr>
            <w:tcW w:w="1413" w:type="dxa"/>
            <w:shd w:val="clear" w:color="auto" w:fill="auto"/>
          </w:tcPr>
          <w:p w14:paraId="76F7F3B7"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214DB2A3"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diminution de l'aire de répartition après la reproduction, les lieux de reproduction et de non-reproduction étant occupés de façon fiable chaque saison ; les individus parcourent généralement 100 à 1 000 km du nord au sud. Répond aux critères de mouvement de la CMS.</w:t>
            </w:r>
          </w:p>
        </w:tc>
      </w:tr>
      <w:tr w:rsidR="00B01F0A" w:rsidRPr="00B01F0A" w14:paraId="4E7F16DD" w14:textId="77777777" w:rsidTr="00B7394E">
        <w:trPr>
          <w:cantSplit/>
        </w:trPr>
        <w:tc>
          <w:tcPr>
            <w:tcW w:w="1731" w:type="dxa"/>
            <w:shd w:val="clear" w:color="auto" w:fill="auto"/>
          </w:tcPr>
          <w:p w14:paraId="4C38E9AD"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Rallidae</w:t>
            </w:r>
            <w:proofErr w:type="spellEnd"/>
          </w:p>
        </w:tc>
        <w:tc>
          <w:tcPr>
            <w:tcW w:w="1964" w:type="dxa"/>
            <w:shd w:val="clear" w:color="auto" w:fill="auto"/>
          </w:tcPr>
          <w:p w14:paraId="3E697D12"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Marouette mandarin</w:t>
            </w:r>
          </w:p>
        </w:tc>
        <w:tc>
          <w:tcPr>
            <w:tcW w:w="2126" w:type="dxa"/>
            <w:shd w:val="clear" w:color="auto" w:fill="auto"/>
          </w:tcPr>
          <w:p w14:paraId="6FEFF29A"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Zapornia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paykullii</w:t>
            </w:r>
            <w:proofErr w:type="spellEnd"/>
          </w:p>
        </w:tc>
        <w:tc>
          <w:tcPr>
            <w:tcW w:w="1413" w:type="dxa"/>
            <w:shd w:val="clear" w:color="auto" w:fill="auto"/>
          </w:tcPr>
          <w:p w14:paraId="633B00B2"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6996852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1FC97CC8" w14:textId="77777777" w:rsidTr="00B7394E">
        <w:trPr>
          <w:cantSplit/>
        </w:trPr>
        <w:tc>
          <w:tcPr>
            <w:tcW w:w="1731" w:type="dxa"/>
            <w:shd w:val="clear" w:color="auto" w:fill="auto"/>
          </w:tcPr>
          <w:p w14:paraId="7C9CF320"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Gruidae</w:t>
            </w:r>
            <w:proofErr w:type="spellEnd"/>
          </w:p>
        </w:tc>
        <w:tc>
          <w:tcPr>
            <w:tcW w:w="1964" w:type="dxa"/>
            <w:shd w:val="clear" w:color="auto" w:fill="auto"/>
          </w:tcPr>
          <w:p w14:paraId="2C280079"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Grue couronnée</w:t>
            </w:r>
          </w:p>
        </w:tc>
        <w:tc>
          <w:tcPr>
            <w:tcW w:w="2126" w:type="dxa"/>
            <w:shd w:val="clear" w:color="auto" w:fill="auto"/>
          </w:tcPr>
          <w:p w14:paraId="15A6E086"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Balearica </w:t>
            </w:r>
            <w:proofErr w:type="spellStart"/>
            <w:r w:rsidRPr="00B01F0A">
              <w:rPr>
                <w:rFonts w:cs="Arial"/>
                <w:b/>
                <w:bCs/>
                <w:i/>
                <w:iCs/>
                <w:color w:val="000000"/>
                <w:sz w:val="20"/>
                <w:szCs w:val="20"/>
                <w:lang w:val="en-AU"/>
              </w:rPr>
              <w:t>pavonina</w:t>
            </w:r>
            <w:proofErr w:type="spellEnd"/>
          </w:p>
        </w:tc>
        <w:tc>
          <w:tcPr>
            <w:tcW w:w="1413" w:type="dxa"/>
            <w:shd w:val="clear" w:color="auto" w:fill="auto"/>
          </w:tcPr>
          <w:p w14:paraId="3E0041DB"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2AEB4BD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modérément nomade pendant et en dehors de la saison de reproduction ; les individus parcourent généralement 100 à 1 000 km du nord au sud. Répond aux critères de mouvement de la CMS.</w:t>
            </w:r>
          </w:p>
        </w:tc>
      </w:tr>
      <w:tr w:rsidR="00B01F0A" w:rsidRPr="00B01F0A" w14:paraId="0065AA3E" w14:textId="77777777" w:rsidTr="00B7394E">
        <w:trPr>
          <w:cantSplit/>
        </w:trPr>
        <w:tc>
          <w:tcPr>
            <w:tcW w:w="1731" w:type="dxa"/>
            <w:shd w:val="clear" w:color="auto" w:fill="auto"/>
          </w:tcPr>
          <w:p w14:paraId="0FC4B9EF"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Otididae</w:t>
            </w:r>
            <w:proofErr w:type="spellEnd"/>
          </w:p>
        </w:tc>
        <w:tc>
          <w:tcPr>
            <w:tcW w:w="1964" w:type="dxa"/>
            <w:shd w:val="clear" w:color="auto" w:fill="auto"/>
          </w:tcPr>
          <w:p w14:paraId="091DBEEC"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Outarde de Ludwig</w:t>
            </w:r>
          </w:p>
        </w:tc>
        <w:tc>
          <w:tcPr>
            <w:tcW w:w="2126" w:type="dxa"/>
            <w:shd w:val="clear" w:color="auto" w:fill="auto"/>
          </w:tcPr>
          <w:p w14:paraId="553226F2"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Neotis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ludwigii</w:t>
            </w:r>
            <w:proofErr w:type="spellEnd"/>
          </w:p>
        </w:tc>
        <w:tc>
          <w:tcPr>
            <w:tcW w:w="1413" w:type="dxa"/>
            <w:shd w:val="clear" w:color="auto" w:fill="auto"/>
          </w:tcPr>
          <w:p w14:paraId="000CE923"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0A58815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et de non-reproduction étant occupés de façon fiable chaque saison ; les individus parcourent généralement 100 à 1 000 km du nord au sud. Répond aux critères de mouvement de la CMS.</w:t>
            </w:r>
          </w:p>
        </w:tc>
      </w:tr>
      <w:tr w:rsidR="00B01F0A" w:rsidRPr="00B01F0A" w14:paraId="00B1AA76" w14:textId="77777777" w:rsidTr="00B7394E">
        <w:trPr>
          <w:cantSplit/>
        </w:trPr>
        <w:tc>
          <w:tcPr>
            <w:tcW w:w="1731" w:type="dxa"/>
            <w:shd w:val="clear" w:color="auto" w:fill="auto"/>
          </w:tcPr>
          <w:p w14:paraId="5740B4ED"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Otididae</w:t>
            </w:r>
            <w:proofErr w:type="spellEnd"/>
          </w:p>
        </w:tc>
        <w:tc>
          <w:tcPr>
            <w:tcW w:w="1964" w:type="dxa"/>
            <w:shd w:val="clear" w:color="auto" w:fill="auto"/>
          </w:tcPr>
          <w:p w14:paraId="6869DCC7"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Outarde de </w:t>
            </w:r>
            <w:proofErr w:type="spellStart"/>
            <w:r w:rsidRPr="00B01F0A">
              <w:rPr>
                <w:rFonts w:cs="Arial"/>
                <w:color w:val="000000"/>
                <w:sz w:val="20"/>
                <w:szCs w:val="20"/>
                <w:lang w:val="fr-FR"/>
              </w:rPr>
              <w:t>Denham</w:t>
            </w:r>
            <w:proofErr w:type="spellEnd"/>
          </w:p>
        </w:tc>
        <w:tc>
          <w:tcPr>
            <w:tcW w:w="2126" w:type="dxa"/>
            <w:shd w:val="clear" w:color="auto" w:fill="auto"/>
          </w:tcPr>
          <w:p w14:paraId="4047BDE5"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Neotis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denhami</w:t>
            </w:r>
            <w:proofErr w:type="spellEnd"/>
          </w:p>
        </w:tc>
        <w:tc>
          <w:tcPr>
            <w:tcW w:w="1413" w:type="dxa"/>
            <w:shd w:val="clear" w:color="auto" w:fill="auto"/>
          </w:tcPr>
          <w:p w14:paraId="1B4CE0D9"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6F5A927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et de non-reproduction étant occupés de façon fiable chaque saison ; les individus parcourent généralement 100 à 1 000 km du nord au sud ; au moins certains déplacements sont principalement altitudinaux. Répond aux critères de mouvement de la CMS.</w:t>
            </w:r>
          </w:p>
        </w:tc>
      </w:tr>
      <w:tr w:rsidR="00B01F0A" w:rsidRPr="00B01F0A" w14:paraId="59B44BE8" w14:textId="77777777" w:rsidTr="00B7394E">
        <w:trPr>
          <w:cantSplit/>
        </w:trPr>
        <w:tc>
          <w:tcPr>
            <w:tcW w:w="1731" w:type="dxa"/>
            <w:shd w:val="clear" w:color="auto" w:fill="auto"/>
          </w:tcPr>
          <w:p w14:paraId="3AE5326E"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Otididae</w:t>
            </w:r>
            <w:proofErr w:type="spellEnd"/>
          </w:p>
        </w:tc>
        <w:tc>
          <w:tcPr>
            <w:tcW w:w="1964" w:type="dxa"/>
            <w:shd w:val="clear" w:color="auto" w:fill="auto"/>
          </w:tcPr>
          <w:p w14:paraId="05CC7D55"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Outarde nubienne</w:t>
            </w:r>
          </w:p>
        </w:tc>
        <w:tc>
          <w:tcPr>
            <w:tcW w:w="2126" w:type="dxa"/>
            <w:shd w:val="clear" w:color="auto" w:fill="auto"/>
          </w:tcPr>
          <w:p w14:paraId="10F0DCE1"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Neotis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nuba</w:t>
            </w:r>
            <w:proofErr w:type="spellEnd"/>
          </w:p>
        </w:tc>
        <w:tc>
          <w:tcPr>
            <w:tcW w:w="1413" w:type="dxa"/>
            <w:shd w:val="clear" w:color="auto" w:fill="auto"/>
          </w:tcPr>
          <w:p w14:paraId="035663A8"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2439D53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modérément nomade pendant et en dehors de la saison de reproduction ; les individus parcourent généralement 100 à 1 000 km du nord au sud. Répond aux critères de mouvement de la CMS.</w:t>
            </w:r>
          </w:p>
        </w:tc>
      </w:tr>
      <w:tr w:rsidR="00B01F0A" w:rsidRPr="00B01F0A" w14:paraId="2B9658A8" w14:textId="77777777" w:rsidTr="00B7394E">
        <w:trPr>
          <w:cantSplit/>
        </w:trPr>
        <w:tc>
          <w:tcPr>
            <w:tcW w:w="1731" w:type="dxa"/>
            <w:shd w:val="clear" w:color="auto" w:fill="auto"/>
          </w:tcPr>
          <w:p w14:paraId="74D0E955"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Otididae</w:t>
            </w:r>
            <w:proofErr w:type="spellEnd"/>
          </w:p>
        </w:tc>
        <w:tc>
          <w:tcPr>
            <w:tcW w:w="1964" w:type="dxa"/>
            <w:shd w:val="clear" w:color="auto" w:fill="auto"/>
          </w:tcPr>
          <w:p w14:paraId="0D944ADB"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Outarde arabe</w:t>
            </w:r>
          </w:p>
        </w:tc>
        <w:tc>
          <w:tcPr>
            <w:tcW w:w="2126" w:type="dxa"/>
            <w:shd w:val="clear" w:color="auto" w:fill="auto"/>
          </w:tcPr>
          <w:p w14:paraId="0D087978"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Ardeotis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arabs</w:t>
            </w:r>
            <w:proofErr w:type="spellEnd"/>
          </w:p>
        </w:tc>
        <w:tc>
          <w:tcPr>
            <w:tcW w:w="1413" w:type="dxa"/>
            <w:shd w:val="clear" w:color="auto" w:fill="auto"/>
          </w:tcPr>
          <w:p w14:paraId="1928B621"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49DFD90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modérément nomade pendant et en dehors de la saison de reproduction ; les individus parcourent généralement 100 à 1 000 km du nord au sud. Répond aux critères de mouvement de la CMS.</w:t>
            </w:r>
          </w:p>
        </w:tc>
      </w:tr>
      <w:tr w:rsidR="00B01F0A" w:rsidRPr="00B01F0A" w14:paraId="2105E2EA" w14:textId="77777777" w:rsidTr="00B7394E">
        <w:trPr>
          <w:cantSplit/>
        </w:trPr>
        <w:tc>
          <w:tcPr>
            <w:tcW w:w="1731" w:type="dxa"/>
            <w:shd w:val="clear" w:color="auto" w:fill="auto"/>
          </w:tcPr>
          <w:p w14:paraId="41D400D2"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Otididae</w:t>
            </w:r>
            <w:proofErr w:type="spellEnd"/>
          </w:p>
        </w:tc>
        <w:tc>
          <w:tcPr>
            <w:tcW w:w="1964" w:type="dxa"/>
            <w:shd w:val="clear" w:color="auto" w:fill="auto"/>
          </w:tcPr>
          <w:p w14:paraId="7D303F51"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Outarde </w:t>
            </w:r>
            <w:proofErr w:type="spellStart"/>
            <w:r w:rsidRPr="00B01F0A">
              <w:rPr>
                <w:rFonts w:cs="Arial"/>
                <w:b/>
                <w:bCs/>
                <w:color w:val="000000"/>
                <w:sz w:val="20"/>
                <w:szCs w:val="20"/>
                <w:lang w:val="fr-FR"/>
              </w:rPr>
              <w:t>passarage</w:t>
            </w:r>
            <w:proofErr w:type="spellEnd"/>
          </w:p>
        </w:tc>
        <w:tc>
          <w:tcPr>
            <w:tcW w:w="2126" w:type="dxa"/>
            <w:shd w:val="clear" w:color="auto" w:fill="auto"/>
          </w:tcPr>
          <w:p w14:paraId="3EFA0E1F"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Sypheotides</w:t>
            </w:r>
            <w:proofErr w:type="spellEnd"/>
            <w:r w:rsidRPr="00B01F0A">
              <w:rPr>
                <w:rFonts w:cs="Arial"/>
                <w:b/>
                <w:bCs/>
                <w:i/>
                <w:iCs/>
                <w:color w:val="000000"/>
                <w:sz w:val="20"/>
                <w:szCs w:val="20"/>
                <w:lang w:val="en-AU"/>
              </w:rPr>
              <w:t xml:space="preserve"> indicus</w:t>
            </w:r>
          </w:p>
        </w:tc>
        <w:tc>
          <w:tcPr>
            <w:tcW w:w="1413" w:type="dxa"/>
            <w:shd w:val="clear" w:color="auto" w:fill="auto"/>
          </w:tcPr>
          <w:p w14:paraId="19FC934E"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09ABDB3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et modérément nomade pendant la saison de reproduction et en dehors de la saison de reproduction ; les individus parcourent généralement 100 à 1 000 km, mais sans direction constante. Répond aux critères de mouvement de la CMS.</w:t>
            </w:r>
          </w:p>
        </w:tc>
      </w:tr>
      <w:tr w:rsidR="00B01F0A" w:rsidRPr="00B01F0A" w14:paraId="0899A8BA" w14:textId="77777777" w:rsidTr="00B7394E">
        <w:trPr>
          <w:cantSplit/>
        </w:trPr>
        <w:tc>
          <w:tcPr>
            <w:tcW w:w="1731" w:type="dxa"/>
            <w:shd w:val="clear" w:color="auto" w:fill="auto"/>
          </w:tcPr>
          <w:p w14:paraId="79DEF03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Spheniscidae</w:t>
            </w:r>
          </w:p>
        </w:tc>
        <w:tc>
          <w:tcPr>
            <w:tcW w:w="1964" w:type="dxa"/>
            <w:shd w:val="clear" w:color="auto" w:fill="auto"/>
          </w:tcPr>
          <w:p w14:paraId="78B34E11"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Manchot empereur</w:t>
            </w:r>
          </w:p>
        </w:tc>
        <w:tc>
          <w:tcPr>
            <w:tcW w:w="2126" w:type="dxa"/>
            <w:shd w:val="clear" w:color="auto" w:fill="auto"/>
          </w:tcPr>
          <w:p w14:paraId="11C6D066"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 xml:space="preserve">Aptenodytes </w:t>
            </w:r>
            <w:proofErr w:type="spellStart"/>
            <w:r w:rsidRPr="00B01F0A">
              <w:rPr>
                <w:rFonts w:cs="Arial"/>
                <w:i/>
                <w:iCs/>
                <w:color w:val="000000"/>
                <w:sz w:val="20"/>
                <w:szCs w:val="20"/>
                <w:lang w:val="en-AU"/>
              </w:rPr>
              <w:t>forsteri</w:t>
            </w:r>
            <w:proofErr w:type="spellEnd"/>
          </w:p>
        </w:tc>
        <w:tc>
          <w:tcPr>
            <w:tcW w:w="1413" w:type="dxa"/>
            <w:shd w:val="clear" w:color="auto" w:fill="auto"/>
          </w:tcPr>
          <w:p w14:paraId="13359407"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97C822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mais pas dans la même direction. Répond aux critères de mouvement de la CMS.</w:t>
            </w:r>
          </w:p>
        </w:tc>
      </w:tr>
      <w:tr w:rsidR="00B01F0A" w:rsidRPr="00B01F0A" w14:paraId="08DCA9BE" w14:textId="77777777" w:rsidTr="00B7394E">
        <w:trPr>
          <w:cantSplit/>
        </w:trPr>
        <w:tc>
          <w:tcPr>
            <w:tcW w:w="1731" w:type="dxa"/>
            <w:shd w:val="clear" w:color="auto" w:fill="auto"/>
          </w:tcPr>
          <w:p w14:paraId="09EA8E89"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Spheniscidae</w:t>
            </w:r>
          </w:p>
        </w:tc>
        <w:tc>
          <w:tcPr>
            <w:tcW w:w="1964" w:type="dxa"/>
            <w:shd w:val="clear" w:color="auto" w:fill="auto"/>
          </w:tcPr>
          <w:p w14:paraId="066AE2A2"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Gorfou doré</w:t>
            </w:r>
          </w:p>
        </w:tc>
        <w:tc>
          <w:tcPr>
            <w:tcW w:w="2126" w:type="dxa"/>
            <w:shd w:val="clear" w:color="auto" w:fill="auto"/>
          </w:tcPr>
          <w:p w14:paraId="4D85118E"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Eudyptes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chrysolophus</w:t>
            </w:r>
            <w:proofErr w:type="spellEnd"/>
          </w:p>
        </w:tc>
        <w:tc>
          <w:tcPr>
            <w:tcW w:w="1413" w:type="dxa"/>
            <w:shd w:val="clear" w:color="auto" w:fill="auto"/>
          </w:tcPr>
          <w:p w14:paraId="04FF50FA"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51D238DF"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mais pas dans la même direction. Répond aux critères de mouvement de la CMS.</w:t>
            </w:r>
          </w:p>
        </w:tc>
      </w:tr>
      <w:tr w:rsidR="00B01F0A" w:rsidRPr="00B01F0A" w14:paraId="3002941A" w14:textId="77777777" w:rsidTr="00B7394E">
        <w:trPr>
          <w:cantSplit/>
        </w:trPr>
        <w:tc>
          <w:tcPr>
            <w:tcW w:w="1731" w:type="dxa"/>
            <w:shd w:val="clear" w:color="auto" w:fill="auto"/>
          </w:tcPr>
          <w:p w14:paraId="146892A0"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Spheniscidae</w:t>
            </w:r>
          </w:p>
        </w:tc>
        <w:tc>
          <w:tcPr>
            <w:tcW w:w="1964" w:type="dxa"/>
            <w:shd w:val="clear" w:color="auto" w:fill="auto"/>
          </w:tcPr>
          <w:p w14:paraId="0ACDCB3C"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Gorfou de Moseley</w:t>
            </w:r>
          </w:p>
        </w:tc>
        <w:tc>
          <w:tcPr>
            <w:tcW w:w="2126" w:type="dxa"/>
            <w:shd w:val="clear" w:color="auto" w:fill="auto"/>
          </w:tcPr>
          <w:p w14:paraId="13FA7EBD"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Eudyptes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moseleyi</w:t>
            </w:r>
            <w:proofErr w:type="spellEnd"/>
          </w:p>
        </w:tc>
        <w:tc>
          <w:tcPr>
            <w:tcW w:w="1413" w:type="dxa"/>
            <w:shd w:val="clear" w:color="auto" w:fill="auto"/>
          </w:tcPr>
          <w:p w14:paraId="0BDCC625"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2FAA36B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mais pas dans la même direction. Répond aux critères de mouvement de la CMS.</w:t>
            </w:r>
          </w:p>
        </w:tc>
      </w:tr>
      <w:tr w:rsidR="00B01F0A" w:rsidRPr="00B01F0A" w14:paraId="39DAA42B" w14:textId="77777777" w:rsidTr="00B7394E">
        <w:trPr>
          <w:cantSplit/>
        </w:trPr>
        <w:tc>
          <w:tcPr>
            <w:tcW w:w="1731" w:type="dxa"/>
            <w:shd w:val="clear" w:color="auto" w:fill="auto"/>
          </w:tcPr>
          <w:p w14:paraId="6DF8800F"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Spheniscidae</w:t>
            </w:r>
          </w:p>
        </w:tc>
        <w:tc>
          <w:tcPr>
            <w:tcW w:w="1964" w:type="dxa"/>
            <w:shd w:val="clear" w:color="auto" w:fill="auto"/>
          </w:tcPr>
          <w:p w14:paraId="7155BEC0"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Gorfou sauteur</w:t>
            </w:r>
          </w:p>
        </w:tc>
        <w:tc>
          <w:tcPr>
            <w:tcW w:w="2126" w:type="dxa"/>
            <w:shd w:val="clear" w:color="auto" w:fill="auto"/>
          </w:tcPr>
          <w:p w14:paraId="0183BCF9"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Eudyptes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chrysocome</w:t>
            </w:r>
            <w:proofErr w:type="spellEnd"/>
          </w:p>
        </w:tc>
        <w:tc>
          <w:tcPr>
            <w:tcW w:w="1413" w:type="dxa"/>
            <w:shd w:val="clear" w:color="auto" w:fill="auto"/>
          </w:tcPr>
          <w:p w14:paraId="35F53B4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BEEF93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mais pas dans la même direction. Répond aux critères de mouvement de la CMS.</w:t>
            </w:r>
          </w:p>
        </w:tc>
      </w:tr>
      <w:tr w:rsidR="00B01F0A" w:rsidRPr="00B01F0A" w14:paraId="60D19560" w14:textId="77777777" w:rsidTr="00B7394E">
        <w:trPr>
          <w:cantSplit/>
        </w:trPr>
        <w:tc>
          <w:tcPr>
            <w:tcW w:w="1731" w:type="dxa"/>
            <w:shd w:val="clear" w:color="auto" w:fill="auto"/>
          </w:tcPr>
          <w:p w14:paraId="13D8D785"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Oceanitidae</w:t>
            </w:r>
            <w:proofErr w:type="spellEnd"/>
          </w:p>
        </w:tc>
        <w:tc>
          <w:tcPr>
            <w:tcW w:w="1964" w:type="dxa"/>
            <w:shd w:val="clear" w:color="auto" w:fill="auto"/>
          </w:tcPr>
          <w:p w14:paraId="00D0D140"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Océanite d'Elliot</w:t>
            </w:r>
          </w:p>
        </w:tc>
        <w:tc>
          <w:tcPr>
            <w:tcW w:w="2126" w:type="dxa"/>
            <w:shd w:val="clear" w:color="auto" w:fill="auto"/>
          </w:tcPr>
          <w:p w14:paraId="65F8461C"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Oceanites </w:t>
            </w:r>
            <w:proofErr w:type="spellStart"/>
            <w:r w:rsidRPr="00B01F0A">
              <w:rPr>
                <w:rFonts w:cs="Arial"/>
                <w:b/>
                <w:bCs/>
                <w:i/>
                <w:iCs/>
                <w:color w:val="000000"/>
                <w:sz w:val="20"/>
                <w:szCs w:val="20"/>
                <w:lang w:val="en-AU"/>
              </w:rPr>
              <w:t>gracilis</w:t>
            </w:r>
            <w:proofErr w:type="spellEnd"/>
          </w:p>
        </w:tc>
        <w:tc>
          <w:tcPr>
            <w:tcW w:w="1413" w:type="dxa"/>
            <w:shd w:val="clear" w:color="auto" w:fill="auto"/>
          </w:tcPr>
          <w:p w14:paraId="00A6936B"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DD</w:t>
            </w:r>
          </w:p>
        </w:tc>
        <w:tc>
          <w:tcPr>
            <w:tcW w:w="7518" w:type="dxa"/>
            <w:shd w:val="clear" w:color="auto" w:fill="auto"/>
          </w:tcPr>
          <w:p w14:paraId="11721663"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fortement nomade en dehors de la saison de reproduction ; les individus parcourent généralement plus de 1 000 km, mais sans direction constante. Répond aux critères de mouvement de la CMS.</w:t>
            </w:r>
          </w:p>
        </w:tc>
      </w:tr>
      <w:tr w:rsidR="00B01F0A" w:rsidRPr="00B01F0A" w14:paraId="0964CB5C" w14:textId="77777777" w:rsidTr="00B7394E">
        <w:trPr>
          <w:cantSplit/>
        </w:trPr>
        <w:tc>
          <w:tcPr>
            <w:tcW w:w="1731" w:type="dxa"/>
            <w:shd w:val="clear" w:color="auto" w:fill="auto"/>
          </w:tcPr>
          <w:p w14:paraId="635C7F2B"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Oceanitidae</w:t>
            </w:r>
            <w:proofErr w:type="spellEnd"/>
          </w:p>
        </w:tc>
        <w:tc>
          <w:tcPr>
            <w:tcW w:w="1964" w:type="dxa"/>
            <w:shd w:val="clear" w:color="auto" w:fill="auto"/>
          </w:tcPr>
          <w:p w14:paraId="6E877D5E"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Océanite maori</w:t>
            </w:r>
          </w:p>
        </w:tc>
        <w:tc>
          <w:tcPr>
            <w:tcW w:w="2126" w:type="dxa"/>
            <w:shd w:val="clear" w:color="auto" w:fill="auto"/>
          </w:tcPr>
          <w:p w14:paraId="5EE17CCD"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Fregetta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maoriana</w:t>
            </w:r>
            <w:proofErr w:type="spellEnd"/>
          </w:p>
        </w:tc>
        <w:tc>
          <w:tcPr>
            <w:tcW w:w="1413" w:type="dxa"/>
            <w:shd w:val="clear" w:color="auto" w:fill="auto"/>
          </w:tcPr>
          <w:p w14:paraId="0B7DB5D8"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70B5CC2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mais pas dans la même direction. Répond aux critères de mouvement de la CMS.</w:t>
            </w:r>
          </w:p>
        </w:tc>
      </w:tr>
      <w:tr w:rsidR="00B01F0A" w:rsidRPr="00B01F0A" w14:paraId="105F9492" w14:textId="77777777" w:rsidTr="00B7394E">
        <w:trPr>
          <w:cantSplit/>
        </w:trPr>
        <w:tc>
          <w:tcPr>
            <w:tcW w:w="1731" w:type="dxa"/>
            <w:shd w:val="clear" w:color="auto" w:fill="auto"/>
          </w:tcPr>
          <w:p w14:paraId="7ADA32E7"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Oceanitidae</w:t>
            </w:r>
            <w:proofErr w:type="spellEnd"/>
          </w:p>
        </w:tc>
        <w:tc>
          <w:tcPr>
            <w:tcW w:w="1964" w:type="dxa"/>
            <w:shd w:val="clear" w:color="auto" w:fill="auto"/>
          </w:tcPr>
          <w:p w14:paraId="1FDFC7BF"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Océanite à gorge blanche</w:t>
            </w:r>
          </w:p>
        </w:tc>
        <w:tc>
          <w:tcPr>
            <w:tcW w:w="2126" w:type="dxa"/>
            <w:shd w:val="clear" w:color="auto" w:fill="auto"/>
          </w:tcPr>
          <w:p w14:paraId="66FEBFBA"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Nesofregetta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fuliginosa</w:t>
            </w:r>
            <w:proofErr w:type="spellEnd"/>
          </w:p>
        </w:tc>
        <w:tc>
          <w:tcPr>
            <w:tcW w:w="1413" w:type="dxa"/>
            <w:shd w:val="clear" w:color="auto" w:fill="auto"/>
          </w:tcPr>
          <w:p w14:paraId="560E3E8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7B809EF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 les lieux de reproduction étant occupés de façon fiable chaque saison, mais fortement nomade en dehors de la saison de reproduction ; les individus parcourent généralement plus de 1 000 km, mais sans direction constante. Répond aux critères de mouvement de la CMS.</w:t>
            </w:r>
          </w:p>
        </w:tc>
      </w:tr>
      <w:tr w:rsidR="00B01F0A" w:rsidRPr="00B01F0A" w14:paraId="47C7125D" w14:textId="77777777" w:rsidTr="00B7394E">
        <w:trPr>
          <w:cantSplit/>
        </w:trPr>
        <w:tc>
          <w:tcPr>
            <w:tcW w:w="1731" w:type="dxa"/>
            <w:shd w:val="clear" w:color="auto" w:fill="auto"/>
          </w:tcPr>
          <w:p w14:paraId="3DD35DE9"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Hydrobatidae</w:t>
            </w:r>
          </w:p>
        </w:tc>
        <w:tc>
          <w:tcPr>
            <w:tcW w:w="1964" w:type="dxa"/>
            <w:shd w:val="clear" w:color="auto" w:fill="auto"/>
          </w:tcPr>
          <w:p w14:paraId="70C68850"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Océanite de Matsudaira</w:t>
            </w:r>
          </w:p>
        </w:tc>
        <w:tc>
          <w:tcPr>
            <w:tcW w:w="2126" w:type="dxa"/>
            <w:shd w:val="clear" w:color="auto" w:fill="auto"/>
          </w:tcPr>
          <w:p w14:paraId="0B6848A5"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Hydrobates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matsudairae</w:t>
            </w:r>
            <w:proofErr w:type="spellEnd"/>
          </w:p>
        </w:tc>
        <w:tc>
          <w:tcPr>
            <w:tcW w:w="1413" w:type="dxa"/>
            <w:shd w:val="clear" w:color="auto" w:fill="auto"/>
          </w:tcPr>
          <w:p w14:paraId="3AB7A4DA"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323C20E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4385EF12" w14:textId="77777777" w:rsidTr="00B7394E">
        <w:trPr>
          <w:cantSplit/>
        </w:trPr>
        <w:tc>
          <w:tcPr>
            <w:tcW w:w="1731" w:type="dxa"/>
            <w:shd w:val="clear" w:color="auto" w:fill="auto"/>
          </w:tcPr>
          <w:p w14:paraId="3B18487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Hydrobatidae</w:t>
            </w:r>
          </w:p>
        </w:tc>
        <w:tc>
          <w:tcPr>
            <w:tcW w:w="1964" w:type="dxa"/>
            <w:shd w:val="clear" w:color="auto" w:fill="auto"/>
          </w:tcPr>
          <w:p w14:paraId="2DA0A611"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Océanite de Townsend</w:t>
            </w:r>
          </w:p>
        </w:tc>
        <w:tc>
          <w:tcPr>
            <w:tcW w:w="2126" w:type="dxa"/>
            <w:shd w:val="clear" w:color="auto" w:fill="auto"/>
          </w:tcPr>
          <w:p w14:paraId="070FB3CB"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Hydrobates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socorroensis</w:t>
            </w:r>
            <w:proofErr w:type="spellEnd"/>
          </w:p>
        </w:tc>
        <w:tc>
          <w:tcPr>
            <w:tcW w:w="1413" w:type="dxa"/>
            <w:shd w:val="clear" w:color="auto" w:fill="auto"/>
          </w:tcPr>
          <w:p w14:paraId="00712F84"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11389A5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7F8B688C" w14:textId="77777777" w:rsidTr="00B7394E">
        <w:trPr>
          <w:cantSplit/>
        </w:trPr>
        <w:tc>
          <w:tcPr>
            <w:tcW w:w="1731" w:type="dxa"/>
            <w:shd w:val="clear" w:color="auto" w:fill="auto"/>
          </w:tcPr>
          <w:p w14:paraId="0431675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Hydrobatidae</w:t>
            </w:r>
          </w:p>
        </w:tc>
        <w:tc>
          <w:tcPr>
            <w:tcW w:w="1964" w:type="dxa"/>
            <w:shd w:val="clear" w:color="auto" w:fill="auto"/>
          </w:tcPr>
          <w:p w14:paraId="76570019"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Océanite d'</w:t>
            </w:r>
            <w:proofErr w:type="spellStart"/>
            <w:r w:rsidRPr="00B01F0A">
              <w:rPr>
                <w:rFonts w:cs="Arial"/>
                <w:b/>
                <w:bCs/>
                <w:color w:val="000000"/>
                <w:sz w:val="20"/>
                <w:szCs w:val="20"/>
                <w:lang w:val="fr-FR"/>
              </w:rPr>
              <w:t>Ainley</w:t>
            </w:r>
            <w:proofErr w:type="spellEnd"/>
          </w:p>
        </w:tc>
        <w:tc>
          <w:tcPr>
            <w:tcW w:w="2126" w:type="dxa"/>
            <w:shd w:val="clear" w:color="auto" w:fill="auto"/>
          </w:tcPr>
          <w:p w14:paraId="02ABAA75"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Hydrobates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cheimomnestes</w:t>
            </w:r>
            <w:proofErr w:type="spellEnd"/>
          </w:p>
        </w:tc>
        <w:tc>
          <w:tcPr>
            <w:tcW w:w="1413" w:type="dxa"/>
            <w:shd w:val="clear" w:color="auto" w:fill="auto"/>
          </w:tcPr>
          <w:p w14:paraId="0EB70939"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EE9847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2DA133BE" w14:textId="77777777" w:rsidTr="00B7394E">
        <w:trPr>
          <w:cantSplit/>
        </w:trPr>
        <w:tc>
          <w:tcPr>
            <w:tcW w:w="1731" w:type="dxa"/>
            <w:shd w:val="clear" w:color="auto" w:fill="auto"/>
          </w:tcPr>
          <w:p w14:paraId="2236C03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Hydrobatidae</w:t>
            </w:r>
          </w:p>
        </w:tc>
        <w:tc>
          <w:tcPr>
            <w:tcW w:w="1964" w:type="dxa"/>
            <w:shd w:val="clear" w:color="auto" w:fill="auto"/>
          </w:tcPr>
          <w:p w14:paraId="2978D37A"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Océanite cul-blanc</w:t>
            </w:r>
          </w:p>
        </w:tc>
        <w:tc>
          <w:tcPr>
            <w:tcW w:w="2126" w:type="dxa"/>
            <w:shd w:val="clear" w:color="auto" w:fill="auto"/>
          </w:tcPr>
          <w:p w14:paraId="1B55AC77"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Hydrobates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leucorhous</w:t>
            </w:r>
            <w:proofErr w:type="spellEnd"/>
          </w:p>
        </w:tc>
        <w:tc>
          <w:tcPr>
            <w:tcW w:w="1413" w:type="dxa"/>
            <w:shd w:val="clear" w:color="auto" w:fill="auto"/>
          </w:tcPr>
          <w:p w14:paraId="40C60D19"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8F156F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51AACF65" w14:textId="77777777" w:rsidTr="00B7394E">
        <w:trPr>
          <w:cantSplit/>
        </w:trPr>
        <w:tc>
          <w:tcPr>
            <w:tcW w:w="1731" w:type="dxa"/>
            <w:shd w:val="clear" w:color="auto" w:fill="auto"/>
          </w:tcPr>
          <w:p w14:paraId="1C4AD1D9"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Hydrobatidae</w:t>
            </w:r>
          </w:p>
        </w:tc>
        <w:tc>
          <w:tcPr>
            <w:tcW w:w="1964" w:type="dxa"/>
            <w:shd w:val="clear" w:color="auto" w:fill="auto"/>
          </w:tcPr>
          <w:p w14:paraId="7D6132CB"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Océanite de </w:t>
            </w:r>
            <w:proofErr w:type="spellStart"/>
            <w:r w:rsidRPr="00B01F0A">
              <w:rPr>
                <w:rFonts w:cs="Arial"/>
                <w:color w:val="000000"/>
                <w:sz w:val="20"/>
                <w:szCs w:val="20"/>
                <w:lang w:val="fr-FR"/>
              </w:rPr>
              <w:t>Swinhoe</w:t>
            </w:r>
            <w:proofErr w:type="spellEnd"/>
          </w:p>
        </w:tc>
        <w:tc>
          <w:tcPr>
            <w:tcW w:w="2126" w:type="dxa"/>
            <w:shd w:val="clear" w:color="auto" w:fill="auto"/>
          </w:tcPr>
          <w:p w14:paraId="14E68218"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Hydrobates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monorhis</w:t>
            </w:r>
            <w:proofErr w:type="spellEnd"/>
          </w:p>
        </w:tc>
        <w:tc>
          <w:tcPr>
            <w:tcW w:w="1413" w:type="dxa"/>
            <w:shd w:val="clear" w:color="auto" w:fill="auto"/>
          </w:tcPr>
          <w:p w14:paraId="6A199F5E"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7403D26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290838D9" w14:textId="77777777" w:rsidTr="00B7394E">
        <w:trPr>
          <w:cantSplit/>
        </w:trPr>
        <w:tc>
          <w:tcPr>
            <w:tcW w:w="1731" w:type="dxa"/>
            <w:shd w:val="clear" w:color="auto" w:fill="auto"/>
          </w:tcPr>
          <w:p w14:paraId="20E32EC9"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Hydrobatidae</w:t>
            </w:r>
          </w:p>
        </w:tc>
        <w:tc>
          <w:tcPr>
            <w:tcW w:w="1964" w:type="dxa"/>
            <w:shd w:val="clear" w:color="auto" w:fill="auto"/>
          </w:tcPr>
          <w:p w14:paraId="4686875F"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Océanite de Guadalupe</w:t>
            </w:r>
          </w:p>
        </w:tc>
        <w:tc>
          <w:tcPr>
            <w:tcW w:w="2126" w:type="dxa"/>
            <w:shd w:val="clear" w:color="auto" w:fill="auto"/>
          </w:tcPr>
          <w:p w14:paraId="320423C0"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Hydrobates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macrodactylus</w:t>
            </w:r>
            <w:proofErr w:type="spellEnd"/>
          </w:p>
        </w:tc>
        <w:tc>
          <w:tcPr>
            <w:tcW w:w="1413" w:type="dxa"/>
            <w:shd w:val="clear" w:color="auto" w:fill="auto"/>
          </w:tcPr>
          <w:p w14:paraId="63DC473A"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14A56B0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intégrale : lieux de reproduction occupés de façon fiable chaque saison, mais fortement nomade en dehors de la saison de reproduction ; les individus parcourent généralement 100 à 1 000 km, mais sans direction constante. Répond aux critères de mouvement de la CMS.</w:t>
            </w:r>
          </w:p>
        </w:tc>
      </w:tr>
      <w:tr w:rsidR="00B01F0A" w:rsidRPr="00B01F0A" w14:paraId="05C79CD7" w14:textId="77777777" w:rsidTr="00B7394E">
        <w:trPr>
          <w:cantSplit/>
        </w:trPr>
        <w:tc>
          <w:tcPr>
            <w:tcW w:w="1731" w:type="dxa"/>
            <w:shd w:val="clear" w:color="auto" w:fill="auto"/>
          </w:tcPr>
          <w:p w14:paraId="3B79AAFC"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Hydrobatidae</w:t>
            </w:r>
          </w:p>
        </w:tc>
        <w:tc>
          <w:tcPr>
            <w:tcW w:w="1964" w:type="dxa"/>
            <w:shd w:val="clear" w:color="auto" w:fill="auto"/>
          </w:tcPr>
          <w:p w14:paraId="45A14A55"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Océanite de Markham</w:t>
            </w:r>
          </w:p>
        </w:tc>
        <w:tc>
          <w:tcPr>
            <w:tcW w:w="2126" w:type="dxa"/>
            <w:shd w:val="clear" w:color="auto" w:fill="auto"/>
          </w:tcPr>
          <w:p w14:paraId="57AD6EFA"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Hydrobates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markhami</w:t>
            </w:r>
            <w:proofErr w:type="spellEnd"/>
          </w:p>
        </w:tc>
        <w:tc>
          <w:tcPr>
            <w:tcW w:w="1413" w:type="dxa"/>
            <w:shd w:val="clear" w:color="auto" w:fill="auto"/>
          </w:tcPr>
          <w:p w14:paraId="33874D54"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68AE678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et contraction substantielle, les lieux de reproduction étant occupés de façon fiable chaque saison, mais modérément nomade en dehors de la saison de reproduction ; les individus parcourent généralement 100 à 1 000 km du nord au sud. Répond aux critères de mouvement de la CMS.</w:t>
            </w:r>
          </w:p>
        </w:tc>
      </w:tr>
      <w:tr w:rsidR="00B01F0A" w:rsidRPr="00B01F0A" w14:paraId="68101A9B" w14:textId="77777777" w:rsidTr="00B7394E">
        <w:trPr>
          <w:cantSplit/>
        </w:trPr>
        <w:tc>
          <w:tcPr>
            <w:tcW w:w="1731" w:type="dxa"/>
            <w:shd w:val="clear" w:color="auto" w:fill="auto"/>
          </w:tcPr>
          <w:p w14:paraId="55D886F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Hydrobatidae</w:t>
            </w:r>
          </w:p>
        </w:tc>
        <w:tc>
          <w:tcPr>
            <w:tcW w:w="1964" w:type="dxa"/>
            <w:shd w:val="clear" w:color="auto" w:fill="auto"/>
          </w:tcPr>
          <w:p w14:paraId="6EBDDD82"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Océanite de </w:t>
            </w:r>
            <w:proofErr w:type="spellStart"/>
            <w:r w:rsidRPr="00B01F0A">
              <w:rPr>
                <w:rFonts w:cs="Arial"/>
                <w:color w:val="000000"/>
                <w:sz w:val="20"/>
                <w:szCs w:val="20"/>
                <w:lang w:val="fr-FR"/>
              </w:rPr>
              <w:t>Hornby</w:t>
            </w:r>
            <w:proofErr w:type="spellEnd"/>
          </w:p>
        </w:tc>
        <w:tc>
          <w:tcPr>
            <w:tcW w:w="2126" w:type="dxa"/>
            <w:shd w:val="clear" w:color="auto" w:fill="auto"/>
          </w:tcPr>
          <w:p w14:paraId="04E7BE24"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Hydrobates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hornbyi</w:t>
            </w:r>
            <w:proofErr w:type="spellEnd"/>
          </w:p>
        </w:tc>
        <w:tc>
          <w:tcPr>
            <w:tcW w:w="1413" w:type="dxa"/>
            <w:shd w:val="clear" w:color="auto" w:fill="auto"/>
          </w:tcPr>
          <w:p w14:paraId="49760C92"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50CD1E4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100 à 1 000 km, mais sans direction constante. Répond aux critères de mouvement de la CMS.</w:t>
            </w:r>
          </w:p>
        </w:tc>
      </w:tr>
      <w:tr w:rsidR="00B01F0A" w:rsidRPr="00B01F0A" w14:paraId="45625C40" w14:textId="77777777" w:rsidTr="00B7394E">
        <w:trPr>
          <w:cantSplit/>
        </w:trPr>
        <w:tc>
          <w:tcPr>
            <w:tcW w:w="1731" w:type="dxa"/>
            <w:shd w:val="clear" w:color="auto" w:fill="auto"/>
          </w:tcPr>
          <w:p w14:paraId="4CD993B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52047A11"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Prion de </w:t>
            </w:r>
            <w:proofErr w:type="spellStart"/>
            <w:r w:rsidRPr="00B01F0A">
              <w:rPr>
                <w:rFonts w:cs="Arial"/>
                <w:b/>
                <w:bCs/>
                <w:color w:val="000000"/>
                <w:sz w:val="20"/>
                <w:szCs w:val="20"/>
                <w:lang w:val="fr-FR"/>
              </w:rPr>
              <w:t>MacGillivray</w:t>
            </w:r>
            <w:proofErr w:type="spellEnd"/>
          </w:p>
        </w:tc>
        <w:tc>
          <w:tcPr>
            <w:tcW w:w="2126" w:type="dxa"/>
            <w:shd w:val="clear" w:color="auto" w:fill="auto"/>
          </w:tcPr>
          <w:p w14:paraId="10CBCCEC"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Pachyptila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macgillivrayi</w:t>
            </w:r>
            <w:proofErr w:type="spellEnd"/>
          </w:p>
        </w:tc>
        <w:tc>
          <w:tcPr>
            <w:tcW w:w="1413" w:type="dxa"/>
            <w:shd w:val="clear" w:color="auto" w:fill="auto"/>
          </w:tcPr>
          <w:p w14:paraId="75813F0A"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7A5C638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déplacement et expansion substantielle de l'aire de répartition après la reproduction, les lieux de reproduction étant occupés de façon fiable chaque saison, mais modérément nomade en dehors de la saison de reproduction ; les individus parcourent généralement 100 à 1 000 km d'est en ouest. Répond aux critères de mouvement de la CMS.</w:t>
            </w:r>
          </w:p>
        </w:tc>
      </w:tr>
      <w:tr w:rsidR="00B01F0A" w:rsidRPr="00B01F0A" w14:paraId="066A227A" w14:textId="77777777" w:rsidTr="00B7394E">
        <w:trPr>
          <w:cantSplit/>
        </w:trPr>
        <w:tc>
          <w:tcPr>
            <w:tcW w:w="1731" w:type="dxa"/>
            <w:shd w:val="clear" w:color="auto" w:fill="auto"/>
          </w:tcPr>
          <w:p w14:paraId="6979DDFC"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Procellariidae</w:t>
            </w:r>
          </w:p>
        </w:tc>
        <w:tc>
          <w:tcPr>
            <w:tcW w:w="1964" w:type="dxa"/>
            <w:shd w:val="clear" w:color="auto" w:fill="auto"/>
          </w:tcPr>
          <w:p w14:paraId="03460B7B"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Gould</w:t>
            </w:r>
          </w:p>
        </w:tc>
        <w:tc>
          <w:tcPr>
            <w:tcW w:w="2126" w:type="dxa"/>
            <w:shd w:val="clear" w:color="auto" w:fill="auto"/>
          </w:tcPr>
          <w:p w14:paraId="3133159F"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leucoptera</w:t>
            </w:r>
            <w:proofErr w:type="spellEnd"/>
          </w:p>
        </w:tc>
        <w:tc>
          <w:tcPr>
            <w:tcW w:w="1413" w:type="dxa"/>
            <w:shd w:val="clear" w:color="auto" w:fill="auto"/>
          </w:tcPr>
          <w:p w14:paraId="0FD1477D"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6AB03EE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mais pas dans la même direction. Répond aux critères de mouvement de la CMS.</w:t>
            </w:r>
          </w:p>
        </w:tc>
      </w:tr>
      <w:tr w:rsidR="00B01F0A" w:rsidRPr="00B01F0A" w14:paraId="6DDC3BDF" w14:textId="77777777" w:rsidTr="00B7394E">
        <w:trPr>
          <w:cantSplit/>
        </w:trPr>
        <w:tc>
          <w:tcPr>
            <w:tcW w:w="1731" w:type="dxa"/>
            <w:shd w:val="clear" w:color="auto" w:fill="auto"/>
          </w:tcPr>
          <w:p w14:paraId="30B94DC8"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4FE9B29E"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à collier</w:t>
            </w:r>
          </w:p>
        </w:tc>
        <w:tc>
          <w:tcPr>
            <w:tcW w:w="2126" w:type="dxa"/>
            <w:shd w:val="clear" w:color="auto" w:fill="auto"/>
          </w:tcPr>
          <w:p w14:paraId="537643BE"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brevipes</w:t>
            </w:r>
            <w:proofErr w:type="spellEnd"/>
          </w:p>
        </w:tc>
        <w:tc>
          <w:tcPr>
            <w:tcW w:w="1413" w:type="dxa"/>
            <w:shd w:val="clear" w:color="auto" w:fill="auto"/>
          </w:tcPr>
          <w:p w14:paraId="7B11C2E3"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736E69C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les lieux de reproduction étant occupés de façon fiable chaque saison, mais modérément nomade en dehors de la saison de reproduction ; les individus parcourent généralement plus de 1 000 km, mais sans direction constante. Répond aux critères de mouvement de la CMS.</w:t>
            </w:r>
          </w:p>
        </w:tc>
      </w:tr>
      <w:tr w:rsidR="00B01F0A" w:rsidRPr="00B01F0A" w14:paraId="2488FB2A" w14:textId="77777777" w:rsidTr="00B7394E">
        <w:trPr>
          <w:cantSplit/>
        </w:trPr>
        <w:tc>
          <w:tcPr>
            <w:tcW w:w="1731" w:type="dxa"/>
            <w:shd w:val="clear" w:color="auto" w:fill="auto"/>
          </w:tcPr>
          <w:p w14:paraId="34F1D8B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3D13C450"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De Filippi</w:t>
            </w:r>
          </w:p>
        </w:tc>
        <w:tc>
          <w:tcPr>
            <w:tcW w:w="2126" w:type="dxa"/>
            <w:shd w:val="clear" w:color="auto" w:fill="auto"/>
          </w:tcPr>
          <w:p w14:paraId="3A5F171E"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defilippiana</w:t>
            </w:r>
            <w:proofErr w:type="spellEnd"/>
          </w:p>
        </w:tc>
        <w:tc>
          <w:tcPr>
            <w:tcW w:w="1413" w:type="dxa"/>
            <w:shd w:val="clear" w:color="auto" w:fill="auto"/>
          </w:tcPr>
          <w:p w14:paraId="6D069C8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31AF136D"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062000F7" w14:textId="77777777" w:rsidTr="00B7394E">
        <w:trPr>
          <w:cantSplit/>
        </w:trPr>
        <w:tc>
          <w:tcPr>
            <w:tcW w:w="1731" w:type="dxa"/>
            <w:shd w:val="clear" w:color="auto" w:fill="auto"/>
          </w:tcPr>
          <w:p w14:paraId="3618476F"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5C794A9C"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Pétrel de </w:t>
            </w:r>
            <w:proofErr w:type="spellStart"/>
            <w:r w:rsidRPr="00B01F0A">
              <w:rPr>
                <w:rFonts w:cs="Arial"/>
                <w:b/>
                <w:bCs/>
                <w:color w:val="000000"/>
                <w:sz w:val="20"/>
                <w:szCs w:val="20"/>
                <w:lang w:val="fr-FR"/>
              </w:rPr>
              <w:t>Stejneger</w:t>
            </w:r>
            <w:proofErr w:type="spellEnd"/>
          </w:p>
        </w:tc>
        <w:tc>
          <w:tcPr>
            <w:tcW w:w="2126" w:type="dxa"/>
            <w:shd w:val="clear" w:color="auto" w:fill="auto"/>
          </w:tcPr>
          <w:p w14:paraId="343021FB"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longirostris</w:t>
            </w:r>
            <w:proofErr w:type="spellEnd"/>
          </w:p>
        </w:tc>
        <w:tc>
          <w:tcPr>
            <w:tcW w:w="1413" w:type="dxa"/>
            <w:shd w:val="clear" w:color="auto" w:fill="auto"/>
          </w:tcPr>
          <w:p w14:paraId="359475D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B78D8C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3B185759" w14:textId="77777777" w:rsidTr="00B7394E">
        <w:trPr>
          <w:cantSplit/>
        </w:trPr>
        <w:tc>
          <w:tcPr>
            <w:tcW w:w="1731" w:type="dxa"/>
            <w:shd w:val="clear" w:color="auto" w:fill="auto"/>
          </w:tcPr>
          <w:p w14:paraId="14D1B49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4C09A274"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Cook</w:t>
            </w:r>
          </w:p>
        </w:tc>
        <w:tc>
          <w:tcPr>
            <w:tcW w:w="2126" w:type="dxa"/>
            <w:shd w:val="clear" w:color="auto" w:fill="auto"/>
          </w:tcPr>
          <w:p w14:paraId="28AA0C51"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cookii</w:t>
            </w:r>
            <w:proofErr w:type="spellEnd"/>
          </w:p>
        </w:tc>
        <w:tc>
          <w:tcPr>
            <w:tcW w:w="1413" w:type="dxa"/>
            <w:shd w:val="clear" w:color="auto" w:fill="auto"/>
          </w:tcPr>
          <w:p w14:paraId="1EA7408A"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163C20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457F0EE8" w14:textId="77777777" w:rsidTr="00B7394E">
        <w:trPr>
          <w:cantSplit/>
        </w:trPr>
        <w:tc>
          <w:tcPr>
            <w:tcW w:w="1731" w:type="dxa"/>
            <w:shd w:val="clear" w:color="auto" w:fill="auto"/>
          </w:tcPr>
          <w:p w14:paraId="2FDBB704"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1B08EB73"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Pétrel de </w:t>
            </w:r>
            <w:proofErr w:type="spellStart"/>
            <w:r w:rsidRPr="00B01F0A">
              <w:rPr>
                <w:rFonts w:cs="Arial"/>
                <w:b/>
                <w:bCs/>
                <w:color w:val="000000"/>
                <w:sz w:val="20"/>
                <w:szCs w:val="20"/>
                <w:lang w:val="fr-FR"/>
              </w:rPr>
              <w:t>Pycroft</w:t>
            </w:r>
            <w:proofErr w:type="spellEnd"/>
          </w:p>
        </w:tc>
        <w:tc>
          <w:tcPr>
            <w:tcW w:w="2126" w:type="dxa"/>
            <w:shd w:val="clear" w:color="auto" w:fill="auto"/>
          </w:tcPr>
          <w:p w14:paraId="403D49D5"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pycrofti</w:t>
            </w:r>
            <w:proofErr w:type="spellEnd"/>
          </w:p>
        </w:tc>
        <w:tc>
          <w:tcPr>
            <w:tcW w:w="1413" w:type="dxa"/>
            <w:shd w:val="clear" w:color="auto" w:fill="auto"/>
          </w:tcPr>
          <w:p w14:paraId="0A464CEB"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4601935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d'est en ouest. Répond aux critères de mouvement de la CMS.</w:t>
            </w:r>
          </w:p>
        </w:tc>
      </w:tr>
      <w:tr w:rsidR="00B01F0A" w:rsidRPr="00B01F0A" w14:paraId="3567025E" w14:textId="77777777" w:rsidTr="00B7394E">
        <w:trPr>
          <w:cantSplit/>
        </w:trPr>
        <w:tc>
          <w:tcPr>
            <w:tcW w:w="1731" w:type="dxa"/>
            <w:shd w:val="clear" w:color="auto" w:fill="auto"/>
          </w:tcPr>
          <w:p w14:paraId="366BB5FF"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5D31B7B3"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des Chatham</w:t>
            </w:r>
          </w:p>
        </w:tc>
        <w:tc>
          <w:tcPr>
            <w:tcW w:w="2126" w:type="dxa"/>
            <w:shd w:val="clear" w:color="auto" w:fill="auto"/>
          </w:tcPr>
          <w:p w14:paraId="5761337B"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axillaris</w:t>
            </w:r>
            <w:proofErr w:type="spellEnd"/>
          </w:p>
        </w:tc>
        <w:tc>
          <w:tcPr>
            <w:tcW w:w="1413" w:type="dxa"/>
            <w:shd w:val="clear" w:color="auto" w:fill="auto"/>
          </w:tcPr>
          <w:p w14:paraId="4700CD46"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4CFDD3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d'est en ouest. Répond aux critères de mouvement de la CMS.</w:t>
            </w:r>
          </w:p>
        </w:tc>
      </w:tr>
      <w:tr w:rsidR="00B01F0A" w:rsidRPr="00B01F0A" w14:paraId="495969EA" w14:textId="77777777" w:rsidTr="00B7394E">
        <w:trPr>
          <w:cantSplit/>
        </w:trPr>
        <w:tc>
          <w:tcPr>
            <w:tcW w:w="1731" w:type="dxa"/>
            <w:shd w:val="clear" w:color="auto" w:fill="auto"/>
          </w:tcPr>
          <w:p w14:paraId="4BD2932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68636806"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Pétrel de </w:t>
            </w:r>
            <w:proofErr w:type="spellStart"/>
            <w:r w:rsidRPr="00B01F0A">
              <w:rPr>
                <w:rFonts w:cs="Arial"/>
                <w:b/>
                <w:bCs/>
                <w:color w:val="000000"/>
                <w:sz w:val="20"/>
                <w:szCs w:val="20"/>
                <w:lang w:val="fr-FR"/>
              </w:rPr>
              <w:t>Trindade</w:t>
            </w:r>
            <w:proofErr w:type="spellEnd"/>
          </w:p>
        </w:tc>
        <w:tc>
          <w:tcPr>
            <w:tcW w:w="2126" w:type="dxa"/>
            <w:shd w:val="clear" w:color="auto" w:fill="auto"/>
          </w:tcPr>
          <w:p w14:paraId="489AA4DE"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arminjoniana</w:t>
            </w:r>
            <w:proofErr w:type="spellEnd"/>
          </w:p>
        </w:tc>
        <w:tc>
          <w:tcPr>
            <w:tcW w:w="1413" w:type="dxa"/>
            <w:shd w:val="clear" w:color="auto" w:fill="auto"/>
          </w:tcPr>
          <w:p w14:paraId="6FB3A7B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5A3549B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3F04BA76" w14:textId="77777777" w:rsidTr="00B7394E">
        <w:trPr>
          <w:cantSplit/>
        </w:trPr>
        <w:tc>
          <w:tcPr>
            <w:tcW w:w="1731" w:type="dxa"/>
            <w:shd w:val="clear" w:color="auto" w:fill="auto"/>
          </w:tcPr>
          <w:p w14:paraId="0641029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Procellariidae</w:t>
            </w:r>
          </w:p>
        </w:tc>
        <w:tc>
          <w:tcPr>
            <w:tcW w:w="1964" w:type="dxa"/>
            <w:shd w:val="clear" w:color="auto" w:fill="auto"/>
          </w:tcPr>
          <w:p w14:paraId="070D0066"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à poitrine blanche</w:t>
            </w:r>
          </w:p>
        </w:tc>
        <w:tc>
          <w:tcPr>
            <w:tcW w:w="2126" w:type="dxa"/>
            <w:shd w:val="clear" w:color="auto" w:fill="auto"/>
          </w:tcPr>
          <w:p w14:paraId="18D4FC9C"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Pterodroma alba</w:t>
            </w:r>
          </w:p>
        </w:tc>
        <w:tc>
          <w:tcPr>
            <w:tcW w:w="1413" w:type="dxa"/>
            <w:shd w:val="clear" w:color="auto" w:fill="auto"/>
          </w:tcPr>
          <w:p w14:paraId="3DEB9EF3"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33DA58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1 000 km, mais sans direction constante. Répond aux critères de mouvement de la CMS.</w:t>
            </w:r>
          </w:p>
        </w:tc>
      </w:tr>
      <w:tr w:rsidR="00B01F0A" w:rsidRPr="00B01F0A" w14:paraId="6FC22F8E" w14:textId="77777777" w:rsidTr="00B7394E">
        <w:trPr>
          <w:cantSplit/>
        </w:trPr>
        <w:tc>
          <w:tcPr>
            <w:tcW w:w="1731" w:type="dxa"/>
            <w:shd w:val="clear" w:color="auto" w:fill="auto"/>
          </w:tcPr>
          <w:p w14:paraId="33720919"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38D3E1D1"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Barau</w:t>
            </w:r>
          </w:p>
        </w:tc>
        <w:tc>
          <w:tcPr>
            <w:tcW w:w="2126" w:type="dxa"/>
            <w:shd w:val="clear" w:color="auto" w:fill="auto"/>
          </w:tcPr>
          <w:p w14:paraId="338AF1AF"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baraui</w:t>
            </w:r>
            <w:proofErr w:type="spellEnd"/>
          </w:p>
        </w:tc>
        <w:tc>
          <w:tcPr>
            <w:tcW w:w="1413" w:type="dxa"/>
            <w:shd w:val="clear" w:color="auto" w:fill="auto"/>
          </w:tcPr>
          <w:p w14:paraId="7466897B"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1CB53BC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d'est en ouest. Répond aux critères de mouvement de la CMS.</w:t>
            </w:r>
          </w:p>
        </w:tc>
      </w:tr>
      <w:tr w:rsidR="00B01F0A" w:rsidRPr="00B01F0A" w14:paraId="430017B1" w14:textId="77777777" w:rsidTr="00B7394E">
        <w:trPr>
          <w:cantSplit/>
        </w:trPr>
        <w:tc>
          <w:tcPr>
            <w:tcW w:w="1731" w:type="dxa"/>
            <w:shd w:val="clear" w:color="auto" w:fill="auto"/>
          </w:tcPr>
          <w:p w14:paraId="07A74FA1"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38A67C7A"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Pétrel maculé</w:t>
            </w:r>
          </w:p>
        </w:tc>
        <w:tc>
          <w:tcPr>
            <w:tcW w:w="2126" w:type="dxa"/>
            <w:shd w:val="clear" w:color="auto" w:fill="auto"/>
          </w:tcPr>
          <w:p w14:paraId="66021582"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Pterodroma inexpectata</w:t>
            </w:r>
          </w:p>
        </w:tc>
        <w:tc>
          <w:tcPr>
            <w:tcW w:w="1413" w:type="dxa"/>
            <w:shd w:val="clear" w:color="auto" w:fill="auto"/>
          </w:tcPr>
          <w:p w14:paraId="78FFF71D"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EB7FA0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71ECBE7C" w14:textId="77777777" w:rsidTr="00B7394E">
        <w:trPr>
          <w:cantSplit/>
        </w:trPr>
        <w:tc>
          <w:tcPr>
            <w:tcW w:w="1731" w:type="dxa"/>
            <w:shd w:val="clear" w:color="auto" w:fill="auto"/>
          </w:tcPr>
          <w:p w14:paraId="7599B4C5"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24B8D0BF"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à col blanc</w:t>
            </w:r>
          </w:p>
        </w:tc>
        <w:tc>
          <w:tcPr>
            <w:tcW w:w="2126" w:type="dxa"/>
            <w:shd w:val="clear" w:color="auto" w:fill="auto"/>
          </w:tcPr>
          <w:p w14:paraId="612CE782"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Pterodroma cervicalis</w:t>
            </w:r>
          </w:p>
        </w:tc>
        <w:tc>
          <w:tcPr>
            <w:tcW w:w="1413" w:type="dxa"/>
            <w:shd w:val="clear" w:color="auto" w:fill="auto"/>
          </w:tcPr>
          <w:p w14:paraId="12BA41F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E807A9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17D7AF6F" w14:textId="77777777" w:rsidTr="00B7394E">
        <w:trPr>
          <w:cantSplit/>
        </w:trPr>
        <w:tc>
          <w:tcPr>
            <w:tcW w:w="1731" w:type="dxa"/>
            <w:shd w:val="clear" w:color="auto" w:fill="auto"/>
          </w:tcPr>
          <w:p w14:paraId="22549901"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227E7BE1"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Juan Fernandez</w:t>
            </w:r>
          </w:p>
        </w:tc>
        <w:tc>
          <w:tcPr>
            <w:tcW w:w="2126" w:type="dxa"/>
            <w:shd w:val="clear" w:color="auto" w:fill="auto"/>
          </w:tcPr>
          <w:p w14:paraId="69632946"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Pterodroma externa</w:t>
            </w:r>
          </w:p>
        </w:tc>
        <w:tc>
          <w:tcPr>
            <w:tcW w:w="1413" w:type="dxa"/>
            <w:shd w:val="clear" w:color="auto" w:fill="auto"/>
          </w:tcPr>
          <w:p w14:paraId="1C3347A9"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7650E11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73AF57CF" w14:textId="77777777" w:rsidTr="00B7394E">
        <w:trPr>
          <w:cantSplit/>
        </w:trPr>
        <w:tc>
          <w:tcPr>
            <w:tcW w:w="1731" w:type="dxa"/>
            <w:shd w:val="clear" w:color="auto" w:fill="auto"/>
          </w:tcPr>
          <w:p w14:paraId="4871EFD8"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560B05FD"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diablotin</w:t>
            </w:r>
          </w:p>
        </w:tc>
        <w:tc>
          <w:tcPr>
            <w:tcW w:w="2126" w:type="dxa"/>
            <w:shd w:val="clear" w:color="auto" w:fill="auto"/>
          </w:tcPr>
          <w:p w14:paraId="7FF1908D"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hasitata</w:t>
            </w:r>
            <w:proofErr w:type="spellEnd"/>
          </w:p>
        </w:tc>
        <w:tc>
          <w:tcPr>
            <w:tcW w:w="1413" w:type="dxa"/>
            <w:shd w:val="clear" w:color="auto" w:fill="auto"/>
          </w:tcPr>
          <w:p w14:paraId="714362A9"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412CEDE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1207048B" w14:textId="77777777" w:rsidTr="00B7394E">
        <w:trPr>
          <w:cantSplit/>
        </w:trPr>
        <w:tc>
          <w:tcPr>
            <w:tcW w:w="1731" w:type="dxa"/>
            <w:shd w:val="clear" w:color="auto" w:fill="auto"/>
          </w:tcPr>
          <w:p w14:paraId="28C89670"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32401271"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Jamaïque</w:t>
            </w:r>
          </w:p>
        </w:tc>
        <w:tc>
          <w:tcPr>
            <w:tcW w:w="2126" w:type="dxa"/>
            <w:shd w:val="clear" w:color="auto" w:fill="auto"/>
          </w:tcPr>
          <w:p w14:paraId="5F104507"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caribbaea</w:t>
            </w:r>
            <w:proofErr w:type="spellEnd"/>
          </w:p>
        </w:tc>
        <w:tc>
          <w:tcPr>
            <w:tcW w:w="1413" w:type="dxa"/>
            <w:shd w:val="clear" w:color="auto" w:fill="auto"/>
          </w:tcPr>
          <w:p w14:paraId="0E34FE6E"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2211701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5F436A0D" w14:textId="77777777" w:rsidTr="00B7394E">
        <w:trPr>
          <w:cantSplit/>
        </w:trPr>
        <w:tc>
          <w:tcPr>
            <w:tcW w:w="1731" w:type="dxa"/>
            <w:shd w:val="clear" w:color="auto" w:fill="auto"/>
          </w:tcPr>
          <w:p w14:paraId="32461393"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Procellariidae</w:t>
            </w:r>
          </w:p>
        </w:tc>
        <w:tc>
          <w:tcPr>
            <w:tcW w:w="1964" w:type="dxa"/>
            <w:shd w:val="clear" w:color="auto" w:fill="auto"/>
          </w:tcPr>
          <w:p w14:paraId="4569C864"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Pétrel du Cap-Vert</w:t>
            </w:r>
          </w:p>
        </w:tc>
        <w:tc>
          <w:tcPr>
            <w:tcW w:w="2126" w:type="dxa"/>
            <w:shd w:val="clear" w:color="auto" w:fill="auto"/>
          </w:tcPr>
          <w:p w14:paraId="063983F1"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 xml:space="preserve">Pterodroma </w:t>
            </w:r>
            <w:proofErr w:type="spellStart"/>
            <w:r w:rsidRPr="00B01F0A">
              <w:rPr>
                <w:rFonts w:cs="Arial"/>
                <w:i/>
                <w:iCs/>
                <w:color w:val="000000"/>
                <w:sz w:val="20"/>
                <w:szCs w:val="20"/>
                <w:lang w:val="en-AU"/>
              </w:rPr>
              <w:t>feae</w:t>
            </w:r>
            <w:proofErr w:type="spellEnd"/>
          </w:p>
        </w:tc>
        <w:tc>
          <w:tcPr>
            <w:tcW w:w="1413" w:type="dxa"/>
            <w:shd w:val="clear" w:color="auto" w:fill="auto"/>
          </w:tcPr>
          <w:p w14:paraId="67875F55"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4F61353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434FF847" w14:textId="77777777" w:rsidTr="00B7394E">
        <w:trPr>
          <w:cantSplit/>
        </w:trPr>
        <w:tc>
          <w:tcPr>
            <w:tcW w:w="1731" w:type="dxa"/>
            <w:shd w:val="clear" w:color="auto" w:fill="auto"/>
          </w:tcPr>
          <w:p w14:paraId="3848643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4C39769C"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du désert</w:t>
            </w:r>
          </w:p>
        </w:tc>
        <w:tc>
          <w:tcPr>
            <w:tcW w:w="2126" w:type="dxa"/>
            <w:shd w:val="clear" w:color="auto" w:fill="auto"/>
          </w:tcPr>
          <w:p w14:paraId="53881656"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deserta</w:t>
            </w:r>
            <w:proofErr w:type="spellEnd"/>
          </w:p>
        </w:tc>
        <w:tc>
          <w:tcPr>
            <w:tcW w:w="1413" w:type="dxa"/>
            <w:shd w:val="clear" w:color="auto" w:fill="auto"/>
          </w:tcPr>
          <w:p w14:paraId="26CDCF04"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408B83E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54673B21" w14:textId="77777777" w:rsidTr="00B7394E">
        <w:trPr>
          <w:cantSplit/>
        </w:trPr>
        <w:tc>
          <w:tcPr>
            <w:tcW w:w="1731" w:type="dxa"/>
            <w:shd w:val="clear" w:color="auto" w:fill="auto"/>
          </w:tcPr>
          <w:p w14:paraId="6DF4A0F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5CCF45FE"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Madère</w:t>
            </w:r>
          </w:p>
        </w:tc>
        <w:tc>
          <w:tcPr>
            <w:tcW w:w="2126" w:type="dxa"/>
            <w:shd w:val="clear" w:color="auto" w:fill="auto"/>
          </w:tcPr>
          <w:p w14:paraId="16BD18A3"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Pterodroma madeira</w:t>
            </w:r>
          </w:p>
        </w:tc>
        <w:tc>
          <w:tcPr>
            <w:tcW w:w="1413" w:type="dxa"/>
            <w:shd w:val="clear" w:color="auto" w:fill="auto"/>
          </w:tcPr>
          <w:p w14:paraId="6F66E64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599C189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3DDD7D2C" w14:textId="77777777" w:rsidTr="00B7394E">
        <w:trPr>
          <w:cantSplit/>
        </w:trPr>
        <w:tc>
          <w:tcPr>
            <w:tcW w:w="1731" w:type="dxa"/>
            <w:shd w:val="clear" w:color="auto" w:fill="auto"/>
          </w:tcPr>
          <w:p w14:paraId="175453A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19191DE2"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Magenta</w:t>
            </w:r>
          </w:p>
        </w:tc>
        <w:tc>
          <w:tcPr>
            <w:tcW w:w="2126" w:type="dxa"/>
            <w:shd w:val="clear" w:color="auto" w:fill="auto"/>
          </w:tcPr>
          <w:p w14:paraId="739C2B22"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magentae</w:t>
            </w:r>
            <w:proofErr w:type="spellEnd"/>
          </w:p>
        </w:tc>
        <w:tc>
          <w:tcPr>
            <w:tcW w:w="1413" w:type="dxa"/>
            <w:shd w:val="clear" w:color="auto" w:fill="auto"/>
          </w:tcPr>
          <w:p w14:paraId="492FB4DB"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463A18FD"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d'est en ouest. Répond aux critères de mouvement de la CMS.</w:t>
            </w:r>
          </w:p>
        </w:tc>
      </w:tr>
      <w:tr w:rsidR="00B01F0A" w:rsidRPr="00B01F0A" w14:paraId="184A60EF" w14:textId="77777777" w:rsidTr="00B7394E">
        <w:trPr>
          <w:cantSplit/>
        </w:trPr>
        <w:tc>
          <w:tcPr>
            <w:tcW w:w="1731" w:type="dxa"/>
            <w:shd w:val="clear" w:color="auto" w:fill="auto"/>
          </w:tcPr>
          <w:p w14:paraId="7517E3F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3091528C"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Schlegel</w:t>
            </w:r>
          </w:p>
        </w:tc>
        <w:tc>
          <w:tcPr>
            <w:tcW w:w="2126" w:type="dxa"/>
            <w:shd w:val="clear" w:color="auto" w:fill="auto"/>
          </w:tcPr>
          <w:p w14:paraId="52189A34"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Pterodroma incerta</w:t>
            </w:r>
          </w:p>
        </w:tc>
        <w:tc>
          <w:tcPr>
            <w:tcW w:w="1413" w:type="dxa"/>
            <w:shd w:val="clear" w:color="auto" w:fill="auto"/>
          </w:tcPr>
          <w:p w14:paraId="14E09276"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065F7CF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 en dehors de la saison de reproduction ; les individus parcourent généralement plus de 1 000 km, mais sans direction constante. Répond aux critères de mouvement de la CMS.</w:t>
            </w:r>
          </w:p>
        </w:tc>
      </w:tr>
      <w:tr w:rsidR="00B01F0A" w:rsidRPr="00B01F0A" w14:paraId="34698DB4" w14:textId="77777777" w:rsidTr="00B7394E">
        <w:trPr>
          <w:cantSplit/>
        </w:trPr>
        <w:tc>
          <w:tcPr>
            <w:tcW w:w="1731" w:type="dxa"/>
            <w:shd w:val="clear" w:color="auto" w:fill="auto"/>
          </w:tcPr>
          <w:p w14:paraId="787569B1"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4B64A655"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Puffin de Buller</w:t>
            </w:r>
          </w:p>
        </w:tc>
        <w:tc>
          <w:tcPr>
            <w:tcW w:w="2126" w:type="dxa"/>
            <w:shd w:val="clear" w:color="auto" w:fill="auto"/>
          </w:tcPr>
          <w:p w14:paraId="6F4DEE9B"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Ardenna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bulleri</w:t>
            </w:r>
            <w:proofErr w:type="spellEnd"/>
          </w:p>
        </w:tc>
        <w:tc>
          <w:tcPr>
            <w:tcW w:w="1413" w:type="dxa"/>
            <w:shd w:val="clear" w:color="auto" w:fill="auto"/>
          </w:tcPr>
          <w:p w14:paraId="1BC7A77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556F930F"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sont occupés de façon fiable chaque saison, mais fortement nomade en dehors de la saison de reproduction ; les individus parcourent généralement plus de 1 000 km du nord au sud ; les immatures peuvent migrer au-delà de l'aire de répartition normale des adultes avant de retourner à la reproduction. Répond aux critères de mouvement de la CMS.</w:t>
            </w:r>
          </w:p>
        </w:tc>
      </w:tr>
      <w:tr w:rsidR="00B01F0A" w:rsidRPr="00B01F0A" w14:paraId="30510B1F" w14:textId="77777777" w:rsidTr="00B7394E">
        <w:trPr>
          <w:cantSplit/>
        </w:trPr>
        <w:tc>
          <w:tcPr>
            <w:tcW w:w="1731" w:type="dxa"/>
            <w:shd w:val="clear" w:color="auto" w:fill="auto"/>
          </w:tcPr>
          <w:p w14:paraId="506DF168"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24D2F368"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Puffin fuligineux</w:t>
            </w:r>
          </w:p>
        </w:tc>
        <w:tc>
          <w:tcPr>
            <w:tcW w:w="2126" w:type="dxa"/>
            <w:shd w:val="clear" w:color="auto" w:fill="auto"/>
          </w:tcPr>
          <w:p w14:paraId="4BD0A157"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Ardenna</w:t>
            </w:r>
            <w:proofErr w:type="spellEnd"/>
            <w:r w:rsidRPr="00B01F0A">
              <w:rPr>
                <w:rFonts w:cs="Arial"/>
                <w:i/>
                <w:iCs/>
                <w:color w:val="000000"/>
                <w:sz w:val="20"/>
                <w:szCs w:val="20"/>
                <w:lang w:val="en-AU"/>
              </w:rPr>
              <w:t xml:space="preserve"> grisea</w:t>
            </w:r>
          </w:p>
        </w:tc>
        <w:tc>
          <w:tcPr>
            <w:tcW w:w="1413" w:type="dxa"/>
            <w:shd w:val="clear" w:color="auto" w:fill="auto"/>
          </w:tcPr>
          <w:p w14:paraId="1DCA682A"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790AD9C3"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106D4D8F" w14:textId="77777777" w:rsidTr="00B7394E">
        <w:trPr>
          <w:cantSplit/>
        </w:trPr>
        <w:tc>
          <w:tcPr>
            <w:tcW w:w="1731" w:type="dxa"/>
            <w:shd w:val="clear" w:color="auto" w:fill="auto"/>
          </w:tcPr>
          <w:p w14:paraId="302472B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015190C7"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Puffin à pieds pâles</w:t>
            </w:r>
          </w:p>
        </w:tc>
        <w:tc>
          <w:tcPr>
            <w:tcW w:w="2126" w:type="dxa"/>
            <w:shd w:val="clear" w:color="auto" w:fill="auto"/>
          </w:tcPr>
          <w:p w14:paraId="312BE1E9"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Ardenna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carneipes</w:t>
            </w:r>
            <w:proofErr w:type="spellEnd"/>
          </w:p>
        </w:tc>
        <w:tc>
          <w:tcPr>
            <w:tcW w:w="1413" w:type="dxa"/>
            <w:shd w:val="clear" w:color="auto" w:fill="auto"/>
          </w:tcPr>
          <w:p w14:paraId="7B866349"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6D9BE35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0BACA5B9" w14:textId="77777777" w:rsidTr="00B7394E">
        <w:trPr>
          <w:cantSplit/>
        </w:trPr>
        <w:tc>
          <w:tcPr>
            <w:tcW w:w="1731" w:type="dxa"/>
            <w:shd w:val="clear" w:color="auto" w:fill="auto"/>
          </w:tcPr>
          <w:p w14:paraId="4C452F68"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Procellariidae</w:t>
            </w:r>
          </w:p>
        </w:tc>
        <w:tc>
          <w:tcPr>
            <w:tcW w:w="1964" w:type="dxa"/>
            <w:shd w:val="clear" w:color="auto" w:fill="auto"/>
          </w:tcPr>
          <w:p w14:paraId="15387510"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Puffin </w:t>
            </w:r>
            <w:proofErr w:type="spellStart"/>
            <w:r w:rsidRPr="00B01F0A">
              <w:rPr>
                <w:rFonts w:cs="Arial"/>
                <w:color w:val="000000"/>
                <w:sz w:val="20"/>
                <w:szCs w:val="20"/>
                <w:lang w:val="fr-FR"/>
              </w:rPr>
              <w:t>leucomèle</w:t>
            </w:r>
            <w:proofErr w:type="spellEnd"/>
          </w:p>
        </w:tc>
        <w:tc>
          <w:tcPr>
            <w:tcW w:w="2126" w:type="dxa"/>
            <w:shd w:val="clear" w:color="auto" w:fill="auto"/>
          </w:tcPr>
          <w:p w14:paraId="31EF96D8"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Calonectris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leucomelas</w:t>
            </w:r>
            <w:proofErr w:type="spellEnd"/>
          </w:p>
        </w:tc>
        <w:tc>
          <w:tcPr>
            <w:tcW w:w="1413" w:type="dxa"/>
            <w:shd w:val="clear" w:color="auto" w:fill="auto"/>
          </w:tcPr>
          <w:p w14:paraId="4F7AA081"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2E6C4C0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34E7DCF1" w14:textId="77777777" w:rsidTr="00B7394E">
        <w:trPr>
          <w:cantSplit/>
        </w:trPr>
        <w:tc>
          <w:tcPr>
            <w:tcW w:w="1731" w:type="dxa"/>
            <w:shd w:val="clear" w:color="auto" w:fill="auto"/>
          </w:tcPr>
          <w:p w14:paraId="795E5823"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33681DD1"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Puffin du Cap-Vert</w:t>
            </w:r>
          </w:p>
        </w:tc>
        <w:tc>
          <w:tcPr>
            <w:tcW w:w="2126" w:type="dxa"/>
            <w:shd w:val="clear" w:color="auto" w:fill="auto"/>
          </w:tcPr>
          <w:p w14:paraId="3C4CB25E"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Calonectris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edwardsii</w:t>
            </w:r>
            <w:proofErr w:type="spellEnd"/>
          </w:p>
        </w:tc>
        <w:tc>
          <w:tcPr>
            <w:tcW w:w="1413" w:type="dxa"/>
            <w:shd w:val="clear" w:color="auto" w:fill="auto"/>
          </w:tcPr>
          <w:p w14:paraId="65639903"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38F1F24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2AD9692B" w14:textId="77777777" w:rsidTr="00B7394E">
        <w:trPr>
          <w:cantSplit/>
        </w:trPr>
        <w:tc>
          <w:tcPr>
            <w:tcW w:w="1731" w:type="dxa"/>
            <w:shd w:val="clear" w:color="auto" w:fill="auto"/>
          </w:tcPr>
          <w:p w14:paraId="3E13D2E8"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198EE174"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Puffin de Hutton</w:t>
            </w:r>
          </w:p>
        </w:tc>
        <w:tc>
          <w:tcPr>
            <w:tcW w:w="2126" w:type="dxa"/>
            <w:shd w:val="clear" w:color="auto" w:fill="auto"/>
          </w:tcPr>
          <w:p w14:paraId="196BEA72"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Puffinus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huttoni</w:t>
            </w:r>
            <w:proofErr w:type="spellEnd"/>
          </w:p>
        </w:tc>
        <w:tc>
          <w:tcPr>
            <w:tcW w:w="1413" w:type="dxa"/>
            <w:shd w:val="clear" w:color="auto" w:fill="auto"/>
          </w:tcPr>
          <w:p w14:paraId="5C0DDFF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1B551A2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d'est en ouest. Répond aux critères de mouvement de la CMS.</w:t>
            </w:r>
          </w:p>
        </w:tc>
      </w:tr>
      <w:tr w:rsidR="00B01F0A" w:rsidRPr="00B01F0A" w14:paraId="5929BABF" w14:textId="77777777" w:rsidTr="00B7394E">
        <w:trPr>
          <w:cantSplit/>
        </w:trPr>
        <w:tc>
          <w:tcPr>
            <w:tcW w:w="1731" w:type="dxa"/>
            <w:shd w:val="clear" w:color="auto" w:fill="auto"/>
          </w:tcPr>
          <w:p w14:paraId="71A45B0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49451587"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Puffin cul-noir</w:t>
            </w:r>
          </w:p>
        </w:tc>
        <w:tc>
          <w:tcPr>
            <w:tcW w:w="2126" w:type="dxa"/>
            <w:shd w:val="clear" w:color="auto" w:fill="auto"/>
          </w:tcPr>
          <w:p w14:paraId="7A57AACA"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Puffinus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opisthomelas</w:t>
            </w:r>
            <w:proofErr w:type="spellEnd"/>
          </w:p>
        </w:tc>
        <w:tc>
          <w:tcPr>
            <w:tcW w:w="1413" w:type="dxa"/>
            <w:shd w:val="clear" w:color="auto" w:fill="auto"/>
          </w:tcPr>
          <w:p w14:paraId="104003EB"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2E2FDA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contraction de l'aire de répartition après la reproduction, les lieux de reproduction étant occupés de façon fiable chaque saison, mais modérément nomade en dehors de la saison de reproduction ; les individus parcourent généralement 100 à 1 000 km du nord au sud. Répond aux critères de mouvement de la CMS.</w:t>
            </w:r>
          </w:p>
        </w:tc>
      </w:tr>
      <w:tr w:rsidR="00B01F0A" w:rsidRPr="00B01F0A" w14:paraId="5915BDCB" w14:textId="77777777" w:rsidTr="00B7394E">
        <w:trPr>
          <w:cantSplit/>
        </w:trPr>
        <w:tc>
          <w:tcPr>
            <w:tcW w:w="1731" w:type="dxa"/>
            <w:shd w:val="clear" w:color="auto" w:fill="auto"/>
          </w:tcPr>
          <w:p w14:paraId="30EE0B61"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3737587D"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Puffin de Bryan</w:t>
            </w:r>
          </w:p>
        </w:tc>
        <w:tc>
          <w:tcPr>
            <w:tcW w:w="2126" w:type="dxa"/>
            <w:shd w:val="clear" w:color="auto" w:fill="auto"/>
          </w:tcPr>
          <w:p w14:paraId="614A7B7D"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Puffinus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bryani</w:t>
            </w:r>
            <w:proofErr w:type="spellEnd"/>
          </w:p>
        </w:tc>
        <w:tc>
          <w:tcPr>
            <w:tcW w:w="1413" w:type="dxa"/>
            <w:shd w:val="clear" w:color="auto" w:fill="auto"/>
          </w:tcPr>
          <w:p w14:paraId="01706094"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4F35AC0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les lieux de reproduction étant occupés de façon fiable chaque saison, mais modérément nomade en dehors de la saison de reproduction ; les individus parcourent généralement 100 à 1 000 km, mais sans direction constante. Répond aux critères de mouvement de la CMS.</w:t>
            </w:r>
          </w:p>
        </w:tc>
      </w:tr>
      <w:tr w:rsidR="00B01F0A" w:rsidRPr="00B01F0A" w14:paraId="360B66D5" w14:textId="77777777" w:rsidTr="00B7394E">
        <w:trPr>
          <w:cantSplit/>
        </w:trPr>
        <w:tc>
          <w:tcPr>
            <w:tcW w:w="1731" w:type="dxa"/>
            <w:shd w:val="clear" w:color="auto" w:fill="auto"/>
          </w:tcPr>
          <w:p w14:paraId="321F08F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6BA794A4"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Puffin de Newell</w:t>
            </w:r>
          </w:p>
        </w:tc>
        <w:tc>
          <w:tcPr>
            <w:tcW w:w="2126" w:type="dxa"/>
            <w:shd w:val="clear" w:color="auto" w:fill="auto"/>
          </w:tcPr>
          <w:p w14:paraId="16FE382A"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Puffinus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newelli</w:t>
            </w:r>
            <w:proofErr w:type="spellEnd"/>
          </w:p>
        </w:tc>
        <w:tc>
          <w:tcPr>
            <w:tcW w:w="1413" w:type="dxa"/>
            <w:shd w:val="clear" w:color="auto" w:fill="auto"/>
          </w:tcPr>
          <w:p w14:paraId="31BD5BFB"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487E72E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les lieux de reproduction étant occupés de façon fiable chaque saison, mais modérément nomade en dehors de la saison de reproduction ; les individus parcourent généralement plus de 1 000 km, mais sans direction constante. Répond aux critères de mouvement de la CMS.</w:t>
            </w:r>
          </w:p>
        </w:tc>
      </w:tr>
      <w:tr w:rsidR="00B01F0A" w:rsidRPr="00B01F0A" w14:paraId="0F5C16B6" w14:textId="77777777" w:rsidTr="00B7394E">
        <w:trPr>
          <w:cantSplit/>
        </w:trPr>
        <w:tc>
          <w:tcPr>
            <w:tcW w:w="1731" w:type="dxa"/>
            <w:shd w:val="clear" w:color="auto" w:fill="auto"/>
          </w:tcPr>
          <w:p w14:paraId="6E74BB7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0F48A604"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Puffin de Townsend</w:t>
            </w:r>
          </w:p>
        </w:tc>
        <w:tc>
          <w:tcPr>
            <w:tcW w:w="2126" w:type="dxa"/>
            <w:shd w:val="clear" w:color="auto" w:fill="auto"/>
          </w:tcPr>
          <w:p w14:paraId="71159C93"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Puffinus</w:t>
            </w:r>
            <w:proofErr w:type="spellEnd"/>
            <w:r w:rsidRPr="00B01F0A">
              <w:rPr>
                <w:rFonts w:cs="Arial"/>
                <w:b/>
                <w:bCs/>
                <w:i/>
                <w:iCs/>
                <w:color w:val="000000"/>
                <w:sz w:val="20"/>
                <w:szCs w:val="20"/>
                <w:lang w:val="en-AU"/>
              </w:rPr>
              <w:t xml:space="preserve"> auricularis</w:t>
            </w:r>
          </w:p>
        </w:tc>
        <w:tc>
          <w:tcPr>
            <w:tcW w:w="1413" w:type="dxa"/>
            <w:shd w:val="clear" w:color="auto" w:fill="auto"/>
          </w:tcPr>
          <w:p w14:paraId="6524AB49"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4ACC015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contraction de l'aire de répartition après la reproduction, les lieux de reproduction étant occupés de façon fiable chaque saison, mais modérément nomade en dehors de la saison de reproduction ; les individus parcourent généralement 100 à 1 000 km, mais sans direction constante. Répond aux critères de mouvement de la CMS.</w:t>
            </w:r>
          </w:p>
        </w:tc>
      </w:tr>
      <w:tr w:rsidR="00B01F0A" w:rsidRPr="00B01F0A" w14:paraId="274B9D17" w14:textId="77777777" w:rsidTr="00B7394E">
        <w:trPr>
          <w:cantSplit/>
        </w:trPr>
        <w:tc>
          <w:tcPr>
            <w:tcW w:w="1731" w:type="dxa"/>
            <w:shd w:val="clear" w:color="auto" w:fill="auto"/>
          </w:tcPr>
          <w:p w14:paraId="5AE00F1E"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Procellariidae</w:t>
            </w:r>
          </w:p>
        </w:tc>
        <w:tc>
          <w:tcPr>
            <w:tcW w:w="1964" w:type="dxa"/>
            <w:shd w:val="clear" w:color="auto" w:fill="auto"/>
          </w:tcPr>
          <w:p w14:paraId="60B0EB48"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Puffin </w:t>
            </w:r>
            <w:proofErr w:type="spellStart"/>
            <w:r w:rsidRPr="00B01F0A">
              <w:rPr>
                <w:rFonts w:cs="Arial"/>
                <w:b/>
                <w:bCs/>
                <w:color w:val="000000"/>
                <w:sz w:val="20"/>
                <w:szCs w:val="20"/>
                <w:lang w:val="fr-FR"/>
              </w:rPr>
              <w:t>yelkouan</w:t>
            </w:r>
            <w:proofErr w:type="spellEnd"/>
          </w:p>
        </w:tc>
        <w:tc>
          <w:tcPr>
            <w:tcW w:w="2126" w:type="dxa"/>
            <w:shd w:val="clear" w:color="auto" w:fill="auto"/>
          </w:tcPr>
          <w:p w14:paraId="7E3F0CE2"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Puffinus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yelkouan</w:t>
            </w:r>
            <w:proofErr w:type="spellEnd"/>
          </w:p>
        </w:tc>
        <w:tc>
          <w:tcPr>
            <w:tcW w:w="1413" w:type="dxa"/>
            <w:shd w:val="clear" w:color="auto" w:fill="auto"/>
          </w:tcPr>
          <w:p w14:paraId="53DE313D"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E13C3CF"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fortement nomade en dehors de la saison de reproduction ; les individus parcourent généralement plus de 1 000 km, mais sans direction constante. Répond aux critères de mouvement de la CMS.</w:t>
            </w:r>
          </w:p>
        </w:tc>
      </w:tr>
      <w:tr w:rsidR="00B01F0A" w:rsidRPr="00B01F0A" w14:paraId="7759BB87" w14:textId="77777777" w:rsidTr="00B7394E">
        <w:trPr>
          <w:cantSplit/>
        </w:trPr>
        <w:tc>
          <w:tcPr>
            <w:tcW w:w="1731" w:type="dxa"/>
            <w:shd w:val="clear" w:color="auto" w:fill="auto"/>
          </w:tcPr>
          <w:p w14:paraId="1AD63A5F"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278A1F23"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Puffin de Heinroth</w:t>
            </w:r>
          </w:p>
        </w:tc>
        <w:tc>
          <w:tcPr>
            <w:tcW w:w="2126" w:type="dxa"/>
            <w:shd w:val="clear" w:color="auto" w:fill="auto"/>
          </w:tcPr>
          <w:p w14:paraId="78D94645"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Puffinus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heinrothi</w:t>
            </w:r>
            <w:proofErr w:type="spellEnd"/>
          </w:p>
        </w:tc>
        <w:tc>
          <w:tcPr>
            <w:tcW w:w="1413" w:type="dxa"/>
            <w:shd w:val="clear" w:color="auto" w:fill="auto"/>
          </w:tcPr>
          <w:p w14:paraId="4269CCFD"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6FE9CC9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Mobilité intersaison inconnue : les lieux de reproduction étant occupés de façon fiable chaque saison, mais aucune information sur les déplacements hors reproduction ; les individus parcourent généralement 100 à 1 000 km, mais sans direction consistante. Répond aux critères de mouvement de la CMS.</w:t>
            </w:r>
          </w:p>
        </w:tc>
      </w:tr>
      <w:tr w:rsidR="00B01F0A" w:rsidRPr="00B01F0A" w14:paraId="5BEC3906" w14:textId="77777777" w:rsidTr="00B7394E">
        <w:trPr>
          <w:cantSplit/>
        </w:trPr>
        <w:tc>
          <w:tcPr>
            <w:tcW w:w="1731" w:type="dxa"/>
            <w:shd w:val="clear" w:color="auto" w:fill="auto"/>
          </w:tcPr>
          <w:p w14:paraId="487C16C4"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5B822642"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des Fidji</w:t>
            </w:r>
          </w:p>
        </w:tc>
        <w:tc>
          <w:tcPr>
            <w:tcW w:w="2126" w:type="dxa"/>
            <w:shd w:val="clear" w:color="auto" w:fill="auto"/>
          </w:tcPr>
          <w:p w14:paraId="2B028FA3"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Pseudobulweria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macgillivrayi</w:t>
            </w:r>
            <w:proofErr w:type="spellEnd"/>
          </w:p>
        </w:tc>
        <w:tc>
          <w:tcPr>
            <w:tcW w:w="1413" w:type="dxa"/>
            <w:shd w:val="clear" w:color="auto" w:fill="auto"/>
          </w:tcPr>
          <w:p w14:paraId="1C4D3C0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5A03B965"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Mobilité intersaison inconnue : les lieux de reproduction étant occupés de façon fiable chaque saison, mais aucune information sur les déplacements hors reproduction ; les individus parcourent généralement 100 à 1 000 km, mais sans direction consistante. Répond aux critères de mouvement de la CMS.</w:t>
            </w:r>
          </w:p>
        </w:tc>
      </w:tr>
      <w:tr w:rsidR="00B01F0A" w:rsidRPr="00B01F0A" w14:paraId="3DE56E1F" w14:textId="77777777" w:rsidTr="00B7394E">
        <w:trPr>
          <w:cantSplit/>
        </w:trPr>
        <w:tc>
          <w:tcPr>
            <w:tcW w:w="1731" w:type="dxa"/>
            <w:shd w:val="clear" w:color="auto" w:fill="auto"/>
          </w:tcPr>
          <w:p w14:paraId="1054732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12D235B9"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Beck</w:t>
            </w:r>
          </w:p>
        </w:tc>
        <w:tc>
          <w:tcPr>
            <w:tcW w:w="2126" w:type="dxa"/>
            <w:shd w:val="clear" w:color="auto" w:fill="auto"/>
          </w:tcPr>
          <w:p w14:paraId="2563C789"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Pseudobulweria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becki</w:t>
            </w:r>
            <w:proofErr w:type="spellEnd"/>
          </w:p>
        </w:tc>
        <w:tc>
          <w:tcPr>
            <w:tcW w:w="1413" w:type="dxa"/>
            <w:shd w:val="clear" w:color="auto" w:fill="auto"/>
          </w:tcPr>
          <w:p w14:paraId="7FEA97A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65C7D28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Mobilité intersaison inconnue : les lieux de reproduction étant occupés de façon fiable chaque saison, mais aucune information sur les déplacements hors reproduction ; les individus parcourent généralement 100 à 1 000 km, mais sans direction consistante. Répond aux critères de mouvement de la CMS.</w:t>
            </w:r>
          </w:p>
        </w:tc>
      </w:tr>
      <w:tr w:rsidR="00B01F0A" w:rsidRPr="00B01F0A" w14:paraId="190F1B74" w14:textId="77777777" w:rsidTr="00B7394E">
        <w:trPr>
          <w:cantSplit/>
        </w:trPr>
        <w:tc>
          <w:tcPr>
            <w:tcW w:w="1731" w:type="dxa"/>
            <w:shd w:val="clear" w:color="auto" w:fill="auto"/>
          </w:tcPr>
          <w:p w14:paraId="25BE819E"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187F4286"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Pétrel de Tahiti</w:t>
            </w:r>
          </w:p>
        </w:tc>
        <w:tc>
          <w:tcPr>
            <w:tcW w:w="2126" w:type="dxa"/>
            <w:shd w:val="clear" w:color="auto" w:fill="auto"/>
          </w:tcPr>
          <w:p w14:paraId="6527C407"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Pseudobulweria rostrata</w:t>
            </w:r>
          </w:p>
        </w:tc>
        <w:tc>
          <w:tcPr>
            <w:tcW w:w="1413" w:type="dxa"/>
            <w:shd w:val="clear" w:color="auto" w:fill="auto"/>
          </w:tcPr>
          <w:p w14:paraId="419826F8"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51BDD8D"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1 000 km d'est en ouest. Répond aux critères de mouvement de la CMS.</w:t>
            </w:r>
          </w:p>
        </w:tc>
      </w:tr>
      <w:tr w:rsidR="00B01F0A" w:rsidRPr="00B01F0A" w14:paraId="0F4B2A4C" w14:textId="77777777" w:rsidTr="00B7394E">
        <w:trPr>
          <w:cantSplit/>
        </w:trPr>
        <w:tc>
          <w:tcPr>
            <w:tcW w:w="1731" w:type="dxa"/>
            <w:shd w:val="clear" w:color="auto" w:fill="auto"/>
          </w:tcPr>
          <w:p w14:paraId="739CF193"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66EC9CB2"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Pétrel de </w:t>
            </w:r>
            <w:proofErr w:type="spellStart"/>
            <w:r w:rsidRPr="00B01F0A">
              <w:rPr>
                <w:rFonts w:cs="Arial"/>
                <w:color w:val="000000"/>
                <w:sz w:val="20"/>
                <w:szCs w:val="20"/>
                <w:lang w:val="fr-FR"/>
              </w:rPr>
              <w:t>Jouanin</w:t>
            </w:r>
            <w:proofErr w:type="spellEnd"/>
          </w:p>
        </w:tc>
        <w:tc>
          <w:tcPr>
            <w:tcW w:w="2126" w:type="dxa"/>
            <w:shd w:val="clear" w:color="auto" w:fill="auto"/>
          </w:tcPr>
          <w:p w14:paraId="1E444217"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Bulweria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fallax</w:t>
            </w:r>
            <w:proofErr w:type="spellEnd"/>
          </w:p>
        </w:tc>
        <w:tc>
          <w:tcPr>
            <w:tcW w:w="1413" w:type="dxa"/>
            <w:shd w:val="clear" w:color="auto" w:fill="auto"/>
          </w:tcPr>
          <w:p w14:paraId="3BA835A3"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3F1E7A6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fortement nomade en dehors de la saison de reproduction ; les individus parcourent généralement plus de 1 000 km, mais sans direction constante. Répond aux critères de mouvement de la CMS.</w:t>
            </w:r>
          </w:p>
        </w:tc>
      </w:tr>
      <w:tr w:rsidR="00B01F0A" w:rsidRPr="00B01F0A" w14:paraId="5B48B88C" w14:textId="77777777" w:rsidTr="00B7394E">
        <w:trPr>
          <w:cantSplit/>
        </w:trPr>
        <w:tc>
          <w:tcPr>
            <w:tcW w:w="1731" w:type="dxa"/>
            <w:shd w:val="clear" w:color="auto" w:fill="auto"/>
          </w:tcPr>
          <w:p w14:paraId="51A26DC4"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5F59CEF8" w14:textId="77777777" w:rsidR="00B01F0A" w:rsidRPr="00B01F0A" w:rsidRDefault="00B01F0A" w:rsidP="00B7394E">
            <w:pPr>
              <w:autoSpaceDE w:val="0"/>
              <w:autoSpaceDN w:val="0"/>
              <w:adjustRightInd w:val="0"/>
              <w:rPr>
                <w:rFonts w:cs="Arial"/>
                <w:b/>
                <w:bCs/>
                <w:color w:val="000000"/>
                <w:sz w:val="20"/>
                <w:szCs w:val="20"/>
                <w:lang w:val="fr-FR"/>
              </w:rPr>
            </w:pPr>
            <w:proofErr w:type="spellStart"/>
            <w:r w:rsidRPr="00B01F0A">
              <w:rPr>
                <w:rFonts w:cs="Arial"/>
                <w:b/>
                <w:bCs/>
                <w:color w:val="000000"/>
                <w:sz w:val="20"/>
                <w:szCs w:val="20"/>
                <w:lang w:val="fr-FR"/>
              </w:rPr>
              <w:t>Puffinure</w:t>
            </w:r>
            <w:proofErr w:type="spellEnd"/>
            <w:r w:rsidRPr="00B01F0A">
              <w:rPr>
                <w:rFonts w:cs="Arial"/>
                <w:b/>
                <w:bCs/>
                <w:color w:val="000000"/>
                <w:sz w:val="20"/>
                <w:szCs w:val="20"/>
                <w:lang w:val="fr-FR"/>
              </w:rPr>
              <w:t xml:space="preserve"> de </w:t>
            </w:r>
            <w:proofErr w:type="spellStart"/>
            <w:r w:rsidRPr="00B01F0A">
              <w:rPr>
                <w:rFonts w:cs="Arial"/>
                <w:b/>
                <w:bCs/>
                <w:color w:val="000000"/>
                <w:sz w:val="20"/>
                <w:szCs w:val="20"/>
                <w:lang w:val="fr-FR"/>
              </w:rPr>
              <w:t>Whenua</w:t>
            </w:r>
            <w:proofErr w:type="spellEnd"/>
            <w:r w:rsidRPr="00B01F0A">
              <w:rPr>
                <w:rFonts w:cs="Arial"/>
                <w:b/>
                <w:bCs/>
                <w:color w:val="000000"/>
                <w:sz w:val="20"/>
                <w:szCs w:val="20"/>
                <w:lang w:val="fr-FR"/>
              </w:rPr>
              <w:t xml:space="preserve"> Hou</w:t>
            </w:r>
          </w:p>
        </w:tc>
        <w:tc>
          <w:tcPr>
            <w:tcW w:w="2126" w:type="dxa"/>
            <w:shd w:val="clear" w:color="auto" w:fill="auto"/>
          </w:tcPr>
          <w:p w14:paraId="1365E6F9"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Pelecanoides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whenuahouensis</w:t>
            </w:r>
            <w:proofErr w:type="spellEnd"/>
          </w:p>
        </w:tc>
        <w:tc>
          <w:tcPr>
            <w:tcW w:w="1413" w:type="dxa"/>
            <w:shd w:val="clear" w:color="auto" w:fill="auto"/>
          </w:tcPr>
          <w:p w14:paraId="475AA0FE"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7ADF158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d'est en ouest. Répond aux critères de mouvement de la CMS.</w:t>
            </w:r>
          </w:p>
        </w:tc>
      </w:tr>
      <w:tr w:rsidR="00B01F0A" w:rsidRPr="00B01F0A" w14:paraId="17F626E9" w14:textId="77777777" w:rsidTr="00B7394E">
        <w:trPr>
          <w:cantSplit/>
        </w:trPr>
        <w:tc>
          <w:tcPr>
            <w:tcW w:w="1731" w:type="dxa"/>
            <w:shd w:val="clear" w:color="auto" w:fill="auto"/>
          </w:tcPr>
          <w:p w14:paraId="0FDCC62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Ciconiidae</w:t>
            </w:r>
          </w:p>
        </w:tc>
        <w:tc>
          <w:tcPr>
            <w:tcW w:w="1964" w:type="dxa"/>
            <w:shd w:val="clear" w:color="auto" w:fill="auto"/>
          </w:tcPr>
          <w:p w14:paraId="23AB74BB"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Marabout </w:t>
            </w:r>
            <w:proofErr w:type="spellStart"/>
            <w:r w:rsidRPr="00B01F0A">
              <w:rPr>
                <w:rFonts w:cs="Arial"/>
                <w:b/>
                <w:bCs/>
                <w:color w:val="000000"/>
                <w:sz w:val="20"/>
                <w:szCs w:val="20"/>
                <w:lang w:val="fr-FR"/>
              </w:rPr>
              <w:t>argala</w:t>
            </w:r>
            <w:proofErr w:type="spellEnd"/>
          </w:p>
        </w:tc>
        <w:tc>
          <w:tcPr>
            <w:tcW w:w="2126" w:type="dxa"/>
            <w:shd w:val="clear" w:color="auto" w:fill="auto"/>
          </w:tcPr>
          <w:p w14:paraId="03A9EF3F"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Leptoptilos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dubius</w:t>
            </w:r>
            <w:proofErr w:type="spellEnd"/>
          </w:p>
        </w:tc>
        <w:tc>
          <w:tcPr>
            <w:tcW w:w="1413" w:type="dxa"/>
            <w:shd w:val="clear" w:color="auto" w:fill="auto"/>
          </w:tcPr>
          <w:p w14:paraId="294BF80A"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62775B4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les lieux de reproduction étant occupés de façon fiable chaque saison, mais fortement nomade en dehors de la saison de reproduction ; les individus parcourent généralement 100 à 1 000 km, mais sans direction constante. Répond aux critères de mouvement de la CMS.</w:t>
            </w:r>
          </w:p>
        </w:tc>
      </w:tr>
      <w:tr w:rsidR="00B01F0A" w:rsidRPr="00B01F0A" w14:paraId="0B674BFD" w14:textId="77777777" w:rsidTr="00B7394E">
        <w:trPr>
          <w:cantSplit/>
        </w:trPr>
        <w:tc>
          <w:tcPr>
            <w:tcW w:w="1731" w:type="dxa"/>
            <w:shd w:val="clear" w:color="auto" w:fill="auto"/>
          </w:tcPr>
          <w:p w14:paraId="593F8A3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Ciconiidae</w:t>
            </w:r>
          </w:p>
        </w:tc>
        <w:tc>
          <w:tcPr>
            <w:tcW w:w="1964" w:type="dxa"/>
            <w:shd w:val="clear" w:color="auto" w:fill="auto"/>
          </w:tcPr>
          <w:p w14:paraId="75A73EF1"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Marabout chevelu</w:t>
            </w:r>
          </w:p>
        </w:tc>
        <w:tc>
          <w:tcPr>
            <w:tcW w:w="2126" w:type="dxa"/>
            <w:shd w:val="clear" w:color="auto" w:fill="auto"/>
          </w:tcPr>
          <w:p w14:paraId="2C269C43"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Leptoptilos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javanicus</w:t>
            </w:r>
            <w:proofErr w:type="spellEnd"/>
          </w:p>
        </w:tc>
        <w:tc>
          <w:tcPr>
            <w:tcW w:w="1413" w:type="dxa"/>
            <w:shd w:val="clear" w:color="auto" w:fill="auto"/>
          </w:tcPr>
          <w:p w14:paraId="604581CA"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65911F3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étant occupés de façon fiable chaque saison, mais modérément nomade en dehors de la saison de reproduction ; les individus parcourent généralement 100 à 1 000 km, mais sans direction constante. Répond aux critères de mouvement de la CMS.</w:t>
            </w:r>
          </w:p>
        </w:tc>
      </w:tr>
      <w:tr w:rsidR="00B01F0A" w:rsidRPr="00B01F0A" w14:paraId="17C5C80B" w14:textId="77777777" w:rsidTr="00B7394E">
        <w:trPr>
          <w:cantSplit/>
        </w:trPr>
        <w:tc>
          <w:tcPr>
            <w:tcW w:w="1731" w:type="dxa"/>
            <w:shd w:val="clear" w:color="auto" w:fill="auto"/>
          </w:tcPr>
          <w:p w14:paraId="14DAD59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Ciconiidae</w:t>
            </w:r>
          </w:p>
        </w:tc>
        <w:tc>
          <w:tcPr>
            <w:tcW w:w="1964" w:type="dxa"/>
            <w:shd w:val="clear" w:color="auto" w:fill="auto"/>
          </w:tcPr>
          <w:p w14:paraId="2A3FFF68"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Tantale indien</w:t>
            </w:r>
          </w:p>
        </w:tc>
        <w:tc>
          <w:tcPr>
            <w:tcW w:w="2126" w:type="dxa"/>
            <w:shd w:val="clear" w:color="auto" w:fill="auto"/>
          </w:tcPr>
          <w:p w14:paraId="7436098D"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 xml:space="preserve">Mycteria </w:t>
            </w:r>
            <w:proofErr w:type="spellStart"/>
            <w:r w:rsidRPr="00B01F0A">
              <w:rPr>
                <w:rFonts w:cs="Arial"/>
                <w:i/>
                <w:iCs/>
                <w:color w:val="000000"/>
                <w:sz w:val="20"/>
                <w:szCs w:val="20"/>
                <w:lang w:val="en-AU"/>
              </w:rPr>
              <w:t>leucocephala</w:t>
            </w:r>
            <w:proofErr w:type="spellEnd"/>
          </w:p>
        </w:tc>
        <w:tc>
          <w:tcPr>
            <w:tcW w:w="1413" w:type="dxa"/>
            <w:shd w:val="clear" w:color="auto" w:fill="auto"/>
          </w:tcPr>
          <w:p w14:paraId="58195F15"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6061820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substantielle de l'aire de répartition après la reproduction, les lieux de reproduction étant occupés de façon fiable chaque saison, mais fortement nomades en dehors de la saison de reproduction ; les individus parcourent généralement 100 à 1 000 km, mais sans direction constante. Répond aux critères de mouvement de la CMS.</w:t>
            </w:r>
          </w:p>
        </w:tc>
      </w:tr>
      <w:tr w:rsidR="00B01F0A" w:rsidRPr="00B01F0A" w14:paraId="791B4599" w14:textId="77777777" w:rsidTr="00B7394E">
        <w:trPr>
          <w:cantSplit/>
        </w:trPr>
        <w:tc>
          <w:tcPr>
            <w:tcW w:w="1731" w:type="dxa"/>
            <w:shd w:val="clear" w:color="auto" w:fill="auto"/>
          </w:tcPr>
          <w:p w14:paraId="199819C0"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Ciconiidae</w:t>
            </w:r>
          </w:p>
        </w:tc>
        <w:tc>
          <w:tcPr>
            <w:tcW w:w="1964" w:type="dxa"/>
            <w:shd w:val="clear" w:color="auto" w:fill="auto"/>
          </w:tcPr>
          <w:p w14:paraId="7B20A6B9"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Tantale blanc</w:t>
            </w:r>
          </w:p>
        </w:tc>
        <w:tc>
          <w:tcPr>
            <w:tcW w:w="2126" w:type="dxa"/>
            <w:shd w:val="clear" w:color="auto" w:fill="auto"/>
          </w:tcPr>
          <w:p w14:paraId="2EA90E74"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Mycteria cinerea</w:t>
            </w:r>
          </w:p>
        </w:tc>
        <w:tc>
          <w:tcPr>
            <w:tcW w:w="1413" w:type="dxa"/>
            <w:shd w:val="clear" w:color="auto" w:fill="auto"/>
          </w:tcPr>
          <w:p w14:paraId="269C4CBD"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5538A4E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étant occupés de façon fiable chaque saison, mais modérément nomade en dehors de la saison de reproduction ; les individus parcourent généralement 100 à 1 000 km, mais sans direction constante. Répond aux critères de mouvement de la CMS.</w:t>
            </w:r>
          </w:p>
        </w:tc>
      </w:tr>
      <w:tr w:rsidR="00B01F0A" w:rsidRPr="00B01F0A" w14:paraId="4130C7F4" w14:textId="77777777" w:rsidTr="00B7394E">
        <w:trPr>
          <w:cantSplit/>
        </w:trPr>
        <w:tc>
          <w:tcPr>
            <w:tcW w:w="1731" w:type="dxa"/>
            <w:shd w:val="clear" w:color="auto" w:fill="auto"/>
          </w:tcPr>
          <w:p w14:paraId="2649FF50"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Ciconiidae</w:t>
            </w:r>
          </w:p>
        </w:tc>
        <w:tc>
          <w:tcPr>
            <w:tcW w:w="1964" w:type="dxa"/>
            <w:shd w:val="clear" w:color="auto" w:fill="auto"/>
          </w:tcPr>
          <w:p w14:paraId="7FD455EF"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Jabiru d'Asie</w:t>
            </w:r>
          </w:p>
        </w:tc>
        <w:tc>
          <w:tcPr>
            <w:tcW w:w="2126" w:type="dxa"/>
            <w:shd w:val="clear" w:color="auto" w:fill="auto"/>
          </w:tcPr>
          <w:p w14:paraId="0FF1A2AB"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Ephippiorhynchus asiaticus</w:t>
            </w:r>
          </w:p>
        </w:tc>
        <w:tc>
          <w:tcPr>
            <w:tcW w:w="1413" w:type="dxa"/>
            <w:shd w:val="clear" w:color="auto" w:fill="auto"/>
          </w:tcPr>
          <w:p w14:paraId="43FA42E0"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72E4738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étant occupés de façon fiable chaque saison, mais modérément nomade en dehors de la saison de reproduction ; les individus parcourent généralement 100 à 1 000 km, mais sans direction constante. Répond aux critères de mouvement de la CMS.</w:t>
            </w:r>
          </w:p>
        </w:tc>
      </w:tr>
      <w:tr w:rsidR="00B01F0A" w:rsidRPr="00B01F0A" w14:paraId="63C72507" w14:textId="77777777" w:rsidTr="00B7394E">
        <w:trPr>
          <w:cantSplit/>
        </w:trPr>
        <w:tc>
          <w:tcPr>
            <w:tcW w:w="1731" w:type="dxa"/>
            <w:shd w:val="clear" w:color="auto" w:fill="auto"/>
          </w:tcPr>
          <w:p w14:paraId="0773A141"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Threskiornithidae</w:t>
            </w:r>
          </w:p>
        </w:tc>
        <w:tc>
          <w:tcPr>
            <w:tcW w:w="1964" w:type="dxa"/>
            <w:shd w:val="clear" w:color="auto" w:fill="auto"/>
          </w:tcPr>
          <w:p w14:paraId="79FDE445"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Ibis à tête noire</w:t>
            </w:r>
          </w:p>
        </w:tc>
        <w:tc>
          <w:tcPr>
            <w:tcW w:w="2126" w:type="dxa"/>
            <w:shd w:val="clear" w:color="auto" w:fill="auto"/>
          </w:tcPr>
          <w:p w14:paraId="1C2B2AF9"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Threskiornis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melanocephalus</w:t>
            </w:r>
            <w:proofErr w:type="spellEnd"/>
          </w:p>
        </w:tc>
        <w:tc>
          <w:tcPr>
            <w:tcW w:w="1413" w:type="dxa"/>
            <w:shd w:val="clear" w:color="auto" w:fill="auto"/>
          </w:tcPr>
          <w:p w14:paraId="3F1C4855"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3B0FAF5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fortement nomade en dehors de la saison de reproduction ; les individus parcourent généralement plus de 1 000 km, mais sans direction constante. Répond aux critères de mouvement de la CMS.</w:t>
            </w:r>
          </w:p>
        </w:tc>
      </w:tr>
      <w:tr w:rsidR="00B01F0A" w:rsidRPr="00B01F0A" w14:paraId="2314F532" w14:textId="77777777" w:rsidTr="00B7394E">
        <w:trPr>
          <w:cantSplit/>
        </w:trPr>
        <w:tc>
          <w:tcPr>
            <w:tcW w:w="1731" w:type="dxa"/>
            <w:shd w:val="clear" w:color="auto" w:fill="auto"/>
          </w:tcPr>
          <w:p w14:paraId="69E457C1"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Ardeidae</w:t>
            </w:r>
          </w:p>
        </w:tc>
        <w:tc>
          <w:tcPr>
            <w:tcW w:w="1964" w:type="dxa"/>
            <w:shd w:val="clear" w:color="auto" w:fill="auto"/>
          </w:tcPr>
          <w:p w14:paraId="78077BA0"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Héron agami</w:t>
            </w:r>
          </w:p>
        </w:tc>
        <w:tc>
          <w:tcPr>
            <w:tcW w:w="2126" w:type="dxa"/>
            <w:shd w:val="clear" w:color="auto" w:fill="auto"/>
          </w:tcPr>
          <w:p w14:paraId="521E9446"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Agamia agami</w:t>
            </w:r>
          </w:p>
        </w:tc>
        <w:tc>
          <w:tcPr>
            <w:tcW w:w="1413" w:type="dxa"/>
            <w:shd w:val="clear" w:color="auto" w:fill="auto"/>
          </w:tcPr>
          <w:p w14:paraId="7A2B11AD"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6152084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contraction de l'aire de répartition après la reproduction, les lieux de reproduction étant occupés de façon fiable chaque saison, mais modérément nomade en dehors de la saison de reproduction ; les individus parcourent généralement 100 à 1 000 km, mais sans direction constante. Répond aux critères de mouvement de la CMS.</w:t>
            </w:r>
          </w:p>
        </w:tc>
      </w:tr>
      <w:tr w:rsidR="00B01F0A" w:rsidRPr="00B01F0A" w14:paraId="432918AC" w14:textId="77777777" w:rsidTr="00B7394E">
        <w:trPr>
          <w:cantSplit/>
        </w:trPr>
        <w:tc>
          <w:tcPr>
            <w:tcW w:w="1731" w:type="dxa"/>
            <w:shd w:val="clear" w:color="auto" w:fill="auto"/>
          </w:tcPr>
          <w:p w14:paraId="760F51BB"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Ardeidae</w:t>
            </w:r>
          </w:p>
        </w:tc>
        <w:tc>
          <w:tcPr>
            <w:tcW w:w="1964" w:type="dxa"/>
            <w:shd w:val="clear" w:color="auto" w:fill="auto"/>
          </w:tcPr>
          <w:p w14:paraId="44BF7994"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Bihoreau superbe</w:t>
            </w:r>
          </w:p>
        </w:tc>
        <w:tc>
          <w:tcPr>
            <w:tcW w:w="2126" w:type="dxa"/>
            <w:shd w:val="clear" w:color="auto" w:fill="auto"/>
          </w:tcPr>
          <w:p w14:paraId="00A80C58"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Oroanassa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magnifica</w:t>
            </w:r>
            <w:proofErr w:type="spellEnd"/>
          </w:p>
        </w:tc>
        <w:tc>
          <w:tcPr>
            <w:tcW w:w="1413" w:type="dxa"/>
            <w:shd w:val="clear" w:color="auto" w:fill="auto"/>
          </w:tcPr>
          <w:p w14:paraId="49EE3CD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53A02E9D"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contraction substantielle de l'aire de répartition après la reproduction, les lieux de reproduction étant occupés de façon fiable chaque saison, mais modérément nomade en dehors de la saison de reproduction ; les individus parcourent généralement 100 à 1 000 km du nord au sud ; au moins certains déplacements sont principalement altitudinaux. Répond aux critères de mouvement de la CMS.</w:t>
            </w:r>
          </w:p>
        </w:tc>
      </w:tr>
      <w:tr w:rsidR="00B01F0A" w:rsidRPr="00B01F0A" w14:paraId="09BE47D5" w14:textId="77777777" w:rsidTr="00B7394E">
        <w:trPr>
          <w:cantSplit/>
        </w:trPr>
        <w:tc>
          <w:tcPr>
            <w:tcW w:w="1731" w:type="dxa"/>
            <w:shd w:val="clear" w:color="auto" w:fill="auto"/>
          </w:tcPr>
          <w:p w14:paraId="1AA45DF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Ardeidae</w:t>
            </w:r>
          </w:p>
        </w:tc>
        <w:tc>
          <w:tcPr>
            <w:tcW w:w="1964" w:type="dxa"/>
            <w:shd w:val="clear" w:color="auto" w:fill="auto"/>
          </w:tcPr>
          <w:p w14:paraId="2EB4D020"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Grand Héron</w:t>
            </w:r>
          </w:p>
        </w:tc>
        <w:tc>
          <w:tcPr>
            <w:tcW w:w="2126" w:type="dxa"/>
            <w:shd w:val="clear" w:color="auto" w:fill="auto"/>
          </w:tcPr>
          <w:p w14:paraId="69A132D7"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Ardea occidentalis</w:t>
            </w:r>
          </w:p>
        </w:tc>
        <w:tc>
          <w:tcPr>
            <w:tcW w:w="1413" w:type="dxa"/>
            <w:shd w:val="clear" w:color="auto" w:fill="auto"/>
          </w:tcPr>
          <w:p w14:paraId="68284C6D"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6D08E82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 les lieux de reproduction et de non-reproduction sont occupés de façon fiable chaque saison. Répond aux critères de mouvement de la CMS.</w:t>
            </w:r>
          </w:p>
        </w:tc>
      </w:tr>
      <w:tr w:rsidR="00B01F0A" w:rsidRPr="00B01F0A" w14:paraId="3F4A660C" w14:textId="77777777" w:rsidTr="00B7394E">
        <w:trPr>
          <w:cantSplit/>
        </w:trPr>
        <w:tc>
          <w:tcPr>
            <w:tcW w:w="1731" w:type="dxa"/>
            <w:shd w:val="clear" w:color="auto" w:fill="auto"/>
          </w:tcPr>
          <w:p w14:paraId="63D6640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Ardeidae</w:t>
            </w:r>
          </w:p>
        </w:tc>
        <w:tc>
          <w:tcPr>
            <w:tcW w:w="1964" w:type="dxa"/>
            <w:shd w:val="clear" w:color="auto" w:fill="auto"/>
          </w:tcPr>
          <w:p w14:paraId="32C79252"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Aigrette roussâtre</w:t>
            </w:r>
          </w:p>
        </w:tc>
        <w:tc>
          <w:tcPr>
            <w:tcW w:w="2126" w:type="dxa"/>
            <w:shd w:val="clear" w:color="auto" w:fill="auto"/>
          </w:tcPr>
          <w:p w14:paraId="2D45155A"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Egretta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rufescens</w:t>
            </w:r>
            <w:proofErr w:type="spellEnd"/>
          </w:p>
        </w:tc>
        <w:tc>
          <w:tcPr>
            <w:tcW w:w="1413" w:type="dxa"/>
            <w:shd w:val="clear" w:color="auto" w:fill="auto"/>
          </w:tcPr>
          <w:p w14:paraId="4E50F510"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12D638B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contraction de l'aire de répartition après la reproduction,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01796A43" w14:textId="77777777" w:rsidTr="00B7394E">
        <w:trPr>
          <w:cantSplit/>
        </w:trPr>
        <w:tc>
          <w:tcPr>
            <w:tcW w:w="1731" w:type="dxa"/>
            <w:shd w:val="clear" w:color="auto" w:fill="auto"/>
          </w:tcPr>
          <w:p w14:paraId="2439C29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Pelecanidae</w:t>
            </w:r>
          </w:p>
        </w:tc>
        <w:tc>
          <w:tcPr>
            <w:tcW w:w="1964" w:type="dxa"/>
            <w:shd w:val="clear" w:color="auto" w:fill="auto"/>
          </w:tcPr>
          <w:p w14:paraId="56EAC15E"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Pélican à bec tacheté</w:t>
            </w:r>
          </w:p>
        </w:tc>
        <w:tc>
          <w:tcPr>
            <w:tcW w:w="2126" w:type="dxa"/>
            <w:shd w:val="clear" w:color="auto" w:fill="auto"/>
          </w:tcPr>
          <w:p w14:paraId="07091AEE"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Pelecanus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philippensis</w:t>
            </w:r>
            <w:proofErr w:type="spellEnd"/>
          </w:p>
        </w:tc>
        <w:tc>
          <w:tcPr>
            <w:tcW w:w="1413" w:type="dxa"/>
            <w:shd w:val="clear" w:color="auto" w:fill="auto"/>
          </w:tcPr>
          <w:p w14:paraId="035ABF88"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4B72782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fortement nomade en dehors de la saison de reproduction ; les individus parcourent généralement plus de 1 000 km, mais sans direction constante. Répond aux critères de mouvement de la CMS.</w:t>
            </w:r>
          </w:p>
        </w:tc>
      </w:tr>
      <w:tr w:rsidR="00B01F0A" w:rsidRPr="00B01F0A" w14:paraId="66D4FBB2" w14:textId="77777777" w:rsidTr="00B7394E">
        <w:trPr>
          <w:cantSplit/>
        </w:trPr>
        <w:tc>
          <w:tcPr>
            <w:tcW w:w="1731" w:type="dxa"/>
            <w:shd w:val="clear" w:color="auto" w:fill="auto"/>
          </w:tcPr>
          <w:p w14:paraId="29EE2EE2"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Sulidae</w:t>
            </w:r>
            <w:proofErr w:type="spellEnd"/>
          </w:p>
        </w:tc>
        <w:tc>
          <w:tcPr>
            <w:tcW w:w="1964" w:type="dxa"/>
            <w:shd w:val="clear" w:color="auto" w:fill="auto"/>
          </w:tcPr>
          <w:p w14:paraId="318963D4"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Fou d'Abbott</w:t>
            </w:r>
          </w:p>
        </w:tc>
        <w:tc>
          <w:tcPr>
            <w:tcW w:w="2126" w:type="dxa"/>
            <w:shd w:val="clear" w:color="auto" w:fill="auto"/>
          </w:tcPr>
          <w:p w14:paraId="7EC7852E"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Papasula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abbotti</w:t>
            </w:r>
            <w:proofErr w:type="spellEnd"/>
          </w:p>
        </w:tc>
        <w:tc>
          <w:tcPr>
            <w:tcW w:w="1413" w:type="dxa"/>
            <w:shd w:val="clear" w:color="auto" w:fill="auto"/>
          </w:tcPr>
          <w:p w14:paraId="474D310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775DDC2F"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 en dehors de la saison de reproduction ; les individus parcourent généralement plus de 1 000 km, mais sans direction constante. Répond aux critères de mouvement de la CMS.</w:t>
            </w:r>
          </w:p>
        </w:tc>
      </w:tr>
      <w:tr w:rsidR="00B01F0A" w:rsidRPr="00B01F0A" w14:paraId="3A00AD1B" w14:textId="77777777" w:rsidTr="00B7394E">
        <w:trPr>
          <w:cantSplit/>
        </w:trPr>
        <w:tc>
          <w:tcPr>
            <w:tcW w:w="1731" w:type="dxa"/>
            <w:shd w:val="clear" w:color="auto" w:fill="auto"/>
          </w:tcPr>
          <w:p w14:paraId="13C8C8FD"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Sulidae</w:t>
            </w:r>
            <w:proofErr w:type="spellEnd"/>
          </w:p>
        </w:tc>
        <w:tc>
          <w:tcPr>
            <w:tcW w:w="1964" w:type="dxa"/>
            <w:shd w:val="clear" w:color="auto" w:fill="auto"/>
          </w:tcPr>
          <w:p w14:paraId="18D345EA"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Fou du Cap</w:t>
            </w:r>
          </w:p>
        </w:tc>
        <w:tc>
          <w:tcPr>
            <w:tcW w:w="2126" w:type="dxa"/>
            <w:shd w:val="clear" w:color="auto" w:fill="auto"/>
          </w:tcPr>
          <w:p w14:paraId="7C2DD7BA"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Morus capensis</w:t>
            </w:r>
          </w:p>
        </w:tc>
        <w:tc>
          <w:tcPr>
            <w:tcW w:w="1413" w:type="dxa"/>
            <w:shd w:val="clear" w:color="auto" w:fill="auto"/>
          </w:tcPr>
          <w:p w14:paraId="05BA03D8"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4C321FF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contraction de l'aire de répartition après la reproduction, les lieux de reproduction et de non-reproduction étant occupés de façon fiable chaque saison ; les individus parcourent généralement 100 à 1 000 km du nord au sud ; les immatures peuvent migrer au-delà de l'aire de répartition normale des adultes avant d'y retourner pour la reproduction. Répond aux critères de mouvement de la CMS.</w:t>
            </w:r>
          </w:p>
        </w:tc>
      </w:tr>
      <w:tr w:rsidR="00B01F0A" w:rsidRPr="00B01F0A" w14:paraId="2057287D" w14:textId="77777777" w:rsidTr="00B7394E">
        <w:trPr>
          <w:cantSplit/>
        </w:trPr>
        <w:tc>
          <w:tcPr>
            <w:tcW w:w="1731" w:type="dxa"/>
            <w:shd w:val="clear" w:color="auto" w:fill="auto"/>
          </w:tcPr>
          <w:p w14:paraId="46FDBA01"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Phalacrocoracidae</w:t>
            </w:r>
            <w:proofErr w:type="spellEnd"/>
          </w:p>
        </w:tc>
        <w:tc>
          <w:tcPr>
            <w:tcW w:w="1964" w:type="dxa"/>
            <w:shd w:val="clear" w:color="auto" w:fill="auto"/>
          </w:tcPr>
          <w:p w14:paraId="0ED58000"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Cormoran de Bougainville</w:t>
            </w:r>
          </w:p>
        </w:tc>
        <w:tc>
          <w:tcPr>
            <w:tcW w:w="2126" w:type="dxa"/>
            <w:shd w:val="clear" w:color="auto" w:fill="auto"/>
          </w:tcPr>
          <w:p w14:paraId="2F9C25FD"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Leucocarbo</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bougainvilliorum</w:t>
            </w:r>
            <w:proofErr w:type="spellEnd"/>
          </w:p>
        </w:tc>
        <w:tc>
          <w:tcPr>
            <w:tcW w:w="1413" w:type="dxa"/>
            <w:shd w:val="clear" w:color="auto" w:fill="auto"/>
          </w:tcPr>
          <w:p w14:paraId="146A3846"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49FD955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étant occupés de façon fiable chaque saison, mais modérément nomade en dehors de la saison de reproduction ; les individus parcourent généralement 100 à 1 000 km du nord au sud ; les irruptions dépassent parfois en nombre important l'aire normale. Répond aux critères de mouvement de la CMS.</w:t>
            </w:r>
          </w:p>
        </w:tc>
      </w:tr>
      <w:tr w:rsidR="00B01F0A" w:rsidRPr="00B01F0A" w14:paraId="712621BF" w14:textId="77777777" w:rsidTr="00B7394E">
        <w:trPr>
          <w:cantSplit/>
        </w:trPr>
        <w:tc>
          <w:tcPr>
            <w:tcW w:w="1731" w:type="dxa"/>
            <w:shd w:val="clear" w:color="auto" w:fill="auto"/>
          </w:tcPr>
          <w:p w14:paraId="4AB8FCE1"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Phalacrocoracidae</w:t>
            </w:r>
            <w:proofErr w:type="spellEnd"/>
          </w:p>
        </w:tc>
        <w:tc>
          <w:tcPr>
            <w:tcW w:w="1964" w:type="dxa"/>
            <w:shd w:val="clear" w:color="auto" w:fill="auto"/>
          </w:tcPr>
          <w:p w14:paraId="35CA29CB"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Cormoran du Cap</w:t>
            </w:r>
          </w:p>
        </w:tc>
        <w:tc>
          <w:tcPr>
            <w:tcW w:w="2126" w:type="dxa"/>
            <w:shd w:val="clear" w:color="auto" w:fill="auto"/>
          </w:tcPr>
          <w:p w14:paraId="27B2135C"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Phalacrocorax capensis</w:t>
            </w:r>
          </w:p>
        </w:tc>
        <w:tc>
          <w:tcPr>
            <w:tcW w:w="1413" w:type="dxa"/>
            <w:shd w:val="clear" w:color="auto" w:fill="auto"/>
          </w:tcPr>
          <w:p w14:paraId="759D764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34CE808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substantielle de l'aire de répartition après la reproduction, les lieux de reproduction étant occupés de façon fiable chaque saison, mais modérément nomade en dehors de la saison de reproduction ; les individus parcourent généralement 100 à 1 000 km du nord au sud. Répond aux critères de mouvement de la CMS.</w:t>
            </w:r>
          </w:p>
        </w:tc>
      </w:tr>
      <w:tr w:rsidR="00B01F0A" w:rsidRPr="00B01F0A" w14:paraId="2087E34E" w14:textId="77777777" w:rsidTr="00B7394E">
        <w:trPr>
          <w:cantSplit/>
        </w:trPr>
        <w:tc>
          <w:tcPr>
            <w:tcW w:w="1731" w:type="dxa"/>
            <w:shd w:val="clear" w:color="auto" w:fill="auto"/>
          </w:tcPr>
          <w:p w14:paraId="5EE980A4"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Phalacrocoracidae</w:t>
            </w:r>
            <w:proofErr w:type="spellEnd"/>
          </w:p>
        </w:tc>
        <w:tc>
          <w:tcPr>
            <w:tcW w:w="1964" w:type="dxa"/>
            <w:shd w:val="clear" w:color="auto" w:fill="auto"/>
          </w:tcPr>
          <w:p w14:paraId="3EF8EEEB"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Cormoran des bancs</w:t>
            </w:r>
          </w:p>
        </w:tc>
        <w:tc>
          <w:tcPr>
            <w:tcW w:w="2126" w:type="dxa"/>
            <w:shd w:val="clear" w:color="auto" w:fill="auto"/>
          </w:tcPr>
          <w:p w14:paraId="6EF270F4"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Phalacrocorax neglectus</w:t>
            </w:r>
          </w:p>
        </w:tc>
        <w:tc>
          <w:tcPr>
            <w:tcW w:w="1413" w:type="dxa"/>
            <w:shd w:val="clear" w:color="auto" w:fill="auto"/>
          </w:tcPr>
          <w:p w14:paraId="65E43AB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7FACBAD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 les lieux de reproduction sont occupés de façon fiable chaque saison, mais modérément nomades en dehors de la saison de reproduction ; les individus parcourent généralement moins de 100 km du nord au sud ; les immatures peuvent migrer au-delà de l'aire de répartition normale des adultes avant d'y retourner pour la reproduction. Répond aux critères de mouvement de la CMS.</w:t>
            </w:r>
          </w:p>
        </w:tc>
      </w:tr>
      <w:tr w:rsidR="00B01F0A" w:rsidRPr="00B01F0A" w14:paraId="49B3DDC5" w14:textId="77777777" w:rsidTr="00B7394E">
        <w:trPr>
          <w:cantSplit/>
        </w:trPr>
        <w:tc>
          <w:tcPr>
            <w:tcW w:w="1731" w:type="dxa"/>
            <w:shd w:val="clear" w:color="auto" w:fill="auto"/>
          </w:tcPr>
          <w:p w14:paraId="1827F91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Glareolidae</w:t>
            </w:r>
          </w:p>
        </w:tc>
        <w:tc>
          <w:tcPr>
            <w:tcW w:w="1964" w:type="dxa"/>
            <w:shd w:val="clear" w:color="auto" w:fill="auto"/>
          </w:tcPr>
          <w:p w14:paraId="508B7AFC"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Glaréole malgache</w:t>
            </w:r>
          </w:p>
        </w:tc>
        <w:tc>
          <w:tcPr>
            <w:tcW w:w="2126" w:type="dxa"/>
            <w:shd w:val="clear" w:color="auto" w:fill="auto"/>
          </w:tcPr>
          <w:p w14:paraId="11FA0604"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Glareola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ocularis</w:t>
            </w:r>
            <w:proofErr w:type="spellEnd"/>
          </w:p>
        </w:tc>
        <w:tc>
          <w:tcPr>
            <w:tcW w:w="1413" w:type="dxa"/>
            <w:shd w:val="clear" w:color="auto" w:fill="auto"/>
          </w:tcPr>
          <w:p w14:paraId="3FC59395"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19BB839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intégrale : lieux de reproduction occupés de façon fiable chaque saison, mais fortement nomade en dehors de la saison de reproduction ; les individus parcourent généralement 100 à 1 000 km d'est en ouest. Répond aux critères de mouvement de la CMS.</w:t>
            </w:r>
          </w:p>
        </w:tc>
      </w:tr>
      <w:tr w:rsidR="00B01F0A" w:rsidRPr="00B01F0A" w14:paraId="071CF756" w14:textId="77777777" w:rsidTr="00B7394E">
        <w:trPr>
          <w:cantSplit/>
        </w:trPr>
        <w:tc>
          <w:tcPr>
            <w:tcW w:w="1731" w:type="dxa"/>
            <w:shd w:val="clear" w:color="auto" w:fill="auto"/>
          </w:tcPr>
          <w:p w14:paraId="144FA4F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Laridae</w:t>
            </w:r>
          </w:p>
        </w:tc>
        <w:tc>
          <w:tcPr>
            <w:tcW w:w="1964" w:type="dxa"/>
            <w:shd w:val="clear" w:color="auto" w:fill="auto"/>
          </w:tcPr>
          <w:p w14:paraId="4E783567"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Bec-en-ciseaux à collier</w:t>
            </w:r>
          </w:p>
        </w:tc>
        <w:tc>
          <w:tcPr>
            <w:tcW w:w="2126" w:type="dxa"/>
            <w:shd w:val="clear" w:color="auto" w:fill="auto"/>
          </w:tcPr>
          <w:p w14:paraId="74A5878F"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Rynchops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albicollis</w:t>
            </w:r>
            <w:proofErr w:type="spellEnd"/>
          </w:p>
        </w:tc>
        <w:tc>
          <w:tcPr>
            <w:tcW w:w="1413" w:type="dxa"/>
            <w:shd w:val="clear" w:color="auto" w:fill="auto"/>
          </w:tcPr>
          <w:p w14:paraId="0D4E5C4F"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1237F0C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100 à 1 000 km, mais sans direction constante. Répond aux critères de mouvement de la CMS.</w:t>
            </w:r>
          </w:p>
        </w:tc>
      </w:tr>
      <w:tr w:rsidR="00B01F0A" w:rsidRPr="00B01F0A" w14:paraId="3ADD0986" w14:textId="77777777" w:rsidTr="00B7394E">
        <w:trPr>
          <w:cantSplit/>
        </w:trPr>
        <w:tc>
          <w:tcPr>
            <w:tcW w:w="1731" w:type="dxa"/>
            <w:shd w:val="clear" w:color="auto" w:fill="auto"/>
          </w:tcPr>
          <w:p w14:paraId="7D494713"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Laridae</w:t>
            </w:r>
          </w:p>
        </w:tc>
        <w:tc>
          <w:tcPr>
            <w:tcW w:w="1964" w:type="dxa"/>
            <w:shd w:val="clear" w:color="auto" w:fill="auto"/>
          </w:tcPr>
          <w:p w14:paraId="7F38A3E0"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Mouette blanche</w:t>
            </w:r>
          </w:p>
        </w:tc>
        <w:tc>
          <w:tcPr>
            <w:tcW w:w="2126" w:type="dxa"/>
            <w:shd w:val="clear" w:color="auto" w:fill="auto"/>
          </w:tcPr>
          <w:p w14:paraId="3AF3D1DE"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Pagophila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eburnea</w:t>
            </w:r>
            <w:proofErr w:type="spellEnd"/>
          </w:p>
        </w:tc>
        <w:tc>
          <w:tcPr>
            <w:tcW w:w="1413" w:type="dxa"/>
            <w:shd w:val="clear" w:color="auto" w:fill="auto"/>
          </w:tcPr>
          <w:p w14:paraId="36C7177A"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EDC7765"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d'est en ouest. Répond aux critères de mouvement de la CMS.</w:t>
            </w:r>
          </w:p>
        </w:tc>
      </w:tr>
      <w:tr w:rsidR="00B01F0A" w:rsidRPr="00B01F0A" w14:paraId="0AFBE97A" w14:textId="77777777" w:rsidTr="00B7394E">
        <w:trPr>
          <w:cantSplit/>
        </w:trPr>
        <w:tc>
          <w:tcPr>
            <w:tcW w:w="1731" w:type="dxa"/>
            <w:shd w:val="clear" w:color="auto" w:fill="auto"/>
          </w:tcPr>
          <w:p w14:paraId="4CC33D7C"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Laridae</w:t>
            </w:r>
          </w:p>
        </w:tc>
        <w:tc>
          <w:tcPr>
            <w:tcW w:w="1964" w:type="dxa"/>
            <w:shd w:val="clear" w:color="auto" w:fill="auto"/>
          </w:tcPr>
          <w:p w14:paraId="791A95C9"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Mouette des brumes</w:t>
            </w:r>
          </w:p>
        </w:tc>
        <w:tc>
          <w:tcPr>
            <w:tcW w:w="2126" w:type="dxa"/>
            <w:shd w:val="clear" w:color="auto" w:fill="auto"/>
          </w:tcPr>
          <w:p w14:paraId="0BF134C3"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Rissa </w:t>
            </w:r>
            <w:proofErr w:type="spellStart"/>
            <w:r w:rsidRPr="00B01F0A">
              <w:rPr>
                <w:rFonts w:cs="Arial"/>
                <w:b/>
                <w:bCs/>
                <w:i/>
                <w:iCs/>
                <w:color w:val="000000"/>
                <w:sz w:val="20"/>
                <w:szCs w:val="20"/>
                <w:lang w:val="en-AU"/>
              </w:rPr>
              <w:t>brevirostris</w:t>
            </w:r>
            <w:proofErr w:type="spellEnd"/>
          </w:p>
        </w:tc>
        <w:tc>
          <w:tcPr>
            <w:tcW w:w="1413" w:type="dxa"/>
            <w:shd w:val="clear" w:color="auto" w:fill="auto"/>
          </w:tcPr>
          <w:p w14:paraId="3F81D05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7221851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intégrale : lieux de reproduction occupés de façon fiable chaque saison, mais fortement nomade en dehors de la saison de reproduction ; les individus parcourent généralement 100 à 1 000 km, mais sans direction constante. Répond aux critères de mouvement de la CMS.</w:t>
            </w:r>
          </w:p>
        </w:tc>
      </w:tr>
      <w:tr w:rsidR="00B01F0A" w:rsidRPr="00B01F0A" w14:paraId="5848CC29" w14:textId="77777777" w:rsidTr="00B7394E">
        <w:trPr>
          <w:cantSplit/>
        </w:trPr>
        <w:tc>
          <w:tcPr>
            <w:tcW w:w="1731" w:type="dxa"/>
            <w:shd w:val="clear" w:color="auto" w:fill="auto"/>
          </w:tcPr>
          <w:p w14:paraId="7D389541"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Laridae</w:t>
            </w:r>
          </w:p>
        </w:tc>
        <w:tc>
          <w:tcPr>
            <w:tcW w:w="1964" w:type="dxa"/>
            <w:shd w:val="clear" w:color="auto" w:fill="auto"/>
          </w:tcPr>
          <w:p w14:paraId="7EC2D7B2"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Mouette tridactyle</w:t>
            </w:r>
          </w:p>
        </w:tc>
        <w:tc>
          <w:tcPr>
            <w:tcW w:w="2126" w:type="dxa"/>
            <w:shd w:val="clear" w:color="auto" w:fill="auto"/>
          </w:tcPr>
          <w:p w14:paraId="13D9B5E3"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Rissa </w:t>
            </w:r>
            <w:proofErr w:type="spellStart"/>
            <w:r w:rsidRPr="00B01F0A">
              <w:rPr>
                <w:rFonts w:cs="Arial"/>
                <w:b/>
                <w:bCs/>
                <w:i/>
                <w:iCs/>
                <w:color w:val="000000"/>
                <w:sz w:val="20"/>
                <w:szCs w:val="20"/>
                <w:lang w:val="en-AU"/>
              </w:rPr>
              <w:t>tridactyla</w:t>
            </w:r>
            <w:proofErr w:type="spellEnd"/>
          </w:p>
        </w:tc>
        <w:tc>
          <w:tcPr>
            <w:tcW w:w="1413" w:type="dxa"/>
            <w:shd w:val="clear" w:color="auto" w:fill="auto"/>
          </w:tcPr>
          <w:p w14:paraId="2223807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4702FA4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mais pas dans la même direction. Répond aux critères de mouvement de la CMS.</w:t>
            </w:r>
          </w:p>
        </w:tc>
      </w:tr>
      <w:tr w:rsidR="00B01F0A" w:rsidRPr="00B01F0A" w14:paraId="16C43FFB" w14:textId="77777777" w:rsidTr="00B7394E">
        <w:trPr>
          <w:cantSplit/>
        </w:trPr>
        <w:tc>
          <w:tcPr>
            <w:tcW w:w="1731" w:type="dxa"/>
            <w:shd w:val="clear" w:color="auto" w:fill="auto"/>
          </w:tcPr>
          <w:p w14:paraId="7BCD3495"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Laridae</w:t>
            </w:r>
          </w:p>
        </w:tc>
        <w:tc>
          <w:tcPr>
            <w:tcW w:w="1964" w:type="dxa"/>
            <w:shd w:val="clear" w:color="auto" w:fill="auto"/>
          </w:tcPr>
          <w:p w14:paraId="0A67235B"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Goéland de </w:t>
            </w:r>
            <w:proofErr w:type="spellStart"/>
            <w:r w:rsidRPr="00B01F0A">
              <w:rPr>
                <w:rFonts w:cs="Arial"/>
                <w:color w:val="000000"/>
                <w:sz w:val="20"/>
                <w:szCs w:val="20"/>
                <w:lang w:val="fr-FR"/>
              </w:rPr>
              <w:t>Heermann</w:t>
            </w:r>
            <w:proofErr w:type="spellEnd"/>
          </w:p>
        </w:tc>
        <w:tc>
          <w:tcPr>
            <w:tcW w:w="2126" w:type="dxa"/>
            <w:shd w:val="clear" w:color="auto" w:fill="auto"/>
          </w:tcPr>
          <w:p w14:paraId="31C40AD7"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 xml:space="preserve">Larus </w:t>
            </w:r>
            <w:proofErr w:type="spellStart"/>
            <w:r w:rsidRPr="00B01F0A">
              <w:rPr>
                <w:rFonts w:cs="Arial"/>
                <w:i/>
                <w:iCs/>
                <w:color w:val="000000"/>
                <w:sz w:val="20"/>
                <w:szCs w:val="20"/>
                <w:lang w:val="en-AU"/>
              </w:rPr>
              <w:t>heermanni</w:t>
            </w:r>
            <w:proofErr w:type="spellEnd"/>
          </w:p>
        </w:tc>
        <w:tc>
          <w:tcPr>
            <w:tcW w:w="1413" w:type="dxa"/>
            <w:shd w:val="clear" w:color="auto" w:fill="auto"/>
          </w:tcPr>
          <w:p w14:paraId="48E09719"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6B116E6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100 à 1 000 km du nord au sud. Répond aux critères de mouvement de la CMS.</w:t>
            </w:r>
          </w:p>
        </w:tc>
      </w:tr>
      <w:tr w:rsidR="00B01F0A" w:rsidRPr="00B01F0A" w14:paraId="530D83E3" w14:textId="77777777" w:rsidTr="00B7394E">
        <w:trPr>
          <w:cantSplit/>
        </w:trPr>
        <w:tc>
          <w:tcPr>
            <w:tcW w:w="1731" w:type="dxa"/>
            <w:shd w:val="clear" w:color="auto" w:fill="auto"/>
          </w:tcPr>
          <w:p w14:paraId="01D73144"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Laridae</w:t>
            </w:r>
          </w:p>
        </w:tc>
        <w:tc>
          <w:tcPr>
            <w:tcW w:w="1964" w:type="dxa"/>
            <w:shd w:val="clear" w:color="auto" w:fill="auto"/>
          </w:tcPr>
          <w:p w14:paraId="3789B035"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Sterne des Aléoutiennes</w:t>
            </w:r>
          </w:p>
        </w:tc>
        <w:tc>
          <w:tcPr>
            <w:tcW w:w="2126" w:type="dxa"/>
            <w:shd w:val="clear" w:color="auto" w:fill="auto"/>
          </w:tcPr>
          <w:p w14:paraId="3839A511"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Onychoprion</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aleuticus</w:t>
            </w:r>
            <w:proofErr w:type="spellEnd"/>
          </w:p>
        </w:tc>
        <w:tc>
          <w:tcPr>
            <w:tcW w:w="1413" w:type="dxa"/>
            <w:shd w:val="clear" w:color="auto" w:fill="auto"/>
          </w:tcPr>
          <w:p w14:paraId="167E566B"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7C6072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2667AF8F" w14:textId="77777777" w:rsidTr="00B7394E">
        <w:trPr>
          <w:cantSplit/>
        </w:trPr>
        <w:tc>
          <w:tcPr>
            <w:tcW w:w="1731" w:type="dxa"/>
            <w:shd w:val="clear" w:color="auto" w:fill="auto"/>
          </w:tcPr>
          <w:p w14:paraId="48898D0E"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Laridae</w:t>
            </w:r>
          </w:p>
        </w:tc>
        <w:tc>
          <w:tcPr>
            <w:tcW w:w="1964" w:type="dxa"/>
            <w:shd w:val="clear" w:color="auto" w:fill="auto"/>
          </w:tcPr>
          <w:p w14:paraId="5FF53A03"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Sterne tara</w:t>
            </w:r>
          </w:p>
        </w:tc>
        <w:tc>
          <w:tcPr>
            <w:tcW w:w="2126" w:type="dxa"/>
            <w:shd w:val="clear" w:color="auto" w:fill="auto"/>
          </w:tcPr>
          <w:p w14:paraId="5DBF5C74"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Sterna striata</w:t>
            </w:r>
          </w:p>
        </w:tc>
        <w:tc>
          <w:tcPr>
            <w:tcW w:w="1413" w:type="dxa"/>
            <w:shd w:val="clear" w:color="auto" w:fill="auto"/>
          </w:tcPr>
          <w:p w14:paraId="114AC667"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7CAA255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1 000 km d'est en ouest. Répond aux critères de mouvement de la CMS.</w:t>
            </w:r>
          </w:p>
        </w:tc>
      </w:tr>
      <w:tr w:rsidR="00B01F0A" w:rsidRPr="00B01F0A" w14:paraId="09508684" w14:textId="77777777" w:rsidTr="00B7394E">
        <w:trPr>
          <w:cantSplit/>
        </w:trPr>
        <w:tc>
          <w:tcPr>
            <w:tcW w:w="1731" w:type="dxa"/>
            <w:shd w:val="clear" w:color="auto" w:fill="auto"/>
          </w:tcPr>
          <w:p w14:paraId="72C6CDE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Laridae</w:t>
            </w:r>
          </w:p>
        </w:tc>
        <w:tc>
          <w:tcPr>
            <w:tcW w:w="1964" w:type="dxa"/>
            <w:shd w:val="clear" w:color="auto" w:fill="auto"/>
          </w:tcPr>
          <w:p w14:paraId="4FD5DF4C"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Sterne élégante</w:t>
            </w:r>
          </w:p>
        </w:tc>
        <w:tc>
          <w:tcPr>
            <w:tcW w:w="2126" w:type="dxa"/>
            <w:shd w:val="clear" w:color="auto" w:fill="auto"/>
          </w:tcPr>
          <w:p w14:paraId="5AE4526E"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Thalasseus</w:t>
            </w:r>
            <w:proofErr w:type="spellEnd"/>
            <w:r w:rsidRPr="00B01F0A">
              <w:rPr>
                <w:rFonts w:cs="Arial"/>
                <w:i/>
                <w:iCs/>
                <w:color w:val="000000"/>
                <w:sz w:val="20"/>
                <w:szCs w:val="20"/>
                <w:lang w:val="en-AU"/>
              </w:rPr>
              <w:t xml:space="preserve"> elegans</w:t>
            </w:r>
          </w:p>
        </w:tc>
        <w:tc>
          <w:tcPr>
            <w:tcW w:w="1413" w:type="dxa"/>
            <w:shd w:val="clear" w:color="auto" w:fill="auto"/>
          </w:tcPr>
          <w:p w14:paraId="043B2E6A"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6D7053E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7421839D" w14:textId="77777777" w:rsidTr="00B7394E">
        <w:trPr>
          <w:cantSplit/>
        </w:trPr>
        <w:tc>
          <w:tcPr>
            <w:tcW w:w="1731" w:type="dxa"/>
            <w:shd w:val="clear" w:color="auto" w:fill="auto"/>
          </w:tcPr>
          <w:p w14:paraId="71451A24"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Alcidae</w:t>
            </w:r>
          </w:p>
        </w:tc>
        <w:tc>
          <w:tcPr>
            <w:tcW w:w="1964" w:type="dxa"/>
            <w:shd w:val="clear" w:color="auto" w:fill="auto"/>
          </w:tcPr>
          <w:p w14:paraId="0308CD05"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Macareux moine</w:t>
            </w:r>
          </w:p>
        </w:tc>
        <w:tc>
          <w:tcPr>
            <w:tcW w:w="2126" w:type="dxa"/>
            <w:shd w:val="clear" w:color="auto" w:fill="auto"/>
          </w:tcPr>
          <w:p w14:paraId="03ADE8B3"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Fratercula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arctica</w:t>
            </w:r>
            <w:proofErr w:type="spellEnd"/>
          </w:p>
        </w:tc>
        <w:tc>
          <w:tcPr>
            <w:tcW w:w="1413" w:type="dxa"/>
            <w:shd w:val="clear" w:color="auto" w:fill="auto"/>
          </w:tcPr>
          <w:p w14:paraId="41C4D12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3697AF0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complet et modérément nomade pendant et en dehors de la saison de reproduction ; les individus parcourent généralement plus de 1 000 km du nord au sud. Répond aux critères de mouvement de la CMS.</w:t>
            </w:r>
          </w:p>
        </w:tc>
      </w:tr>
      <w:tr w:rsidR="00B01F0A" w:rsidRPr="00B01F0A" w14:paraId="412116CE" w14:textId="77777777" w:rsidTr="00B7394E">
        <w:trPr>
          <w:cantSplit/>
        </w:trPr>
        <w:tc>
          <w:tcPr>
            <w:tcW w:w="1731" w:type="dxa"/>
            <w:shd w:val="clear" w:color="auto" w:fill="auto"/>
          </w:tcPr>
          <w:p w14:paraId="44C31E7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Alcidae</w:t>
            </w:r>
          </w:p>
        </w:tc>
        <w:tc>
          <w:tcPr>
            <w:tcW w:w="1964" w:type="dxa"/>
            <w:shd w:val="clear" w:color="auto" w:fill="auto"/>
          </w:tcPr>
          <w:p w14:paraId="0C747B99"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Starique de Cassin</w:t>
            </w:r>
          </w:p>
        </w:tc>
        <w:tc>
          <w:tcPr>
            <w:tcW w:w="2126" w:type="dxa"/>
            <w:shd w:val="clear" w:color="auto" w:fill="auto"/>
          </w:tcPr>
          <w:p w14:paraId="6BB6512E"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 xml:space="preserve">Ptychoramphus </w:t>
            </w:r>
            <w:proofErr w:type="spellStart"/>
            <w:r w:rsidRPr="00B01F0A">
              <w:rPr>
                <w:rFonts w:cs="Arial"/>
                <w:i/>
                <w:iCs/>
                <w:color w:val="000000"/>
                <w:sz w:val="20"/>
                <w:szCs w:val="20"/>
                <w:lang w:val="en-AU"/>
              </w:rPr>
              <w:t>aleuticus</w:t>
            </w:r>
            <w:proofErr w:type="spellEnd"/>
          </w:p>
        </w:tc>
        <w:tc>
          <w:tcPr>
            <w:tcW w:w="1413" w:type="dxa"/>
            <w:shd w:val="clear" w:color="auto" w:fill="auto"/>
          </w:tcPr>
          <w:p w14:paraId="4C553F2E"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7D65B015"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lieux de reproduction étant occupés de manière fiable chaque saison, mais modérément nomade en dehors de la saison de reproduction ; les individus parcourent généralement plus de 1 000 km du nord au sud ; au moins une sous-population distincte de la voie de migration est considérée sédentaire. Répond aux critères de mouvement de la CMS.</w:t>
            </w:r>
          </w:p>
        </w:tc>
      </w:tr>
      <w:tr w:rsidR="00B01F0A" w:rsidRPr="00B01F0A" w14:paraId="2BC865F2" w14:textId="77777777" w:rsidTr="00B7394E">
        <w:trPr>
          <w:cantSplit/>
        </w:trPr>
        <w:tc>
          <w:tcPr>
            <w:tcW w:w="1731" w:type="dxa"/>
            <w:shd w:val="clear" w:color="auto" w:fill="auto"/>
          </w:tcPr>
          <w:p w14:paraId="2D74BC5F"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Alcidae</w:t>
            </w:r>
          </w:p>
        </w:tc>
        <w:tc>
          <w:tcPr>
            <w:tcW w:w="1964" w:type="dxa"/>
            <w:shd w:val="clear" w:color="auto" w:fill="auto"/>
          </w:tcPr>
          <w:p w14:paraId="726B52B0"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Guillemot à long bec</w:t>
            </w:r>
          </w:p>
        </w:tc>
        <w:tc>
          <w:tcPr>
            <w:tcW w:w="2126" w:type="dxa"/>
            <w:shd w:val="clear" w:color="auto" w:fill="auto"/>
          </w:tcPr>
          <w:p w14:paraId="1A502366"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Brachyramphus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perdix</w:t>
            </w:r>
            <w:proofErr w:type="spellEnd"/>
          </w:p>
        </w:tc>
        <w:tc>
          <w:tcPr>
            <w:tcW w:w="1413" w:type="dxa"/>
            <w:shd w:val="clear" w:color="auto" w:fill="auto"/>
          </w:tcPr>
          <w:p w14:paraId="0F6AC478"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DFFDCD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0BEE2B24" w14:textId="77777777" w:rsidTr="00B7394E">
        <w:trPr>
          <w:cantSplit/>
        </w:trPr>
        <w:tc>
          <w:tcPr>
            <w:tcW w:w="1731" w:type="dxa"/>
            <w:shd w:val="clear" w:color="auto" w:fill="auto"/>
          </w:tcPr>
          <w:p w14:paraId="41FBCB15"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Alcidae</w:t>
            </w:r>
          </w:p>
        </w:tc>
        <w:tc>
          <w:tcPr>
            <w:tcW w:w="1964" w:type="dxa"/>
            <w:shd w:val="clear" w:color="auto" w:fill="auto"/>
          </w:tcPr>
          <w:p w14:paraId="73AABA1F"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Guillemot marbré</w:t>
            </w:r>
          </w:p>
        </w:tc>
        <w:tc>
          <w:tcPr>
            <w:tcW w:w="2126" w:type="dxa"/>
            <w:shd w:val="clear" w:color="auto" w:fill="auto"/>
          </w:tcPr>
          <w:p w14:paraId="77B31AC3"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Brachyramphus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marmoratus</w:t>
            </w:r>
            <w:proofErr w:type="spellEnd"/>
          </w:p>
        </w:tc>
        <w:tc>
          <w:tcPr>
            <w:tcW w:w="1413" w:type="dxa"/>
            <w:shd w:val="clear" w:color="auto" w:fill="auto"/>
          </w:tcPr>
          <w:p w14:paraId="2D16B37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5AEE884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100 à 1 000 km, mais sans direction constante. Répond aux critères de mouvement de la CMS.</w:t>
            </w:r>
          </w:p>
        </w:tc>
      </w:tr>
      <w:tr w:rsidR="00B01F0A" w:rsidRPr="00B01F0A" w14:paraId="2924E017" w14:textId="77777777" w:rsidTr="00B7394E">
        <w:trPr>
          <w:cantSplit/>
        </w:trPr>
        <w:tc>
          <w:tcPr>
            <w:tcW w:w="1731" w:type="dxa"/>
            <w:shd w:val="clear" w:color="auto" w:fill="auto"/>
          </w:tcPr>
          <w:p w14:paraId="4AF9AB6A"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Alcidae</w:t>
            </w:r>
          </w:p>
        </w:tc>
        <w:tc>
          <w:tcPr>
            <w:tcW w:w="1964" w:type="dxa"/>
            <w:shd w:val="clear" w:color="auto" w:fill="auto"/>
          </w:tcPr>
          <w:p w14:paraId="6731E935"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Guillemot de </w:t>
            </w:r>
            <w:proofErr w:type="spellStart"/>
            <w:r w:rsidRPr="00B01F0A">
              <w:rPr>
                <w:rFonts w:cs="Arial"/>
                <w:color w:val="000000"/>
                <w:sz w:val="20"/>
                <w:szCs w:val="20"/>
                <w:lang w:val="fr-FR"/>
              </w:rPr>
              <w:t>Kittlitz</w:t>
            </w:r>
            <w:proofErr w:type="spellEnd"/>
          </w:p>
        </w:tc>
        <w:tc>
          <w:tcPr>
            <w:tcW w:w="2126" w:type="dxa"/>
            <w:shd w:val="clear" w:color="auto" w:fill="auto"/>
          </w:tcPr>
          <w:p w14:paraId="00CC7F15"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Brachyramphus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brevirostris</w:t>
            </w:r>
            <w:proofErr w:type="spellEnd"/>
          </w:p>
        </w:tc>
        <w:tc>
          <w:tcPr>
            <w:tcW w:w="1413" w:type="dxa"/>
            <w:shd w:val="clear" w:color="auto" w:fill="auto"/>
          </w:tcPr>
          <w:p w14:paraId="40340087"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260501D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et de non-reproduction étant occupés de façon fiable chaque saison ; les individus parcourent généralement 100 à 1 000 km du nord au sud. Répond aux critères de mouvement de la CMS.</w:t>
            </w:r>
          </w:p>
        </w:tc>
      </w:tr>
      <w:tr w:rsidR="00B01F0A" w:rsidRPr="00B01F0A" w14:paraId="1F32BB0B" w14:textId="77777777" w:rsidTr="00B7394E">
        <w:trPr>
          <w:cantSplit/>
        </w:trPr>
        <w:tc>
          <w:tcPr>
            <w:tcW w:w="1731" w:type="dxa"/>
            <w:shd w:val="clear" w:color="auto" w:fill="auto"/>
          </w:tcPr>
          <w:p w14:paraId="06B5884F"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Alcidae</w:t>
            </w:r>
          </w:p>
        </w:tc>
        <w:tc>
          <w:tcPr>
            <w:tcW w:w="1964" w:type="dxa"/>
            <w:shd w:val="clear" w:color="auto" w:fill="auto"/>
          </w:tcPr>
          <w:p w14:paraId="7D3AE9C8"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Guillemot de Scripps</w:t>
            </w:r>
          </w:p>
        </w:tc>
        <w:tc>
          <w:tcPr>
            <w:tcW w:w="2126" w:type="dxa"/>
            <w:shd w:val="clear" w:color="auto" w:fill="auto"/>
          </w:tcPr>
          <w:p w14:paraId="58278881"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Synthliboramphus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scrippsi</w:t>
            </w:r>
            <w:proofErr w:type="spellEnd"/>
          </w:p>
        </w:tc>
        <w:tc>
          <w:tcPr>
            <w:tcW w:w="1413" w:type="dxa"/>
            <w:shd w:val="clear" w:color="auto" w:fill="auto"/>
          </w:tcPr>
          <w:p w14:paraId="7FAC9799"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B40C783"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et de non-reproduction étant occupés de façon fiable chaque saison ; les individus parcourent généralement 100 à 1 000 km du nord au sud. Répond aux critères de mouvement de la CMS.</w:t>
            </w:r>
          </w:p>
        </w:tc>
      </w:tr>
      <w:tr w:rsidR="00B01F0A" w:rsidRPr="00B01F0A" w14:paraId="272201CA" w14:textId="77777777" w:rsidTr="00B7394E">
        <w:trPr>
          <w:cantSplit/>
        </w:trPr>
        <w:tc>
          <w:tcPr>
            <w:tcW w:w="1731" w:type="dxa"/>
            <w:shd w:val="clear" w:color="auto" w:fill="auto"/>
          </w:tcPr>
          <w:p w14:paraId="783E4F4A"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Alcidae</w:t>
            </w:r>
          </w:p>
        </w:tc>
        <w:tc>
          <w:tcPr>
            <w:tcW w:w="1964" w:type="dxa"/>
            <w:shd w:val="clear" w:color="auto" w:fill="auto"/>
          </w:tcPr>
          <w:p w14:paraId="0974AFDD"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Guillemot de </w:t>
            </w:r>
            <w:proofErr w:type="spellStart"/>
            <w:r w:rsidRPr="00B01F0A">
              <w:rPr>
                <w:rFonts w:cs="Arial"/>
                <w:b/>
                <w:bCs/>
                <w:color w:val="000000"/>
                <w:sz w:val="20"/>
                <w:szCs w:val="20"/>
                <w:lang w:val="fr-FR"/>
              </w:rPr>
              <w:t>Xantus</w:t>
            </w:r>
            <w:proofErr w:type="spellEnd"/>
          </w:p>
        </w:tc>
        <w:tc>
          <w:tcPr>
            <w:tcW w:w="2126" w:type="dxa"/>
            <w:shd w:val="clear" w:color="auto" w:fill="auto"/>
          </w:tcPr>
          <w:p w14:paraId="5C8B6D00"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Synthliboramphus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hypoleucus</w:t>
            </w:r>
            <w:proofErr w:type="spellEnd"/>
          </w:p>
        </w:tc>
        <w:tc>
          <w:tcPr>
            <w:tcW w:w="1413" w:type="dxa"/>
            <w:shd w:val="clear" w:color="auto" w:fill="auto"/>
          </w:tcPr>
          <w:p w14:paraId="6BE19049"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476920F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5729EC57" w14:textId="77777777" w:rsidTr="00B7394E">
        <w:trPr>
          <w:cantSplit/>
        </w:trPr>
        <w:tc>
          <w:tcPr>
            <w:tcW w:w="1731" w:type="dxa"/>
            <w:shd w:val="clear" w:color="auto" w:fill="auto"/>
          </w:tcPr>
          <w:p w14:paraId="5EAB715B"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Alcidae</w:t>
            </w:r>
          </w:p>
        </w:tc>
        <w:tc>
          <w:tcPr>
            <w:tcW w:w="1964" w:type="dxa"/>
            <w:shd w:val="clear" w:color="auto" w:fill="auto"/>
          </w:tcPr>
          <w:p w14:paraId="72289B21"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Guillemot de </w:t>
            </w:r>
            <w:proofErr w:type="spellStart"/>
            <w:r w:rsidRPr="00B01F0A">
              <w:rPr>
                <w:rFonts w:cs="Arial"/>
                <w:b/>
                <w:bCs/>
                <w:color w:val="000000"/>
                <w:sz w:val="20"/>
                <w:szCs w:val="20"/>
                <w:lang w:val="fr-FR"/>
              </w:rPr>
              <w:t>Craveri</w:t>
            </w:r>
            <w:proofErr w:type="spellEnd"/>
          </w:p>
        </w:tc>
        <w:tc>
          <w:tcPr>
            <w:tcW w:w="2126" w:type="dxa"/>
            <w:shd w:val="clear" w:color="auto" w:fill="auto"/>
          </w:tcPr>
          <w:p w14:paraId="1AD4307C"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Synthliboramphus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craveri</w:t>
            </w:r>
            <w:proofErr w:type="spellEnd"/>
          </w:p>
        </w:tc>
        <w:tc>
          <w:tcPr>
            <w:tcW w:w="1413" w:type="dxa"/>
            <w:shd w:val="clear" w:color="auto" w:fill="auto"/>
          </w:tcPr>
          <w:p w14:paraId="5954C35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23D5ABB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et de non-reproduction étant occupés de façon fiable chaque saison ; les individus parcourent généralement plus de 1 000 km du nord au sud. Répond aux critères de mouvement de la CMS.</w:t>
            </w:r>
          </w:p>
        </w:tc>
      </w:tr>
      <w:tr w:rsidR="00B01F0A" w:rsidRPr="00B01F0A" w14:paraId="302D3388" w14:textId="77777777" w:rsidTr="00B7394E">
        <w:trPr>
          <w:cantSplit/>
        </w:trPr>
        <w:tc>
          <w:tcPr>
            <w:tcW w:w="1731" w:type="dxa"/>
            <w:shd w:val="clear" w:color="auto" w:fill="auto"/>
          </w:tcPr>
          <w:p w14:paraId="7E5CA36A"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Strigidae</w:t>
            </w:r>
          </w:p>
        </w:tc>
        <w:tc>
          <w:tcPr>
            <w:tcW w:w="1964" w:type="dxa"/>
            <w:shd w:val="clear" w:color="auto" w:fill="auto"/>
          </w:tcPr>
          <w:p w14:paraId="42F6033B"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Harfang des neiges</w:t>
            </w:r>
          </w:p>
        </w:tc>
        <w:tc>
          <w:tcPr>
            <w:tcW w:w="2126" w:type="dxa"/>
            <w:shd w:val="clear" w:color="auto" w:fill="auto"/>
          </w:tcPr>
          <w:p w14:paraId="72E6D3A9"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Bubo </w:t>
            </w:r>
            <w:proofErr w:type="spellStart"/>
            <w:r w:rsidRPr="00B01F0A">
              <w:rPr>
                <w:rFonts w:cs="Arial"/>
                <w:b/>
                <w:bCs/>
                <w:i/>
                <w:iCs/>
                <w:color w:val="000000"/>
                <w:sz w:val="20"/>
                <w:szCs w:val="20"/>
                <w:lang w:val="en-AU"/>
              </w:rPr>
              <w:t>scandiacus</w:t>
            </w:r>
            <w:proofErr w:type="spellEnd"/>
          </w:p>
        </w:tc>
        <w:tc>
          <w:tcPr>
            <w:tcW w:w="1413" w:type="dxa"/>
            <w:shd w:val="clear" w:color="auto" w:fill="auto"/>
          </w:tcPr>
          <w:p w14:paraId="1C52E37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32EC595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fortement nomades pendant et en dehors de la saison de reproduction ; les individus parcourent généralement plus de 1 000 km du nord au sud ; les irruptions dépassent parfois en nombre important l'aire normale ; les immatures peuvent migrer au-delà de l'aire de répartition normale des adultes avant d'y retourner pour la reproduction. Répond aux critères de mouvement de la CMS.</w:t>
            </w:r>
          </w:p>
        </w:tc>
      </w:tr>
      <w:tr w:rsidR="00B01F0A" w:rsidRPr="00B01F0A" w14:paraId="15DA710B" w14:textId="77777777" w:rsidTr="00B7394E">
        <w:trPr>
          <w:cantSplit/>
        </w:trPr>
        <w:tc>
          <w:tcPr>
            <w:tcW w:w="1731" w:type="dxa"/>
            <w:shd w:val="clear" w:color="auto" w:fill="auto"/>
          </w:tcPr>
          <w:p w14:paraId="511EADB7"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Bucerotidae</w:t>
            </w:r>
            <w:proofErr w:type="spellEnd"/>
          </w:p>
        </w:tc>
        <w:tc>
          <w:tcPr>
            <w:tcW w:w="1964" w:type="dxa"/>
            <w:shd w:val="clear" w:color="auto" w:fill="auto"/>
          </w:tcPr>
          <w:p w14:paraId="20FB1FFF"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Calao à casque jaune</w:t>
            </w:r>
          </w:p>
        </w:tc>
        <w:tc>
          <w:tcPr>
            <w:tcW w:w="2126" w:type="dxa"/>
            <w:shd w:val="clear" w:color="auto" w:fill="auto"/>
          </w:tcPr>
          <w:p w14:paraId="5D073D4C"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Ceratogymna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elata</w:t>
            </w:r>
            <w:proofErr w:type="spellEnd"/>
          </w:p>
        </w:tc>
        <w:tc>
          <w:tcPr>
            <w:tcW w:w="1413" w:type="dxa"/>
            <w:shd w:val="clear" w:color="auto" w:fill="auto"/>
          </w:tcPr>
          <w:p w14:paraId="79C76745"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71D1BA0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modérément nomade pendant la saison de reproduction et fortement nomade en dehors de la saison de reproduction ; les individus parcourent généralement 100 à 1 000 km, mais sans direction constante. Répond aux critères de mouvement de la CMS.</w:t>
            </w:r>
          </w:p>
        </w:tc>
      </w:tr>
      <w:tr w:rsidR="00B01F0A" w:rsidRPr="00B01F0A" w14:paraId="1D5CDD54" w14:textId="77777777" w:rsidTr="00B7394E">
        <w:trPr>
          <w:cantSplit/>
        </w:trPr>
        <w:tc>
          <w:tcPr>
            <w:tcW w:w="1731" w:type="dxa"/>
            <w:shd w:val="clear" w:color="auto" w:fill="auto"/>
          </w:tcPr>
          <w:p w14:paraId="782F6605"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Bucerotidae</w:t>
            </w:r>
            <w:proofErr w:type="spellEnd"/>
          </w:p>
        </w:tc>
        <w:tc>
          <w:tcPr>
            <w:tcW w:w="1964" w:type="dxa"/>
            <w:shd w:val="clear" w:color="auto" w:fill="auto"/>
          </w:tcPr>
          <w:p w14:paraId="4D69C268"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Calao à joues brunes</w:t>
            </w:r>
          </w:p>
        </w:tc>
        <w:tc>
          <w:tcPr>
            <w:tcW w:w="2126" w:type="dxa"/>
            <w:shd w:val="clear" w:color="auto" w:fill="auto"/>
          </w:tcPr>
          <w:p w14:paraId="6D53DB88"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Bycanistes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cylindricus</w:t>
            </w:r>
            <w:proofErr w:type="spellEnd"/>
          </w:p>
        </w:tc>
        <w:tc>
          <w:tcPr>
            <w:tcW w:w="1413" w:type="dxa"/>
            <w:shd w:val="clear" w:color="auto" w:fill="auto"/>
          </w:tcPr>
          <w:p w14:paraId="4519E2BF"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D1C9A6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 lieux de reproduction occupés de façon fiable chaque saison, mais modérément nomade en dehors de la saison de reproduction ; les individus parcourent généralement moins de 100 km, mais sans direction constante. Répond aux critères de mouvement de la CMS.</w:t>
            </w:r>
          </w:p>
        </w:tc>
      </w:tr>
      <w:tr w:rsidR="00B01F0A" w:rsidRPr="00B01F0A" w14:paraId="4B97FFDB" w14:textId="77777777" w:rsidTr="00B7394E">
        <w:trPr>
          <w:cantSplit/>
        </w:trPr>
        <w:tc>
          <w:tcPr>
            <w:tcW w:w="1731" w:type="dxa"/>
            <w:shd w:val="clear" w:color="auto" w:fill="auto"/>
          </w:tcPr>
          <w:p w14:paraId="0EA3ACEB"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Alcedinidae</w:t>
            </w:r>
            <w:proofErr w:type="spellEnd"/>
          </w:p>
        </w:tc>
        <w:tc>
          <w:tcPr>
            <w:tcW w:w="1964" w:type="dxa"/>
            <w:shd w:val="clear" w:color="auto" w:fill="auto"/>
          </w:tcPr>
          <w:p w14:paraId="382D7F33"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Martin-chasseur à coiffe noire</w:t>
            </w:r>
          </w:p>
        </w:tc>
        <w:tc>
          <w:tcPr>
            <w:tcW w:w="2126" w:type="dxa"/>
            <w:shd w:val="clear" w:color="auto" w:fill="auto"/>
          </w:tcPr>
          <w:p w14:paraId="44759A79"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Halcyon </w:t>
            </w:r>
            <w:proofErr w:type="spellStart"/>
            <w:r w:rsidRPr="00B01F0A">
              <w:rPr>
                <w:rFonts w:cs="Arial"/>
                <w:b/>
                <w:bCs/>
                <w:i/>
                <w:iCs/>
                <w:color w:val="000000"/>
                <w:sz w:val="20"/>
                <w:szCs w:val="20"/>
                <w:lang w:val="en-AU"/>
              </w:rPr>
              <w:t>pileata</w:t>
            </w:r>
            <w:proofErr w:type="spellEnd"/>
          </w:p>
        </w:tc>
        <w:tc>
          <w:tcPr>
            <w:tcW w:w="1413" w:type="dxa"/>
            <w:shd w:val="clear" w:color="auto" w:fill="auto"/>
          </w:tcPr>
          <w:p w14:paraId="6EB3F0B7"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82697B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et de non-reproduction étant occupés de façon fiable chaque saison ; les individus parcourent généralement plus de 1 000 km du nord au sud. Répond aux critères de mouvement de la CMS.</w:t>
            </w:r>
          </w:p>
        </w:tc>
      </w:tr>
      <w:tr w:rsidR="00B01F0A" w:rsidRPr="00B01F0A" w14:paraId="6F0213DC" w14:textId="77777777" w:rsidTr="00B7394E">
        <w:trPr>
          <w:cantSplit/>
        </w:trPr>
        <w:tc>
          <w:tcPr>
            <w:tcW w:w="1731" w:type="dxa"/>
            <w:shd w:val="clear" w:color="auto" w:fill="auto"/>
          </w:tcPr>
          <w:p w14:paraId="213F585E"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Psittacidae</w:t>
            </w:r>
          </w:p>
        </w:tc>
        <w:tc>
          <w:tcPr>
            <w:tcW w:w="1964" w:type="dxa"/>
            <w:shd w:val="clear" w:color="auto" w:fill="auto"/>
          </w:tcPr>
          <w:p w14:paraId="162DBF87"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Perroquet </w:t>
            </w:r>
            <w:proofErr w:type="spellStart"/>
            <w:r w:rsidRPr="00B01F0A">
              <w:rPr>
                <w:rFonts w:cs="Arial"/>
                <w:b/>
                <w:bCs/>
                <w:color w:val="000000"/>
                <w:sz w:val="20"/>
                <w:szCs w:val="20"/>
                <w:lang w:val="fr-FR"/>
              </w:rPr>
              <w:t>timneh</w:t>
            </w:r>
            <w:proofErr w:type="spellEnd"/>
          </w:p>
        </w:tc>
        <w:tc>
          <w:tcPr>
            <w:tcW w:w="2126" w:type="dxa"/>
            <w:shd w:val="clear" w:color="auto" w:fill="auto"/>
          </w:tcPr>
          <w:p w14:paraId="74196C6A"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Psittacus </w:t>
            </w:r>
            <w:proofErr w:type="spellStart"/>
            <w:r w:rsidRPr="00B01F0A">
              <w:rPr>
                <w:rFonts w:cs="Arial"/>
                <w:b/>
                <w:bCs/>
                <w:i/>
                <w:iCs/>
                <w:color w:val="000000"/>
                <w:sz w:val="20"/>
                <w:szCs w:val="20"/>
                <w:lang w:val="en-AU"/>
              </w:rPr>
              <w:t>timneh</w:t>
            </w:r>
            <w:proofErr w:type="spellEnd"/>
          </w:p>
        </w:tc>
        <w:tc>
          <w:tcPr>
            <w:tcW w:w="1413" w:type="dxa"/>
            <w:shd w:val="clear" w:color="auto" w:fill="auto"/>
          </w:tcPr>
          <w:p w14:paraId="0E611E9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3EDE3E1F"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et de non-reproduction étant occupés de façon fiable chaque saison ; les individus parcourent généralement 100 à 1 000 km, mais sans direction constante. Répond aux critères de mouvement de la CMS.</w:t>
            </w:r>
          </w:p>
        </w:tc>
      </w:tr>
      <w:tr w:rsidR="00B01F0A" w:rsidRPr="00B01F0A" w14:paraId="43455D95" w14:textId="77777777" w:rsidTr="00B7394E">
        <w:trPr>
          <w:cantSplit/>
        </w:trPr>
        <w:tc>
          <w:tcPr>
            <w:tcW w:w="1731" w:type="dxa"/>
            <w:shd w:val="clear" w:color="auto" w:fill="auto"/>
          </w:tcPr>
          <w:p w14:paraId="3DC0CEA4"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Psittacidae</w:t>
            </w:r>
          </w:p>
        </w:tc>
        <w:tc>
          <w:tcPr>
            <w:tcW w:w="1964" w:type="dxa"/>
            <w:shd w:val="clear" w:color="auto" w:fill="auto"/>
          </w:tcPr>
          <w:p w14:paraId="28C43CD3"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Amazone vineuse</w:t>
            </w:r>
          </w:p>
        </w:tc>
        <w:tc>
          <w:tcPr>
            <w:tcW w:w="2126" w:type="dxa"/>
            <w:shd w:val="clear" w:color="auto" w:fill="auto"/>
          </w:tcPr>
          <w:p w14:paraId="0B5E3CED"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Amazona </w:t>
            </w:r>
            <w:proofErr w:type="spellStart"/>
            <w:r w:rsidRPr="00B01F0A">
              <w:rPr>
                <w:rFonts w:cs="Arial"/>
                <w:b/>
                <w:bCs/>
                <w:i/>
                <w:iCs/>
                <w:color w:val="000000"/>
                <w:sz w:val="20"/>
                <w:szCs w:val="20"/>
                <w:lang w:val="en-AU"/>
              </w:rPr>
              <w:t>vinacea</w:t>
            </w:r>
            <w:proofErr w:type="spellEnd"/>
          </w:p>
        </w:tc>
        <w:tc>
          <w:tcPr>
            <w:tcW w:w="1413" w:type="dxa"/>
            <w:shd w:val="clear" w:color="auto" w:fill="auto"/>
          </w:tcPr>
          <w:p w14:paraId="3954148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69A392D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fortement nomade en dehors de la saison de reproduction ; les individus parcourent généralement plus de 1 000 km, mais sans direction constante. Répond aux critères de mouvement de la CMS.</w:t>
            </w:r>
          </w:p>
        </w:tc>
      </w:tr>
      <w:tr w:rsidR="00B01F0A" w:rsidRPr="00B01F0A" w14:paraId="6C02EA2E" w14:textId="77777777" w:rsidTr="00B7394E">
        <w:trPr>
          <w:cantSplit/>
        </w:trPr>
        <w:tc>
          <w:tcPr>
            <w:tcW w:w="1731" w:type="dxa"/>
            <w:shd w:val="clear" w:color="auto" w:fill="auto"/>
          </w:tcPr>
          <w:p w14:paraId="5723F34C"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Psittacidae</w:t>
            </w:r>
          </w:p>
        </w:tc>
        <w:tc>
          <w:tcPr>
            <w:tcW w:w="1964" w:type="dxa"/>
            <w:shd w:val="clear" w:color="auto" w:fill="auto"/>
          </w:tcPr>
          <w:p w14:paraId="1939801B"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Amazone à front bleu</w:t>
            </w:r>
          </w:p>
        </w:tc>
        <w:tc>
          <w:tcPr>
            <w:tcW w:w="2126" w:type="dxa"/>
            <w:shd w:val="clear" w:color="auto" w:fill="auto"/>
          </w:tcPr>
          <w:p w14:paraId="4DF448F3"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 xml:space="preserve">Amazona </w:t>
            </w:r>
            <w:proofErr w:type="spellStart"/>
            <w:r w:rsidRPr="00B01F0A">
              <w:rPr>
                <w:rFonts w:cs="Arial"/>
                <w:i/>
                <w:iCs/>
                <w:color w:val="000000"/>
                <w:sz w:val="20"/>
                <w:szCs w:val="20"/>
                <w:lang w:val="en-AU"/>
              </w:rPr>
              <w:t>aestiva</w:t>
            </w:r>
            <w:proofErr w:type="spellEnd"/>
          </w:p>
        </w:tc>
        <w:tc>
          <w:tcPr>
            <w:tcW w:w="1413" w:type="dxa"/>
            <w:shd w:val="clear" w:color="auto" w:fill="auto"/>
          </w:tcPr>
          <w:p w14:paraId="2F9F7482"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13457E1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 en dehors de la saison de reproduction ; les individus parcourent généralement 100 à 1 000 km d'est en ouest ; au moins certains déplacements sont principalement altitudinaux ; au moins une sous-population distincte de la voie de migration est considérée sédentaire. Répond aux critères de mouvement de la CMS.</w:t>
            </w:r>
          </w:p>
        </w:tc>
      </w:tr>
      <w:tr w:rsidR="00B01F0A" w:rsidRPr="00B01F0A" w14:paraId="2226706F" w14:textId="77777777" w:rsidTr="00B7394E">
        <w:trPr>
          <w:cantSplit/>
        </w:trPr>
        <w:tc>
          <w:tcPr>
            <w:tcW w:w="1731" w:type="dxa"/>
            <w:shd w:val="clear" w:color="auto" w:fill="auto"/>
          </w:tcPr>
          <w:p w14:paraId="46DEDEE5"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Psittacidae</w:t>
            </w:r>
          </w:p>
        </w:tc>
        <w:tc>
          <w:tcPr>
            <w:tcW w:w="1964" w:type="dxa"/>
            <w:shd w:val="clear" w:color="auto" w:fill="auto"/>
          </w:tcPr>
          <w:p w14:paraId="6F19DE84"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Conure à gros bec</w:t>
            </w:r>
          </w:p>
        </w:tc>
        <w:tc>
          <w:tcPr>
            <w:tcW w:w="2126" w:type="dxa"/>
            <w:shd w:val="clear" w:color="auto" w:fill="auto"/>
          </w:tcPr>
          <w:p w14:paraId="4E7A5A4D"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Rhynchopsitta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pachyrhyncha</w:t>
            </w:r>
            <w:proofErr w:type="spellEnd"/>
          </w:p>
        </w:tc>
        <w:tc>
          <w:tcPr>
            <w:tcW w:w="1413" w:type="dxa"/>
            <w:shd w:val="clear" w:color="auto" w:fill="auto"/>
          </w:tcPr>
          <w:p w14:paraId="46E708A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2842B4FF"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mais les lieux de reproduction et de non-reproduction sont rarement les mêmes entre chaque saison ; les individus parcourent généralement 100 à 1 000 km, mais sans aucune direction constante ; les irruptions dépassent parfois en nombre important l'aire normale. Répond aux critères de mouvement de la CMS.</w:t>
            </w:r>
          </w:p>
        </w:tc>
      </w:tr>
      <w:tr w:rsidR="00B01F0A" w:rsidRPr="00B01F0A" w14:paraId="0538FFD3" w14:textId="77777777" w:rsidTr="00B7394E">
        <w:trPr>
          <w:cantSplit/>
        </w:trPr>
        <w:tc>
          <w:tcPr>
            <w:tcW w:w="1731" w:type="dxa"/>
            <w:shd w:val="clear" w:color="auto" w:fill="auto"/>
          </w:tcPr>
          <w:p w14:paraId="37B404FA"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Psittacidae</w:t>
            </w:r>
          </w:p>
        </w:tc>
        <w:tc>
          <w:tcPr>
            <w:tcW w:w="1964" w:type="dxa"/>
            <w:shd w:val="clear" w:color="auto" w:fill="auto"/>
          </w:tcPr>
          <w:p w14:paraId="102FBC92"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Conure à tête rouge</w:t>
            </w:r>
          </w:p>
        </w:tc>
        <w:tc>
          <w:tcPr>
            <w:tcW w:w="2126" w:type="dxa"/>
            <w:shd w:val="clear" w:color="auto" w:fill="auto"/>
          </w:tcPr>
          <w:p w14:paraId="1261E709"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Psittacara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erythrogenys</w:t>
            </w:r>
            <w:proofErr w:type="spellEnd"/>
          </w:p>
        </w:tc>
        <w:tc>
          <w:tcPr>
            <w:tcW w:w="1413" w:type="dxa"/>
            <w:shd w:val="clear" w:color="auto" w:fill="auto"/>
          </w:tcPr>
          <w:p w14:paraId="50E90E5F"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17D9450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100 à 1 000 km, mais sans direction constante. Répond aux critères de mouvement de la CMS.</w:t>
            </w:r>
          </w:p>
        </w:tc>
      </w:tr>
      <w:tr w:rsidR="00B01F0A" w:rsidRPr="00B01F0A" w14:paraId="53288C95" w14:textId="77777777" w:rsidTr="00B7394E">
        <w:trPr>
          <w:cantSplit/>
        </w:trPr>
        <w:tc>
          <w:tcPr>
            <w:tcW w:w="1731" w:type="dxa"/>
            <w:shd w:val="clear" w:color="auto" w:fill="auto"/>
          </w:tcPr>
          <w:p w14:paraId="76BAE790"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Psittacidae</w:t>
            </w:r>
          </w:p>
        </w:tc>
        <w:tc>
          <w:tcPr>
            <w:tcW w:w="1964" w:type="dxa"/>
            <w:shd w:val="clear" w:color="auto" w:fill="auto"/>
          </w:tcPr>
          <w:p w14:paraId="7B527C11"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Perruche de Lord Derby</w:t>
            </w:r>
          </w:p>
        </w:tc>
        <w:tc>
          <w:tcPr>
            <w:tcW w:w="2126" w:type="dxa"/>
            <w:shd w:val="clear" w:color="auto" w:fill="auto"/>
          </w:tcPr>
          <w:p w14:paraId="266E82A7"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Psittacula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derbiana</w:t>
            </w:r>
            <w:proofErr w:type="spellEnd"/>
          </w:p>
        </w:tc>
        <w:tc>
          <w:tcPr>
            <w:tcW w:w="1413" w:type="dxa"/>
            <w:shd w:val="clear" w:color="auto" w:fill="auto"/>
          </w:tcPr>
          <w:p w14:paraId="7896F87D"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52C7B99D"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et de non-reproduction étant occupés de façon fiable chaque saison ; les individus parcourent généralement 100 à 1 000 km du nord au sud. Répond aux critères de mouvement de la CMS.</w:t>
            </w:r>
          </w:p>
        </w:tc>
      </w:tr>
      <w:tr w:rsidR="00B01F0A" w:rsidRPr="00B01F0A" w14:paraId="03E297F9" w14:textId="77777777" w:rsidTr="00B7394E">
        <w:trPr>
          <w:cantSplit/>
        </w:trPr>
        <w:tc>
          <w:tcPr>
            <w:tcW w:w="1731" w:type="dxa"/>
            <w:shd w:val="clear" w:color="auto" w:fill="auto"/>
          </w:tcPr>
          <w:p w14:paraId="55A61415"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Psittacidae</w:t>
            </w:r>
          </w:p>
        </w:tc>
        <w:tc>
          <w:tcPr>
            <w:tcW w:w="1964" w:type="dxa"/>
            <w:shd w:val="clear" w:color="auto" w:fill="auto"/>
          </w:tcPr>
          <w:p w14:paraId="5F5D4F4E"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Perruche à longs brins</w:t>
            </w:r>
          </w:p>
        </w:tc>
        <w:tc>
          <w:tcPr>
            <w:tcW w:w="2126" w:type="dxa"/>
            <w:shd w:val="clear" w:color="auto" w:fill="auto"/>
          </w:tcPr>
          <w:p w14:paraId="19B84FD6"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Belocercus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longicaudus</w:t>
            </w:r>
            <w:proofErr w:type="spellEnd"/>
          </w:p>
        </w:tc>
        <w:tc>
          <w:tcPr>
            <w:tcW w:w="1413" w:type="dxa"/>
            <w:shd w:val="clear" w:color="auto" w:fill="auto"/>
          </w:tcPr>
          <w:p w14:paraId="4EDB78D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54B6CCF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mais fortement nomade pendant et en dehors de la saison de reproduction ; les individus parcourent généralement 100 à 1 000 km, mais sans direction constante. Répond aux critères de mouvement de la CMS.</w:t>
            </w:r>
          </w:p>
        </w:tc>
      </w:tr>
      <w:tr w:rsidR="00B01F0A" w:rsidRPr="00B01F0A" w14:paraId="09DFCE08" w14:textId="77777777" w:rsidTr="00B7394E">
        <w:trPr>
          <w:cantSplit/>
        </w:trPr>
        <w:tc>
          <w:tcPr>
            <w:tcW w:w="1731" w:type="dxa"/>
            <w:shd w:val="clear" w:color="auto" w:fill="auto"/>
          </w:tcPr>
          <w:p w14:paraId="26ECD651"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Pittidae</w:t>
            </w:r>
            <w:proofErr w:type="spellEnd"/>
          </w:p>
        </w:tc>
        <w:tc>
          <w:tcPr>
            <w:tcW w:w="1964" w:type="dxa"/>
            <w:shd w:val="clear" w:color="auto" w:fill="auto"/>
          </w:tcPr>
          <w:p w14:paraId="66E6B75E"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Brève migratrice</w:t>
            </w:r>
          </w:p>
        </w:tc>
        <w:tc>
          <w:tcPr>
            <w:tcW w:w="2126" w:type="dxa"/>
            <w:shd w:val="clear" w:color="auto" w:fill="auto"/>
          </w:tcPr>
          <w:p w14:paraId="3C15781A"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Pitta </w:t>
            </w:r>
            <w:proofErr w:type="spellStart"/>
            <w:r w:rsidRPr="00B01F0A">
              <w:rPr>
                <w:rFonts w:cs="Arial"/>
                <w:b/>
                <w:bCs/>
                <w:i/>
                <w:iCs/>
                <w:color w:val="000000"/>
                <w:sz w:val="20"/>
                <w:szCs w:val="20"/>
                <w:lang w:val="en-AU"/>
              </w:rPr>
              <w:t>nympha</w:t>
            </w:r>
            <w:proofErr w:type="spellEnd"/>
          </w:p>
        </w:tc>
        <w:tc>
          <w:tcPr>
            <w:tcW w:w="1413" w:type="dxa"/>
            <w:shd w:val="clear" w:color="auto" w:fill="auto"/>
          </w:tcPr>
          <w:p w14:paraId="1EAD46F4"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7887B96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335FD451" w14:textId="77777777" w:rsidTr="00B7394E">
        <w:trPr>
          <w:cantSplit/>
        </w:trPr>
        <w:tc>
          <w:tcPr>
            <w:tcW w:w="1731" w:type="dxa"/>
            <w:shd w:val="clear" w:color="auto" w:fill="auto"/>
          </w:tcPr>
          <w:p w14:paraId="69EFABE5"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Cotingidae</w:t>
            </w:r>
            <w:proofErr w:type="spellEnd"/>
          </w:p>
        </w:tc>
        <w:tc>
          <w:tcPr>
            <w:tcW w:w="1964" w:type="dxa"/>
            <w:shd w:val="clear" w:color="auto" w:fill="auto"/>
          </w:tcPr>
          <w:p w14:paraId="2AA269BA" w14:textId="77777777" w:rsidR="00B01F0A" w:rsidRPr="00B01F0A" w:rsidRDefault="00B01F0A" w:rsidP="00B7394E">
            <w:pPr>
              <w:autoSpaceDE w:val="0"/>
              <w:autoSpaceDN w:val="0"/>
              <w:adjustRightInd w:val="0"/>
              <w:rPr>
                <w:rFonts w:cs="Arial"/>
                <w:b/>
                <w:bCs/>
                <w:color w:val="000000"/>
                <w:sz w:val="20"/>
                <w:szCs w:val="20"/>
                <w:lang w:val="fr-FR"/>
              </w:rPr>
            </w:pPr>
            <w:proofErr w:type="spellStart"/>
            <w:r w:rsidRPr="00B01F0A">
              <w:rPr>
                <w:rFonts w:cs="Arial"/>
                <w:b/>
                <w:bCs/>
                <w:color w:val="000000"/>
                <w:sz w:val="20"/>
                <w:szCs w:val="20"/>
                <w:lang w:val="fr-FR"/>
              </w:rPr>
              <w:t>Coracine</w:t>
            </w:r>
            <w:proofErr w:type="spellEnd"/>
            <w:r w:rsidRPr="00B01F0A">
              <w:rPr>
                <w:rFonts w:cs="Arial"/>
                <w:b/>
                <w:bCs/>
                <w:color w:val="000000"/>
                <w:sz w:val="20"/>
                <w:szCs w:val="20"/>
                <w:lang w:val="fr-FR"/>
              </w:rPr>
              <w:t xml:space="preserve"> ombrelle</w:t>
            </w:r>
          </w:p>
        </w:tc>
        <w:tc>
          <w:tcPr>
            <w:tcW w:w="2126" w:type="dxa"/>
            <w:shd w:val="clear" w:color="auto" w:fill="auto"/>
          </w:tcPr>
          <w:p w14:paraId="33BECFE0"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Cephalopterus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glabricollis</w:t>
            </w:r>
            <w:proofErr w:type="spellEnd"/>
          </w:p>
        </w:tc>
        <w:tc>
          <w:tcPr>
            <w:tcW w:w="1413" w:type="dxa"/>
            <w:shd w:val="clear" w:color="auto" w:fill="auto"/>
          </w:tcPr>
          <w:p w14:paraId="3A398CE8"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4CDF738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complet : les lieux de reproduction et de non-reproduction sont occupés de manière fiable chaque saison ; les individus parcourent généralement 100 à 1 000 km, mais sans direction constante ; au moins certains déplacements sont principalement altitudinaux. Répond aux critères de mouvement de la CMS.</w:t>
            </w:r>
          </w:p>
        </w:tc>
      </w:tr>
      <w:tr w:rsidR="00B01F0A" w:rsidRPr="00B01F0A" w14:paraId="581151B7" w14:textId="77777777" w:rsidTr="00B7394E">
        <w:trPr>
          <w:cantSplit/>
        </w:trPr>
        <w:tc>
          <w:tcPr>
            <w:tcW w:w="1731" w:type="dxa"/>
            <w:shd w:val="clear" w:color="auto" w:fill="auto"/>
          </w:tcPr>
          <w:p w14:paraId="7E60EBD5"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Cotingidae</w:t>
            </w:r>
            <w:proofErr w:type="spellEnd"/>
          </w:p>
        </w:tc>
        <w:tc>
          <w:tcPr>
            <w:tcW w:w="1964" w:type="dxa"/>
            <w:shd w:val="clear" w:color="auto" w:fill="auto"/>
          </w:tcPr>
          <w:p w14:paraId="6744445C" w14:textId="77777777" w:rsidR="00B01F0A" w:rsidRPr="00B01F0A" w:rsidRDefault="00B01F0A" w:rsidP="00B7394E">
            <w:pPr>
              <w:autoSpaceDE w:val="0"/>
              <w:autoSpaceDN w:val="0"/>
              <w:adjustRightInd w:val="0"/>
              <w:rPr>
                <w:rFonts w:cs="Arial"/>
                <w:b/>
                <w:bCs/>
                <w:color w:val="000000"/>
                <w:sz w:val="20"/>
                <w:szCs w:val="20"/>
                <w:lang w:val="fr-FR"/>
              </w:rPr>
            </w:pPr>
            <w:proofErr w:type="spellStart"/>
            <w:r w:rsidRPr="00B01F0A">
              <w:rPr>
                <w:rFonts w:cs="Arial"/>
                <w:b/>
                <w:bCs/>
                <w:color w:val="000000"/>
                <w:sz w:val="20"/>
                <w:szCs w:val="20"/>
                <w:lang w:val="fr-FR"/>
              </w:rPr>
              <w:t>Araponga</w:t>
            </w:r>
            <w:proofErr w:type="spellEnd"/>
            <w:r w:rsidRPr="00B01F0A">
              <w:rPr>
                <w:rFonts w:cs="Arial"/>
                <w:b/>
                <w:bCs/>
                <w:color w:val="000000"/>
                <w:sz w:val="20"/>
                <w:szCs w:val="20"/>
                <w:lang w:val="fr-FR"/>
              </w:rPr>
              <w:t xml:space="preserve"> </w:t>
            </w:r>
            <w:proofErr w:type="spellStart"/>
            <w:r w:rsidRPr="00B01F0A">
              <w:rPr>
                <w:rFonts w:cs="Arial"/>
                <w:b/>
                <w:bCs/>
                <w:color w:val="000000"/>
                <w:sz w:val="20"/>
                <w:szCs w:val="20"/>
                <w:lang w:val="fr-FR"/>
              </w:rPr>
              <w:t>tricaronculé</w:t>
            </w:r>
            <w:proofErr w:type="spellEnd"/>
          </w:p>
        </w:tc>
        <w:tc>
          <w:tcPr>
            <w:tcW w:w="2126" w:type="dxa"/>
            <w:shd w:val="clear" w:color="auto" w:fill="auto"/>
          </w:tcPr>
          <w:p w14:paraId="40FF7289"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Procnias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tricarunculatus</w:t>
            </w:r>
            <w:proofErr w:type="spellEnd"/>
          </w:p>
        </w:tc>
        <w:tc>
          <w:tcPr>
            <w:tcW w:w="1413" w:type="dxa"/>
            <w:shd w:val="clear" w:color="auto" w:fill="auto"/>
          </w:tcPr>
          <w:p w14:paraId="22D9C7F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7D817AF"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complet : les lieux de reproduction et de non-reproduction sont occupés de manière fiable chaque saison ; les individus parcourent généralement 100 à 1 000 km, mais sans direction constante ; au moins certains déplacements sont principalement altitudinaux. Répond aux critères de mouvement de la CMS.</w:t>
            </w:r>
          </w:p>
        </w:tc>
      </w:tr>
      <w:tr w:rsidR="00B01F0A" w:rsidRPr="00B01F0A" w14:paraId="20437571" w14:textId="77777777" w:rsidTr="00B7394E">
        <w:trPr>
          <w:cantSplit/>
        </w:trPr>
        <w:tc>
          <w:tcPr>
            <w:tcW w:w="1731" w:type="dxa"/>
            <w:shd w:val="clear" w:color="auto" w:fill="auto"/>
          </w:tcPr>
          <w:p w14:paraId="2B78BBB7"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Cotingidae</w:t>
            </w:r>
            <w:proofErr w:type="spellEnd"/>
          </w:p>
        </w:tc>
        <w:tc>
          <w:tcPr>
            <w:tcW w:w="1964" w:type="dxa"/>
            <w:shd w:val="clear" w:color="auto" w:fill="auto"/>
          </w:tcPr>
          <w:p w14:paraId="51C613FA" w14:textId="77777777" w:rsidR="00B01F0A" w:rsidRPr="00B01F0A" w:rsidRDefault="00B01F0A" w:rsidP="00B7394E">
            <w:pPr>
              <w:autoSpaceDE w:val="0"/>
              <w:autoSpaceDN w:val="0"/>
              <w:adjustRightInd w:val="0"/>
              <w:rPr>
                <w:rFonts w:cs="Arial"/>
                <w:color w:val="000000"/>
                <w:sz w:val="20"/>
                <w:szCs w:val="20"/>
                <w:lang w:val="fr-FR"/>
              </w:rPr>
            </w:pPr>
            <w:proofErr w:type="spellStart"/>
            <w:r w:rsidRPr="00B01F0A">
              <w:rPr>
                <w:rFonts w:cs="Arial"/>
                <w:color w:val="000000"/>
                <w:sz w:val="20"/>
                <w:szCs w:val="20"/>
                <w:lang w:val="fr-FR"/>
              </w:rPr>
              <w:t>Araponga</w:t>
            </w:r>
            <w:proofErr w:type="spellEnd"/>
            <w:r w:rsidRPr="00B01F0A">
              <w:rPr>
                <w:rFonts w:cs="Arial"/>
                <w:color w:val="000000"/>
                <w:sz w:val="20"/>
                <w:szCs w:val="20"/>
                <w:lang w:val="fr-FR"/>
              </w:rPr>
              <w:t xml:space="preserve"> à gorge nue</w:t>
            </w:r>
          </w:p>
        </w:tc>
        <w:tc>
          <w:tcPr>
            <w:tcW w:w="2126" w:type="dxa"/>
            <w:shd w:val="clear" w:color="auto" w:fill="auto"/>
          </w:tcPr>
          <w:p w14:paraId="36F93603"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Procnias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nudicollis</w:t>
            </w:r>
            <w:proofErr w:type="spellEnd"/>
          </w:p>
        </w:tc>
        <w:tc>
          <w:tcPr>
            <w:tcW w:w="1413" w:type="dxa"/>
            <w:shd w:val="clear" w:color="auto" w:fill="auto"/>
          </w:tcPr>
          <w:p w14:paraId="1199E2EA"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57A2EBF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et de non-reproduction étant occupés de façon fiable chaque saison ; les individus parcourent généralement 100 à 1 000 km du nord au sud ; au moins certains déplacements sont principalement altitudinaux. Répond aux critères de mouvement de la CMS.</w:t>
            </w:r>
          </w:p>
        </w:tc>
      </w:tr>
      <w:tr w:rsidR="00B01F0A" w:rsidRPr="00B01F0A" w14:paraId="2DFA47BD" w14:textId="77777777" w:rsidTr="00B7394E">
        <w:trPr>
          <w:cantSplit/>
        </w:trPr>
        <w:tc>
          <w:tcPr>
            <w:tcW w:w="1731" w:type="dxa"/>
            <w:shd w:val="clear" w:color="auto" w:fill="auto"/>
          </w:tcPr>
          <w:p w14:paraId="56FD3C8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Tyrannidae</w:t>
            </w:r>
          </w:p>
        </w:tc>
        <w:tc>
          <w:tcPr>
            <w:tcW w:w="1964" w:type="dxa"/>
            <w:shd w:val="clear" w:color="auto" w:fill="auto"/>
          </w:tcPr>
          <w:p w14:paraId="4C08D885"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Moucherolle à côtés olive</w:t>
            </w:r>
          </w:p>
        </w:tc>
        <w:tc>
          <w:tcPr>
            <w:tcW w:w="2126" w:type="dxa"/>
            <w:shd w:val="clear" w:color="auto" w:fill="auto"/>
          </w:tcPr>
          <w:p w14:paraId="0A67445B"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 xml:space="preserve">Contopus </w:t>
            </w:r>
            <w:proofErr w:type="spellStart"/>
            <w:r w:rsidRPr="00B01F0A">
              <w:rPr>
                <w:rFonts w:cs="Arial"/>
                <w:i/>
                <w:iCs/>
                <w:color w:val="000000"/>
                <w:sz w:val="20"/>
                <w:szCs w:val="20"/>
                <w:lang w:val="en-AU"/>
              </w:rPr>
              <w:t>cooperi</w:t>
            </w:r>
            <w:proofErr w:type="spellEnd"/>
          </w:p>
        </w:tc>
        <w:tc>
          <w:tcPr>
            <w:tcW w:w="1413" w:type="dxa"/>
            <w:shd w:val="clear" w:color="auto" w:fill="auto"/>
          </w:tcPr>
          <w:p w14:paraId="36B608F6"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0829E2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59CAD7F6" w14:textId="77777777" w:rsidTr="00B7394E">
        <w:trPr>
          <w:cantSplit/>
        </w:trPr>
        <w:tc>
          <w:tcPr>
            <w:tcW w:w="1731" w:type="dxa"/>
            <w:shd w:val="clear" w:color="auto" w:fill="auto"/>
          </w:tcPr>
          <w:p w14:paraId="759EE404"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lastRenderedPageBreak/>
              <w:t>Laniidae</w:t>
            </w:r>
            <w:proofErr w:type="spellEnd"/>
          </w:p>
        </w:tc>
        <w:tc>
          <w:tcPr>
            <w:tcW w:w="1964" w:type="dxa"/>
            <w:shd w:val="clear" w:color="auto" w:fill="auto"/>
          </w:tcPr>
          <w:p w14:paraId="6B9E684C"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Pie-grièche migratrice</w:t>
            </w:r>
          </w:p>
        </w:tc>
        <w:tc>
          <w:tcPr>
            <w:tcW w:w="2126" w:type="dxa"/>
            <w:shd w:val="clear" w:color="auto" w:fill="auto"/>
          </w:tcPr>
          <w:p w14:paraId="371410FD"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 xml:space="preserve">Lanius </w:t>
            </w:r>
            <w:proofErr w:type="spellStart"/>
            <w:r w:rsidRPr="00B01F0A">
              <w:rPr>
                <w:rFonts w:cs="Arial"/>
                <w:i/>
                <w:iCs/>
                <w:color w:val="000000"/>
                <w:sz w:val="20"/>
                <w:szCs w:val="20"/>
                <w:lang w:val="en-AU"/>
              </w:rPr>
              <w:t>ludovicianus</w:t>
            </w:r>
            <w:proofErr w:type="spellEnd"/>
          </w:p>
        </w:tc>
        <w:tc>
          <w:tcPr>
            <w:tcW w:w="1413" w:type="dxa"/>
            <w:shd w:val="clear" w:color="auto" w:fill="auto"/>
          </w:tcPr>
          <w:p w14:paraId="17DC8A9C"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2BE4E3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et de non-reproduction étant occupés de façon fiable chaque saison ; les individus parcourent généralement plus de 1 000 km du nord au sud. Répond aux critères de mouvement de la CMS.</w:t>
            </w:r>
          </w:p>
        </w:tc>
      </w:tr>
      <w:tr w:rsidR="00B01F0A" w:rsidRPr="00B01F0A" w14:paraId="00CA7320" w14:textId="77777777" w:rsidTr="00B7394E">
        <w:trPr>
          <w:cantSplit/>
        </w:trPr>
        <w:tc>
          <w:tcPr>
            <w:tcW w:w="1731" w:type="dxa"/>
            <w:shd w:val="clear" w:color="auto" w:fill="auto"/>
          </w:tcPr>
          <w:p w14:paraId="55CBE59D"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Laniidae</w:t>
            </w:r>
            <w:proofErr w:type="spellEnd"/>
          </w:p>
        </w:tc>
        <w:tc>
          <w:tcPr>
            <w:tcW w:w="1964" w:type="dxa"/>
            <w:shd w:val="clear" w:color="auto" w:fill="auto"/>
          </w:tcPr>
          <w:p w14:paraId="0A34A270"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Pie-grièche méridionale</w:t>
            </w:r>
          </w:p>
        </w:tc>
        <w:tc>
          <w:tcPr>
            <w:tcW w:w="2126" w:type="dxa"/>
            <w:shd w:val="clear" w:color="auto" w:fill="auto"/>
          </w:tcPr>
          <w:p w14:paraId="20485378"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Lanius </w:t>
            </w:r>
            <w:proofErr w:type="spellStart"/>
            <w:r w:rsidRPr="00B01F0A">
              <w:rPr>
                <w:rFonts w:cs="Arial"/>
                <w:b/>
                <w:bCs/>
                <w:i/>
                <w:iCs/>
                <w:color w:val="000000"/>
                <w:sz w:val="20"/>
                <w:szCs w:val="20"/>
                <w:lang w:val="en-AU"/>
              </w:rPr>
              <w:t>meridionalis</w:t>
            </w:r>
            <w:proofErr w:type="spellEnd"/>
          </w:p>
        </w:tc>
        <w:tc>
          <w:tcPr>
            <w:tcW w:w="1413" w:type="dxa"/>
            <w:shd w:val="clear" w:color="auto" w:fill="auto"/>
          </w:tcPr>
          <w:p w14:paraId="11B6DF97"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2FAC51C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et de non-reproduction étant occupés de façon fiable chaque saison ; les individus parcourent généralement 100 à 1 000 km du nord au sud. Répond aux critères de mouvement de la CMS.</w:t>
            </w:r>
          </w:p>
        </w:tc>
      </w:tr>
      <w:tr w:rsidR="00B01F0A" w:rsidRPr="00B01F0A" w14:paraId="712D3F2F" w14:textId="77777777" w:rsidTr="00B7394E">
        <w:trPr>
          <w:cantSplit/>
        </w:trPr>
        <w:tc>
          <w:tcPr>
            <w:tcW w:w="1731" w:type="dxa"/>
            <w:shd w:val="clear" w:color="auto" w:fill="auto"/>
          </w:tcPr>
          <w:p w14:paraId="71AF43B3"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Laniidae</w:t>
            </w:r>
            <w:proofErr w:type="spellEnd"/>
          </w:p>
        </w:tc>
        <w:tc>
          <w:tcPr>
            <w:tcW w:w="1964" w:type="dxa"/>
            <w:shd w:val="clear" w:color="auto" w:fill="auto"/>
          </w:tcPr>
          <w:p w14:paraId="6BC52941"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Pie-grièche à tête rousse</w:t>
            </w:r>
          </w:p>
        </w:tc>
        <w:tc>
          <w:tcPr>
            <w:tcW w:w="2126" w:type="dxa"/>
            <w:shd w:val="clear" w:color="auto" w:fill="auto"/>
          </w:tcPr>
          <w:p w14:paraId="05CC9854"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Lanius senator</w:t>
            </w:r>
          </w:p>
        </w:tc>
        <w:tc>
          <w:tcPr>
            <w:tcW w:w="1413" w:type="dxa"/>
            <w:shd w:val="clear" w:color="auto" w:fill="auto"/>
          </w:tcPr>
          <w:p w14:paraId="14FC8FC8"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3824A72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27E6502C" w14:textId="77777777" w:rsidTr="00B7394E">
        <w:trPr>
          <w:cantSplit/>
        </w:trPr>
        <w:tc>
          <w:tcPr>
            <w:tcW w:w="1731" w:type="dxa"/>
            <w:shd w:val="clear" w:color="auto" w:fill="auto"/>
          </w:tcPr>
          <w:p w14:paraId="6FDDDADE"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Corvidae</w:t>
            </w:r>
          </w:p>
        </w:tc>
        <w:tc>
          <w:tcPr>
            <w:tcW w:w="1964" w:type="dxa"/>
            <w:shd w:val="clear" w:color="auto" w:fill="auto"/>
          </w:tcPr>
          <w:p w14:paraId="2D226CF6"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Corbeau à collier</w:t>
            </w:r>
          </w:p>
        </w:tc>
        <w:tc>
          <w:tcPr>
            <w:tcW w:w="2126" w:type="dxa"/>
            <w:shd w:val="clear" w:color="auto" w:fill="auto"/>
          </w:tcPr>
          <w:p w14:paraId="1CBAEC04"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Corvus pectoralis</w:t>
            </w:r>
          </w:p>
        </w:tc>
        <w:tc>
          <w:tcPr>
            <w:tcW w:w="1413" w:type="dxa"/>
            <w:shd w:val="clear" w:color="auto" w:fill="auto"/>
          </w:tcPr>
          <w:p w14:paraId="49FD1657"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D4EECFD"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et de non-reproduction étant occupés de façon fiable chaque saison ; les individus parcourent généralement 100 à 1 000 km du nord au sud. Répond aux critères de mouvement de la CMS.</w:t>
            </w:r>
          </w:p>
        </w:tc>
      </w:tr>
      <w:tr w:rsidR="00B01F0A" w:rsidRPr="00B01F0A" w14:paraId="6B68DFEA" w14:textId="77777777" w:rsidTr="00B7394E">
        <w:trPr>
          <w:cantSplit/>
        </w:trPr>
        <w:tc>
          <w:tcPr>
            <w:tcW w:w="1731" w:type="dxa"/>
            <w:shd w:val="clear" w:color="auto" w:fill="auto"/>
          </w:tcPr>
          <w:p w14:paraId="499E6C8B"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Alaudidae</w:t>
            </w:r>
          </w:p>
        </w:tc>
        <w:tc>
          <w:tcPr>
            <w:tcW w:w="1964" w:type="dxa"/>
            <w:shd w:val="clear" w:color="auto" w:fill="auto"/>
          </w:tcPr>
          <w:p w14:paraId="5DB6F20D"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Alouette de Dupont</w:t>
            </w:r>
          </w:p>
        </w:tc>
        <w:tc>
          <w:tcPr>
            <w:tcW w:w="2126" w:type="dxa"/>
            <w:shd w:val="clear" w:color="auto" w:fill="auto"/>
          </w:tcPr>
          <w:p w14:paraId="4E70C998"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Chersophilus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duponti</w:t>
            </w:r>
            <w:proofErr w:type="spellEnd"/>
          </w:p>
        </w:tc>
        <w:tc>
          <w:tcPr>
            <w:tcW w:w="1413" w:type="dxa"/>
            <w:shd w:val="clear" w:color="auto" w:fill="auto"/>
          </w:tcPr>
          <w:p w14:paraId="57F2A32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269442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étant occupés de façon fiable chaque saison, mais modérément nomade en dehors de la saison de reproduction ; les individus parcourent généralement 100 à 1 000 km, mais sans direction constante. Répond aux critères de mouvement de la CMS.</w:t>
            </w:r>
          </w:p>
        </w:tc>
      </w:tr>
      <w:tr w:rsidR="00B01F0A" w:rsidRPr="00B01F0A" w14:paraId="5672B11C" w14:textId="77777777" w:rsidTr="00B7394E">
        <w:trPr>
          <w:cantSplit/>
        </w:trPr>
        <w:tc>
          <w:tcPr>
            <w:tcW w:w="1731" w:type="dxa"/>
            <w:shd w:val="clear" w:color="auto" w:fill="auto"/>
          </w:tcPr>
          <w:p w14:paraId="3162F9F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Hirundinidae</w:t>
            </w:r>
          </w:p>
        </w:tc>
        <w:tc>
          <w:tcPr>
            <w:tcW w:w="1964" w:type="dxa"/>
            <w:shd w:val="clear" w:color="auto" w:fill="auto"/>
          </w:tcPr>
          <w:p w14:paraId="3D1D1AA1" w14:textId="77777777" w:rsidR="00B01F0A" w:rsidRPr="00B01F0A" w:rsidRDefault="00B01F0A" w:rsidP="00B7394E">
            <w:pPr>
              <w:autoSpaceDE w:val="0"/>
              <w:autoSpaceDN w:val="0"/>
              <w:adjustRightInd w:val="0"/>
              <w:rPr>
                <w:rFonts w:cs="Arial"/>
                <w:b/>
                <w:bCs/>
                <w:color w:val="000000"/>
                <w:sz w:val="20"/>
                <w:szCs w:val="20"/>
                <w:lang w:val="fr-FR"/>
              </w:rPr>
            </w:pPr>
            <w:proofErr w:type="spellStart"/>
            <w:r w:rsidRPr="00B01F0A">
              <w:rPr>
                <w:rFonts w:cs="Arial"/>
                <w:b/>
                <w:bCs/>
                <w:color w:val="000000"/>
                <w:sz w:val="20"/>
                <w:szCs w:val="20"/>
                <w:lang w:val="fr-FR"/>
              </w:rPr>
              <w:t>Pseudolangrayen</w:t>
            </w:r>
            <w:proofErr w:type="spellEnd"/>
            <w:r w:rsidRPr="00B01F0A">
              <w:rPr>
                <w:rFonts w:cs="Arial"/>
                <w:b/>
                <w:bCs/>
                <w:color w:val="000000"/>
                <w:sz w:val="20"/>
                <w:szCs w:val="20"/>
                <w:lang w:val="fr-FR"/>
              </w:rPr>
              <w:t xml:space="preserve"> d'Afrique</w:t>
            </w:r>
          </w:p>
        </w:tc>
        <w:tc>
          <w:tcPr>
            <w:tcW w:w="2126" w:type="dxa"/>
            <w:shd w:val="clear" w:color="auto" w:fill="auto"/>
          </w:tcPr>
          <w:p w14:paraId="2093636A"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Pseudochelidon</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eurystomina</w:t>
            </w:r>
            <w:proofErr w:type="spellEnd"/>
          </w:p>
        </w:tc>
        <w:tc>
          <w:tcPr>
            <w:tcW w:w="1413" w:type="dxa"/>
            <w:shd w:val="clear" w:color="auto" w:fill="auto"/>
          </w:tcPr>
          <w:p w14:paraId="51599394"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DD</w:t>
            </w:r>
          </w:p>
        </w:tc>
        <w:tc>
          <w:tcPr>
            <w:tcW w:w="7518" w:type="dxa"/>
            <w:shd w:val="clear" w:color="auto" w:fill="auto"/>
          </w:tcPr>
          <w:p w14:paraId="747F65D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substantielle de l'aire de répartition après la reproduction et modérément nomade pendant et en dehors de la saison de reproduction ; les individus parcourent généralement 100 à 1 000 km d'est en ouest. Répond aux critères de mouvement de la CMS.</w:t>
            </w:r>
          </w:p>
        </w:tc>
      </w:tr>
      <w:tr w:rsidR="00B01F0A" w:rsidRPr="00B01F0A" w14:paraId="56425006" w14:textId="77777777" w:rsidTr="00B7394E">
        <w:trPr>
          <w:cantSplit/>
        </w:trPr>
        <w:tc>
          <w:tcPr>
            <w:tcW w:w="1731" w:type="dxa"/>
            <w:shd w:val="clear" w:color="auto" w:fill="auto"/>
          </w:tcPr>
          <w:p w14:paraId="09016E7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Hirundinidae</w:t>
            </w:r>
          </w:p>
        </w:tc>
        <w:tc>
          <w:tcPr>
            <w:tcW w:w="1964" w:type="dxa"/>
            <w:shd w:val="clear" w:color="auto" w:fill="auto"/>
          </w:tcPr>
          <w:p w14:paraId="16F6B4C7"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Hirondelle des Bahamas</w:t>
            </w:r>
          </w:p>
        </w:tc>
        <w:tc>
          <w:tcPr>
            <w:tcW w:w="2126" w:type="dxa"/>
            <w:shd w:val="clear" w:color="auto" w:fill="auto"/>
          </w:tcPr>
          <w:p w14:paraId="1181F3F6"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Tachycineta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cyaneoviridis</w:t>
            </w:r>
            <w:proofErr w:type="spellEnd"/>
          </w:p>
        </w:tc>
        <w:tc>
          <w:tcPr>
            <w:tcW w:w="1413" w:type="dxa"/>
            <w:shd w:val="clear" w:color="auto" w:fill="auto"/>
          </w:tcPr>
          <w:p w14:paraId="4178EAA6"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56CECAA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substantielle de l'aire de répartition après la reproduction, les lieux de reproduction étant occupés de façon fiable chaque saison, mais modérément nomade en dehors de la saison de reproduction ; les individus parcourent généralement 100 à 1 000 km, mais sans direction constante. Répond aux critères de mouvement de la CMS.</w:t>
            </w:r>
          </w:p>
        </w:tc>
      </w:tr>
      <w:tr w:rsidR="00B01F0A" w:rsidRPr="00B01F0A" w14:paraId="26561286" w14:textId="77777777" w:rsidTr="00B7394E">
        <w:trPr>
          <w:cantSplit/>
        </w:trPr>
        <w:tc>
          <w:tcPr>
            <w:tcW w:w="1731" w:type="dxa"/>
            <w:shd w:val="clear" w:color="auto" w:fill="auto"/>
          </w:tcPr>
          <w:p w14:paraId="4904D5B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Hirundinidae</w:t>
            </w:r>
          </w:p>
        </w:tc>
        <w:tc>
          <w:tcPr>
            <w:tcW w:w="1964" w:type="dxa"/>
            <w:shd w:val="clear" w:color="auto" w:fill="auto"/>
          </w:tcPr>
          <w:p w14:paraId="598797A9"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Hirondelle du Sinaloa</w:t>
            </w:r>
          </w:p>
        </w:tc>
        <w:tc>
          <w:tcPr>
            <w:tcW w:w="2126" w:type="dxa"/>
            <w:shd w:val="clear" w:color="auto" w:fill="auto"/>
          </w:tcPr>
          <w:p w14:paraId="41D2017D"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Progne</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sinaloae</w:t>
            </w:r>
            <w:proofErr w:type="spellEnd"/>
          </w:p>
        </w:tc>
        <w:tc>
          <w:tcPr>
            <w:tcW w:w="1413" w:type="dxa"/>
            <w:shd w:val="clear" w:color="auto" w:fill="auto"/>
          </w:tcPr>
          <w:p w14:paraId="3090031C"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FD415D3"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3D248114" w14:textId="77777777" w:rsidTr="00B7394E">
        <w:trPr>
          <w:cantSplit/>
        </w:trPr>
        <w:tc>
          <w:tcPr>
            <w:tcW w:w="1731" w:type="dxa"/>
            <w:shd w:val="clear" w:color="auto" w:fill="auto"/>
          </w:tcPr>
          <w:p w14:paraId="4F117479"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Mimidae</w:t>
            </w:r>
            <w:proofErr w:type="spellEnd"/>
          </w:p>
        </w:tc>
        <w:tc>
          <w:tcPr>
            <w:tcW w:w="1964" w:type="dxa"/>
            <w:shd w:val="clear" w:color="auto" w:fill="auto"/>
          </w:tcPr>
          <w:p w14:paraId="6BAE1EF8"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Moqueur de </w:t>
            </w:r>
            <w:proofErr w:type="spellStart"/>
            <w:r w:rsidRPr="00B01F0A">
              <w:rPr>
                <w:rFonts w:cs="Arial"/>
                <w:b/>
                <w:bCs/>
                <w:color w:val="000000"/>
                <w:sz w:val="20"/>
                <w:szCs w:val="20"/>
                <w:lang w:val="fr-FR"/>
              </w:rPr>
              <w:t>Bendire</w:t>
            </w:r>
            <w:proofErr w:type="spellEnd"/>
          </w:p>
        </w:tc>
        <w:tc>
          <w:tcPr>
            <w:tcW w:w="2126" w:type="dxa"/>
            <w:shd w:val="clear" w:color="auto" w:fill="auto"/>
          </w:tcPr>
          <w:p w14:paraId="11E70835"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Toxostoma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bendirei</w:t>
            </w:r>
            <w:proofErr w:type="spellEnd"/>
          </w:p>
        </w:tc>
        <w:tc>
          <w:tcPr>
            <w:tcW w:w="1413" w:type="dxa"/>
            <w:shd w:val="clear" w:color="auto" w:fill="auto"/>
          </w:tcPr>
          <w:p w14:paraId="6732935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A4AA83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diminution de l'aire de répartition après la reproduction, les lieux de reproduction et de non-reproduction étant occupés de façon fiable chaque saison ; les individus parcourent généralement 100 à 1 000 km du nord au sud. Répond aux critères de mouvement de la CMS.</w:t>
            </w:r>
          </w:p>
        </w:tc>
      </w:tr>
      <w:tr w:rsidR="00B01F0A" w:rsidRPr="00B01F0A" w14:paraId="4A11E005" w14:textId="77777777" w:rsidTr="00B7394E">
        <w:trPr>
          <w:cantSplit/>
        </w:trPr>
        <w:tc>
          <w:tcPr>
            <w:tcW w:w="1731" w:type="dxa"/>
            <w:shd w:val="clear" w:color="auto" w:fill="auto"/>
          </w:tcPr>
          <w:p w14:paraId="3C78A519"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lastRenderedPageBreak/>
              <w:t>Bombycillidae</w:t>
            </w:r>
            <w:proofErr w:type="spellEnd"/>
          </w:p>
        </w:tc>
        <w:tc>
          <w:tcPr>
            <w:tcW w:w="1964" w:type="dxa"/>
            <w:shd w:val="clear" w:color="auto" w:fill="auto"/>
          </w:tcPr>
          <w:p w14:paraId="7B6278D6"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Jaseur du Japon</w:t>
            </w:r>
          </w:p>
        </w:tc>
        <w:tc>
          <w:tcPr>
            <w:tcW w:w="2126" w:type="dxa"/>
            <w:shd w:val="clear" w:color="auto" w:fill="auto"/>
          </w:tcPr>
          <w:p w14:paraId="0BC291E5"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Bombycilla</w:t>
            </w:r>
            <w:proofErr w:type="spellEnd"/>
            <w:r w:rsidRPr="00B01F0A">
              <w:rPr>
                <w:rFonts w:cs="Arial"/>
                <w:i/>
                <w:iCs/>
                <w:color w:val="000000"/>
                <w:sz w:val="20"/>
                <w:szCs w:val="20"/>
                <w:lang w:val="en-AU"/>
              </w:rPr>
              <w:t xml:space="preserve"> japonica</w:t>
            </w:r>
          </w:p>
        </w:tc>
        <w:tc>
          <w:tcPr>
            <w:tcW w:w="1413" w:type="dxa"/>
            <w:shd w:val="clear" w:color="auto" w:fill="auto"/>
          </w:tcPr>
          <w:p w14:paraId="4263C440"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86C9EB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3CA43AC3" w14:textId="77777777" w:rsidTr="00B7394E">
        <w:trPr>
          <w:cantSplit/>
        </w:trPr>
        <w:tc>
          <w:tcPr>
            <w:tcW w:w="1731" w:type="dxa"/>
            <w:shd w:val="clear" w:color="auto" w:fill="auto"/>
          </w:tcPr>
          <w:p w14:paraId="2ACBFE3A"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Nectariniidae</w:t>
            </w:r>
            <w:proofErr w:type="spellEnd"/>
          </w:p>
        </w:tc>
        <w:tc>
          <w:tcPr>
            <w:tcW w:w="1964" w:type="dxa"/>
            <w:shd w:val="clear" w:color="auto" w:fill="auto"/>
          </w:tcPr>
          <w:p w14:paraId="6EE4CBD0"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Souimanga de </w:t>
            </w:r>
            <w:proofErr w:type="spellStart"/>
            <w:r w:rsidRPr="00B01F0A">
              <w:rPr>
                <w:rFonts w:cs="Arial"/>
                <w:color w:val="000000"/>
                <w:sz w:val="20"/>
                <w:szCs w:val="20"/>
                <w:lang w:val="fr-FR"/>
              </w:rPr>
              <w:t>Neergaard</w:t>
            </w:r>
            <w:proofErr w:type="spellEnd"/>
          </w:p>
        </w:tc>
        <w:tc>
          <w:tcPr>
            <w:tcW w:w="2126" w:type="dxa"/>
            <w:shd w:val="clear" w:color="auto" w:fill="auto"/>
          </w:tcPr>
          <w:p w14:paraId="5A6BD51C"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Cinnyris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neergaardi</w:t>
            </w:r>
            <w:proofErr w:type="spellEnd"/>
          </w:p>
        </w:tc>
        <w:tc>
          <w:tcPr>
            <w:tcW w:w="1413" w:type="dxa"/>
            <w:shd w:val="clear" w:color="auto" w:fill="auto"/>
          </w:tcPr>
          <w:p w14:paraId="75DB7866"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7FA6CA1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étant occupés de façon fiable chaque saison, mais modérément nomade en dehors de la saison de reproduction ; les individus parcourent généralement 100 à 1 000 km du nord au sud. Répond aux critères de mouvement de la CMS.</w:t>
            </w:r>
          </w:p>
        </w:tc>
      </w:tr>
      <w:tr w:rsidR="00B01F0A" w:rsidRPr="00B01F0A" w14:paraId="29C80FCC" w14:textId="77777777" w:rsidTr="00B7394E">
        <w:trPr>
          <w:cantSplit/>
        </w:trPr>
        <w:tc>
          <w:tcPr>
            <w:tcW w:w="1731" w:type="dxa"/>
            <w:shd w:val="clear" w:color="auto" w:fill="auto"/>
          </w:tcPr>
          <w:p w14:paraId="036F134D"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Ploceidae</w:t>
            </w:r>
            <w:proofErr w:type="spellEnd"/>
          </w:p>
        </w:tc>
        <w:tc>
          <w:tcPr>
            <w:tcW w:w="1964" w:type="dxa"/>
            <w:shd w:val="clear" w:color="auto" w:fill="auto"/>
          </w:tcPr>
          <w:p w14:paraId="574416E3"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Tisserin de Finn</w:t>
            </w:r>
          </w:p>
        </w:tc>
        <w:tc>
          <w:tcPr>
            <w:tcW w:w="2126" w:type="dxa"/>
            <w:shd w:val="clear" w:color="auto" w:fill="auto"/>
          </w:tcPr>
          <w:p w14:paraId="6A2ED8DB"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Ploceus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megarhynchus</w:t>
            </w:r>
            <w:proofErr w:type="spellEnd"/>
          </w:p>
        </w:tc>
        <w:tc>
          <w:tcPr>
            <w:tcW w:w="1413" w:type="dxa"/>
            <w:shd w:val="clear" w:color="auto" w:fill="auto"/>
          </w:tcPr>
          <w:p w14:paraId="224233F5"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60D01525"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contraction de l'aire de répartition après la reproduction et modérément nomade pendant et en dehors de la saison de reproduction ; les individus parcourent généralement moins de 100 km, mais sans direction constante. Répond aux critères de mouvement de la CMS.</w:t>
            </w:r>
          </w:p>
        </w:tc>
      </w:tr>
      <w:tr w:rsidR="00B01F0A" w:rsidRPr="00B01F0A" w14:paraId="782978E4" w14:textId="77777777" w:rsidTr="00B7394E">
        <w:trPr>
          <w:cantSplit/>
        </w:trPr>
        <w:tc>
          <w:tcPr>
            <w:tcW w:w="1731" w:type="dxa"/>
            <w:shd w:val="clear" w:color="auto" w:fill="auto"/>
          </w:tcPr>
          <w:p w14:paraId="7B12D96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Fringillidae</w:t>
            </w:r>
          </w:p>
        </w:tc>
        <w:tc>
          <w:tcPr>
            <w:tcW w:w="1964" w:type="dxa"/>
            <w:shd w:val="clear" w:color="auto" w:fill="auto"/>
          </w:tcPr>
          <w:p w14:paraId="1D2B2B86"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Gros-bec errant</w:t>
            </w:r>
          </w:p>
        </w:tc>
        <w:tc>
          <w:tcPr>
            <w:tcW w:w="2126" w:type="dxa"/>
            <w:shd w:val="clear" w:color="auto" w:fill="auto"/>
          </w:tcPr>
          <w:p w14:paraId="1C3164C3"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Hesperiphona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vespertina</w:t>
            </w:r>
            <w:proofErr w:type="spellEnd"/>
          </w:p>
        </w:tc>
        <w:tc>
          <w:tcPr>
            <w:tcW w:w="1413" w:type="dxa"/>
            <w:shd w:val="clear" w:color="auto" w:fill="auto"/>
          </w:tcPr>
          <w:p w14:paraId="2DF33F58"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67D1D6C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 en dehors de la saison de reproduction ; les individus parcourent généralement plus de 1 000 km du nord au sud ; au moins certains déplacements sont principalement altitudinaux ; les irruptions dépassent parfois en nombre important l'aire normale. Répond aux critères de mouvement de la CMS.</w:t>
            </w:r>
          </w:p>
        </w:tc>
      </w:tr>
      <w:tr w:rsidR="00B01F0A" w:rsidRPr="00B01F0A" w14:paraId="63E98F4B" w14:textId="77777777" w:rsidTr="00B7394E">
        <w:trPr>
          <w:cantSplit/>
        </w:trPr>
        <w:tc>
          <w:tcPr>
            <w:tcW w:w="1731" w:type="dxa"/>
            <w:shd w:val="clear" w:color="auto" w:fill="auto"/>
          </w:tcPr>
          <w:p w14:paraId="6A0FB28B"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Fringillidae</w:t>
            </w:r>
          </w:p>
        </w:tc>
        <w:tc>
          <w:tcPr>
            <w:tcW w:w="1964" w:type="dxa"/>
            <w:shd w:val="clear" w:color="auto" w:fill="auto"/>
          </w:tcPr>
          <w:p w14:paraId="7741781A"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Grand-verdier d'Arabie</w:t>
            </w:r>
          </w:p>
        </w:tc>
        <w:tc>
          <w:tcPr>
            <w:tcW w:w="2126" w:type="dxa"/>
            <w:shd w:val="clear" w:color="auto" w:fill="auto"/>
          </w:tcPr>
          <w:p w14:paraId="25A97615"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Rhynchostruthus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percivali</w:t>
            </w:r>
            <w:proofErr w:type="spellEnd"/>
          </w:p>
        </w:tc>
        <w:tc>
          <w:tcPr>
            <w:tcW w:w="1413" w:type="dxa"/>
            <w:shd w:val="clear" w:color="auto" w:fill="auto"/>
          </w:tcPr>
          <w:p w14:paraId="7123C830"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4C3BB0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 lieux de reproduction occupés de façon fiable chaque saison, mais modérément nomade en dehors de la saison de reproduction ; les individus parcourent généralement moins de 100 km, mais sans direction constante. Répond aux critères de mouvement de la CMS.</w:t>
            </w:r>
          </w:p>
        </w:tc>
      </w:tr>
      <w:tr w:rsidR="00B01F0A" w:rsidRPr="00B01F0A" w14:paraId="4E48DE9E" w14:textId="77777777" w:rsidTr="00B7394E">
        <w:trPr>
          <w:cantSplit/>
        </w:trPr>
        <w:tc>
          <w:tcPr>
            <w:tcW w:w="1731" w:type="dxa"/>
            <w:shd w:val="clear" w:color="auto" w:fill="auto"/>
          </w:tcPr>
          <w:p w14:paraId="122B151A"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Calcariidae</w:t>
            </w:r>
            <w:proofErr w:type="spellEnd"/>
          </w:p>
        </w:tc>
        <w:tc>
          <w:tcPr>
            <w:tcW w:w="1964" w:type="dxa"/>
            <w:shd w:val="clear" w:color="auto" w:fill="auto"/>
          </w:tcPr>
          <w:p w14:paraId="19D54CA8" w14:textId="77777777" w:rsidR="00B01F0A" w:rsidRPr="00B01F0A" w:rsidRDefault="00B01F0A" w:rsidP="00B7394E">
            <w:pPr>
              <w:autoSpaceDE w:val="0"/>
              <w:autoSpaceDN w:val="0"/>
              <w:adjustRightInd w:val="0"/>
              <w:rPr>
                <w:rFonts w:cs="Arial"/>
                <w:b/>
                <w:bCs/>
                <w:color w:val="000000"/>
                <w:sz w:val="20"/>
                <w:szCs w:val="20"/>
                <w:lang w:val="fr-FR"/>
              </w:rPr>
            </w:pPr>
            <w:proofErr w:type="spellStart"/>
            <w:r w:rsidRPr="00B01F0A">
              <w:rPr>
                <w:rFonts w:cs="Arial"/>
                <w:b/>
                <w:bCs/>
                <w:color w:val="000000"/>
                <w:sz w:val="20"/>
                <w:szCs w:val="20"/>
                <w:lang w:val="fr-FR"/>
              </w:rPr>
              <w:t>Plectrophane</w:t>
            </w:r>
            <w:proofErr w:type="spellEnd"/>
            <w:r w:rsidRPr="00B01F0A">
              <w:rPr>
                <w:rFonts w:cs="Arial"/>
                <w:b/>
                <w:bCs/>
                <w:color w:val="000000"/>
                <w:sz w:val="20"/>
                <w:szCs w:val="20"/>
                <w:lang w:val="fr-FR"/>
              </w:rPr>
              <w:t xml:space="preserve"> à ventre noir</w:t>
            </w:r>
          </w:p>
        </w:tc>
        <w:tc>
          <w:tcPr>
            <w:tcW w:w="2126" w:type="dxa"/>
            <w:shd w:val="clear" w:color="auto" w:fill="auto"/>
          </w:tcPr>
          <w:p w14:paraId="26EA8414"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Calcarius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ornatus</w:t>
            </w:r>
            <w:proofErr w:type="spellEnd"/>
          </w:p>
        </w:tc>
        <w:tc>
          <w:tcPr>
            <w:tcW w:w="1413" w:type="dxa"/>
            <w:shd w:val="clear" w:color="auto" w:fill="auto"/>
          </w:tcPr>
          <w:p w14:paraId="0DD9ABD7"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72A20FE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03BE3F14" w14:textId="77777777" w:rsidTr="00B7394E">
        <w:trPr>
          <w:cantSplit/>
        </w:trPr>
        <w:tc>
          <w:tcPr>
            <w:tcW w:w="1731" w:type="dxa"/>
            <w:shd w:val="clear" w:color="auto" w:fill="auto"/>
          </w:tcPr>
          <w:p w14:paraId="5C913B2C"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Emberizidae</w:t>
            </w:r>
            <w:proofErr w:type="spellEnd"/>
          </w:p>
        </w:tc>
        <w:tc>
          <w:tcPr>
            <w:tcW w:w="1964" w:type="dxa"/>
            <w:shd w:val="clear" w:color="auto" w:fill="auto"/>
          </w:tcPr>
          <w:p w14:paraId="4A97F6C7"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Bruant de </w:t>
            </w:r>
            <w:proofErr w:type="spellStart"/>
            <w:r w:rsidRPr="00B01F0A">
              <w:rPr>
                <w:rFonts w:cs="Arial"/>
                <w:b/>
                <w:bCs/>
                <w:color w:val="000000"/>
                <w:sz w:val="20"/>
                <w:szCs w:val="20"/>
                <w:lang w:val="fr-FR"/>
              </w:rPr>
              <w:t>Jankowski</w:t>
            </w:r>
            <w:proofErr w:type="spellEnd"/>
          </w:p>
        </w:tc>
        <w:tc>
          <w:tcPr>
            <w:tcW w:w="2126" w:type="dxa"/>
            <w:shd w:val="clear" w:color="auto" w:fill="auto"/>
          </w:tcPr>
          <w:p w14:paraId="42E30A6F"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Emberiza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jankowskii</w:t>
            </w:r>
            <w:proofErr w:type="spellEnd"/>
          </w:p>
        </w:tc>
        <w:tc>
          <w:tcPr>
            <w:tcW w:w="1413" w:type="dxa"/>
            <w:shd w:val="clear" w:color="auto" w:fill="auto"/>
          </w:tcPr>
          <w:p w14:paraId="1B140B8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6B0A432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étant occupés de façon fiable chaque saison, mais modérément nomade en dehors de la saison de reproduction ; les individus parcourent généralement moins de 100 km, mais sans direction constante. Répond aux critères de mouvement de la CMS.</w:t>
            </w:r>
          </w:p>
        </w:tc>
      </w:tr>
      <w:tr w:rsidR="00B01F0A" w:rsidRPr="00B01F0A" w14:paraId="4F63A92E" w14:textId="77777777" w:rsidTr="00B7394E">
        <w:trPr>
          <w:cantSplit/>
        </w:trPr>
        <w:tc>
          <w:tcPr>
            <w:tcW w:w="1731" w:type="dxa"/>
            <w:shd w:val="clear" w:color="auto" w:fill="auto"/>
          </w:tcPr>
          <w:p w14:paraId="34869FEF"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Emberizidae</w:t>
            </w:r>
            <w:proofErr w:type="spellEnd"/>
          </w:p>
        </w:tc>
        <w:tc>
          <w:tcPr>
            <w:tcW w:w="1964" w:type="dxa"/>
            <w:shd w:val="clear" w:color="auto" w:fill="auto"/>
          </w:tcPr>
          <w:p w14:paraId="2BB25A1C"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Bruant </w:t>
            </w:r>
            <w:proofErr w:type="spellStart"/>
            <w:r w:rsidRPr="00B01F0A">
              <w:rPr>
                <w:rFonts w:cs="Arial"/>
                <w:color w:val="000000"/>
                <w:sz w:val="20"/>
                <w:szCs w:val="20"/>
                <w:lang w:val="fr-FR"/>
              </w:rPr>
              <w:t>cinéré</w:t>
            </w:r>
            <w:proofErr w:type="spellEnd"/>
          </w:p>
        </w:tc>
        <w:tc>
          <w:tcPr>
            <w:tcW w:w="2126" w:type="dxa"/>
            <w:shd w:val="clear" w:color="auto" w:fill="auto"/>
          </w:tcPr>
          <w:p w14:paraId="7437A62E"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Emberiza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cineracea</w:t>
            </w:r>
            <w:proofErr w:type="spellEnd"/>
          </w:p>
        </w:tc>
        <w:tc>
          <w:tcPr>
            <w:tcW w:w="1413" w:type="dxa"/>
            <w:shd w:val="clear" w:color="auto" w:fill="auto"/>
          </w:tcPr>
          <w:p w14:paraId="15EF33E4"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14A66B0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5280E4F6" w14:textId="77777777" w:rsidTr="00B7394E">
        <w:trPr>
          <w:cantSplit/>
        </w:trPr>
        <w:tc>
          <w:tcPr>
            <w:tcW w:w="1731" w:type="dxa"/>
            <w:shd w:val="clear" w:color="auto" w:fill="auto"/>
          </w:tcPr>
          <w:p w14:paraId="3D5E1CCF"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Emberizidae</w:t>
            </w:r>
            <w:proofErr w:type="spellEnd"/>
          </w:p>
        </w:tc>
        <w:tc>
          <w:tcPr>
            <w:tcW w:w="1964" w:type="dxa"/>
            <w:shd w:val="clear" w:color="auto" w:fill="auto"/>
          </w:tcPr>
          <w:p w14:paraId="5E83F588"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Bruant de </w:t>
            </w:r>
            <w:proofErr w:type="spellStart"/>
            <w:r w:rsidRPr="00B01F0A">
              <w:rPr>
                <w:rFonts w:cs="Arial"/>
                <w:color w:val="000000"/>
                <w:sz w:val="20"/>
                <w:szCs w:val="20"/>
                <w:lang w:val="fr-FR"/>
              </w:rPr>
              <w:t>Yéso</w:t>
            </w:r>
            <w:proofErr w:type="spellEnd"/>
          </w:p>
        </w:tc>
        <w:tc>
          <w:tcPr>
            <w:tcW w:w="2126" w:type="dxa"/>
            <w:shd w:val="clear" w:color="auto" w:fill="auto"/>
          </w:tcPr>
          <w:p w14:paraId="076F556D"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Emberiza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yessoensis</w:t>
            </w:r>
            <w:proofErr w:type="spellEnd"/>
          </w:p>
        </w:tc>
        <w:tc>
          <w:tcPr>
            <w:tcW w:w="1413" w:type="dxa"/>
            <w:shd w:val="clear" w:color="auto" w:fill="auto"/>
          </w:tcPr>
          <w:p w14:paraId="552CE31B"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3611589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38A5872D" w14:textId="77777777" w:rsidTr="00B7394E">
        <w:trPr>
          <w:cantSplit/>
        </w:trPr>
        <w:tc>
          <w:tcPr>
            <w:tcW w:w="1731" w:type="dxa"/>
            <w:shd w:val="clear" w:color="auto" w:fill="auto"/>
          </w:tcPr>
          <w:p w14:paraId="35DC831D"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lastRenderedPageBreak/>
              <w:t>Emberizidae</w:t>
            </w:r>
            <w:proofErr w:type="spellEnd"/>
          </w:p>
        </w:tc>
        <w:tc>
          <w:tcPr>
            <w:tcW w:w="1964" w:type="dxa"/>
            <w:shd w:val="clear" w:color="auto" w:fill="auto"/>
          </w:tcPr>
          <w:p w14:paraId="679ECFE4"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Bruant rustique</w:t>
            </w:r>
          </w:p>
        </w:tc>
        <w:tc>
          <w:tcPr>
            <w:tcW w:w="2126" w:type="dxa"/>
            <w:shd w:val="clear" w:color="auto" w:fill="auto"/>
          </w:tcPr>
          <w:p w14:paraId="529A4E4B"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Emberiza</w:t>
            </w:r>
            <w:proofErr w:type="spellEnd"/>
            <w:r w:rsidRPr="00B01F0A">
              <w:rPr>
                <w:rFonts w:cs="Arial"/>
                <w:b/>
                <w:bCs/>
                <w:i/>
                <w:iCs/>
                <w:color w:val="000000"/>
                <w:sz w:val="20"/>
                <w:szCs w:val="20"/>
                <w:lang w:val="en-AU"/>
              </w:rPr>
              <w:t xml:space="preserve"> rustica</w:t>
            </w:r>
          </w:p>
        </w:tc>
        <w:tc>
          <w:tcPr>
            <w:tcW w:w="1413" w:type="dxa"/>
            <w:shd w:val="clear" w:color="auto" w:fill="auto"/>
          </w:tcPr>
          <w:p w14:paraId="04BA85BE"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2A96C1F"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0C4268E7" w14:textId="77777777" w:rsidTr="00B7394E">
        <w:trPr>
          <w:cantSplit/>
        </w:trPr>
        <w:tc>
          <w:tcPr>
            <w:tcW w:w="1731" w:type="dxa"/>
            <w:shd w:val="clear" w:color="auto" w:fill="auto"/>
          </w:tcPr>
          <w:p w14:paraId="413F9FBE"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Passerellidae</w:t>
            </w:r>
            <w:proofErr w:type="spellEnd"/>
          </w:p>
        </w:tc>
        <w:tc>
          <w:tcPr>
            <w:tcW w:w="1964" w:type="dxa"/>
            <w:shd w:val="clear" w:color="auto" w:fill="auto"/>
          </w:tcPr>
          <w:p w14:paraId="40E01710"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Bruant à face noire</w:t>
            </w:r>
          </w:p>
        </w:tc>
        <w:tc>
          <w:tcPr>
            <w:tcW w:w="2126" w:type="dxa"/>
            <w:shd w:val="clear" w:color="auto" w:fill="auto"/>
          </w:tcPr>
          <w:p w14:paraId="6FE18EE3"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Zonotrichia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querula</w:t>
            </w:r>
            <w:proofErr w:type="spellEnd"/>
          </w:p>
        </w:tc>
        <w:tc>
          <w:tcPr>
            <w:tcW w:w="1413" w:type="dxa"/>
            <w:shd w:val="clear" w:color="auto" w:fill="auto"/>
          </w:tcPr>
          <w:p w14:paraId="3B337EA5"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418E543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61CA4693" w14:textId="77777777" w:rsidTr="00B7394E">
        <w:trPr>
          <w:cantSplit/>
        </w:trPr>
        <w:tc>
          <w:tcPr>
            <w:tcW w:w="1731" w:type="dxa"/>
            <w:shd w:val="clear" w:color="auto" w:fill="auto"/>
          </w:tcPr>
          <w:p w14:paraId="6ABF16FE"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Icteridae</w:t>
            </w:r>
          </w:p>
        </w:tc>
        <w:tc>
          <w:tcPr>
            <w:tcW w:w="1964" w:type="dxa"/>
            <w:shd w:val="clear" w:color="auto" w:fill="auto"/>
          </w:tcPr>
          <w:p w14:paraId="3FE20D81" w14:textId="77777777" w:rsidR="00B01F0A" w:rsidRPr="00B01F0A" w:rsidRDefault="00B01F0A" w:rsidP="00B7394E">
            <w:pPr>
              <w:autoSpaceDE w:val="0"/>
              <w:autoSpaceDN w:val="0"/>
              <w:adjustRightInd w:val="0"/>
              <w:rPr>
                <w:rFonts w:cs="Arial"/>
                <w:color w:val="000000"/>
                <w:sz w:val="20"/>
                <w:szCs w:val="20"/>
                <w:lang w:val="fr-FR"/>
              </w:rPr>
            </w:pPr>
            <w:proofErr w:type="spellStart"/>
            <w:r w:rsidRPr="00B01F0A">
              <w:rPr>
                <w:rFonts w:cs="Arial"/>
                <w:color w:val="000000"/>
                <w:sz w:val="20"/>
                <w:szCs w:val="20"/>
                <w:lang w:val="fr-FR"/>
              </w:rPr>
              <w:t>Sturnelle</w:t>
            </w:r>
            <w:proofErr w:type="spellEnd"/>
            <w:r w:rsidRPr="00B01F0A">
              <w:rPr>
                <w:rFonts w:cs="Arial"/>
                <w:color w:val="000000"/>
                <w:sz w:val="20"/>
                <w:szCs w:val="20"/>
                <w:lang w:val="fr-FR"/>
              </w:rPr>
              <w:t xml:space="preserve"> des prés</w:t>
            </w:r>
          </w:p>
        </w:tc>
        <w:tc>
          <w:tcPr>
            <w:tcW w:w="2126" w:type="dxa"/>
            <w:shd w:val="clear" w:color="auto" w:fill="auto"/>
          </w:tcPr>
          <w:p w14:paraId="5E2CD1AC"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Sturnella magna</w:t>
            </w:r>
          </w:p>
        </w:tc>
        <w:tc>
          <w:tcPr>
            <w:tcW w:w="1413" w:type="dxa"/>
            <w:shd w:val="clear" w:color="auto" w:fill="auto"/>
          </w:tcPr>
          <w:p w14:paraId="78749C15"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2C94C15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et de non-reproduction étant occupés de façon fiable chaque saison ; les individus parcourent généralement plus de 1 000 km du nord au sud ; au moins une sous-population distincte de la voie de migration est considérée sédentaire. Répond aux critères de mouvement de la CMS.</w:t>
            </w:r>
          </w:p>
        </w:tc>
      </w:tr>
      <w:tr w:rsidR="00B01F0A" w:rsidRPr="00B01F0A" w14:paraId="722A2B44" w14:textId="77777777" w:rsidTr="00B7394E">
        <w:trPr>
          <w:cantSplit/>
        </w:trPr>
        <w:tc>
          <w:tcPr>
            <w:tcW w:w="1731" w:type="dxa"/>
            <w:shd w:val="clear" w:color="auto" w:fill="auto"/>
          </w:tcPr>
          <w:p w14:paraId="28026E0A"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Icteridae</w:t>
            </w:r>
          </w:p>
        </w:tc>
        <w:tc>
          <w:tcPr>
            <w:tcW w:w="1964" w:type="dxa"/>
            <w:shd w:val="clear" w:color="auto" w:fill="auto"/>
          </w:tcPr>
          <w:p w14:paraId="00443A0C"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Carouge de Californie</w:t>
            </w:r>
          </w:p>
        </w:tc>
        <w:tc>
          <w:tcPr>
            <w:tcW w:w="2126" w:type="dxa"/>
            <w:shd w:val="clear" w:color="auto" w:fill="auto"/>
          </w:tcPr>
          <w:p w14:paraId="54738B9D"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Agelaius </w:t>
            </w:r>
            <w:proofErr w:type="spellStart"/>
            <w:r w:rsidRPr="00B01F0A">
              <w:rPr>
                <w:rFonts w:cs="Arial"/>
                <w:b/>
                <w:bCs/>
                <w:i/>
                <w:iCs/>
                <w:color w:val="000000"/>
                <w:sz w:val="20"/>
                <w:szCs w:val="20"/>
                <w:lang w:val="en-AU"/>
              </w:rPr>
              <w:t>tricolor</w:t>
            </w:r>
            <w:proofErr w:type="spellEnd"/>
          </w:p>
        </w:tc>
        <w:tc>
          <w:tcPr>
            <w:tcW w:w="1413" w:type="dxa"/>
            <w:shd w:val="clear" w:color="auto" w:fill="auto"/>
          </w:tcPr>
          <w:p w14:paraId="6FBFFB26"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3312C55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mais modérément nomade pendant et en dehors de la saison de reproduction ; les individus parcourent généralement 100 à 1 000 km, mais sans direction constante. Répond aux critères de mouvement de la CMS.</w:t>
            </w:r>
          </w:p>
        </w:tc>
      </w:tr>
      <w:tr w:rsidR="00B01F0A" w:rsidRPr="00B01F0A" w14:paraId="02BF2F00" w14:textId="77777777" w:rsidTr="00B7394E">
        <w:trPr>
          <w:cantSplit/>
        </w:trPr>
        <w:tc>
          <w:tcPr>
            <w:tcW w:w="1731" w:type="dxa"/>
            <w:shd w:val="clear" w:color="auto" w:fill="auto"/>
          </w:tcPr>
          <w:p w14:paraId="56CACF88"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Icteridae</w:t>
            </w:r>
          </w:p>
        </w:tc>
        <w:tc>
          <w:tcPr>
            <w:tcW w:w="1964" w:type="dxa"/>
            <w:shd w:val="clear" w:color="auto" w:fill="auto"/>
          </w:tcPr>
          <w:p w14:paraId="3D8869C0"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Quiscale </w:t>
            </w:r>
            <w:proofErr w:type="spellStart"/>
            <w:r w:rsidRPr="00B01F0A">
              <w:rPr>
                <w:rFonts w:cs="Arial"/>
                <w:b/>
                <w:bCs/>
                <w:color w:val="000000"/>
                <w:sz w:val="20"/>
                <w:szCs w:val="20"/>
                <w:lang w:val="fr-FR"/>
              </w:rPr>
              <w:t>rouilleux</w:t>
            </w:r>
            <w:proofErr w:type="spellEnd"/>
          </w:p>
        </w:tc>
        <w:tc>
          <w:tcPr>
            <w:tcW w:w="2126" w:type="dxa"/>
            <w:shd w:val="clear" w:color="auto" w:fill="auto"/>
          </w:tcPr>
          <w:p w14:paraId="354DC052"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Euphagus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carolinus</w:t>
            </w:r>
            <w:proofErr w:type="spellEnd"/>
          </w:p>
        </w:tc>
        <w:tc>
          <w:tcPr>
            <w:tcW w:w="1413" w:type="dxa"/>
            <w:shd w:val="clear" w:color="auto" w:fill="auto"/>
          </w:tcPr>
          <w:p w14:paraId="02D7CDE7"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2C02CEA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33102E1D" w14:textId="77777777" w:rsidTr="00B7394E">
        <w:trPr>
          <w:cantSplit/>
        </w:trPr>
        <w:tc>
          <w:tcPr>
            <w:tcW w:w="1731" w:type="dxa"/>
            <w:shd w:val="clear" w:color="auto" w:fill="auto"/>
          </w:tcPr>
          <w:p w14:paraId="7B7AB1F1"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Icteridae</w:t>
            </w:r>
          </w:p>
        </w:tc>
        <w:tc>
          <w:tcPr>
            <w:tcW w:w="1964" w:type="dxa"/>
            <w:shd w:val="clear" w:color="auto" w:fill="auto"/>
          </w:tcPr>
          <w:p w14:paraId="2D096B6E"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Quiscale bronzé</w:t>
            </w:r>
          </w:p>
        </w:tc>
        <w:tc>
          <w:tcPr>
            <w:tcW w:w="2126" w:type="dxa"/>
            <w:shd w:val="clear" w:color="auto" w:fill="auto"/>
          </w:tcPr>
          <w:p w14:paraId="5D6B35B3"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Quiscalus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quiscula</w:t>
            </w:r>
            <w:proofErr w:type="spellEnd"/>
          </w:p>
        </w:tc>
        <w:tc>
          <w:tcPr>
            <w:tcW w:w="1413" w:type="dxa"/>
            <w:shd w:val="clear" w:color="auto" w:fill="auto"/>
          </w:tcPr>
          <w:p w14:paraId="74F7EC97"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663C518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et de non-reproduction étant occupés de façon fiable chaque saison ; les individus parcourent généralement plus de 1 000 km du nord au sud. Répond aux critères de mouvement de la CMS.</w:t>
            </w:r>
          </w:p>
        </w:tc>
      </w:tr>
      <w:tr w:rsidR="00B01F0A" w:rsidRPr="00B01F0A" w14:paraId="1FC50A81" w14:textId="77777777" w:rsidTr="00B7394E">
        <w:trPr>
          <w:cantSplit/>
        </w:trPr>
        <w:tc>
          <w:tcPr>
            <w:tcW w:w="1731" w:type="dxa"/>
            <w:shd w:val="clear" w:color="auto" w:fill="auto"/>
          </w:tcPr>
          <w:p w14:paraId="0EC5DD5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Parulidae</w:t>
            </w:r>
          </w:p>
        </w:tc>
        <w:tc>
          <w:tcPr>
            <w:tcW w:w="1964" w:type="dxa"/>
            <w:shd w:val="clear" w:color="auto" w:fill="auto"/>
          </w:tcPr>
          <w:p w14:paraId="57C9EF8E"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Paruline de </w:t>
            </w:r>
            <w:proofErr w:type="spellStart"/>
            <w:r w:rsidRPr="00B01F0A">
              <w:rPr>
                <w:rFonts w:cs="Arial"/>
                <w:b/>
                <w:bCs/>
                <w:color w:val="000000"/>
                <w:sz w:val="20"/>
                <w:szCs w:val="20"/>
                <w:lang w:val="fr-FR"/>
              </w:rPr>
              <w:t>Bachman</w:t>
            </w:r>
            <w:proofErr w:type="spellEnd"/>
          </w:p>
        </w:tc>
        <w:tc>
          <w:tcPr>
            <w:tcW w:w="2126" w:type="dxa"/>
            <w:shd w:val="clear" w:color="auto" w:fill="auto"/>
          </w:tcPr>
          <w:p w14:paraId="78F81251"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Vermivora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bachmanii</w:t>
            </w:r>
            <w:proofErr w:type="spellEnd"/>
          </w:p>
        </w:tc>
        <w:tc>
          <w:tcPr>
            <w:tcW w:w="1413" w:type="dxa"/>
            <w:shd w:val="clear" w:color="auto" w:fill="auto"/>
          </w:tcPr>
          <w:p w14:paraId="5FE3B7AB"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3E09F9E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100 à 1 000 km du nord au sud. Répond aux critères de mouvement de la CMS.</w:t>
            </w:r>
          </w:p>
        </w:tc>
      </w:tr>
      <w:tr w:rsidR="00B01F0A" w:rsidRPr="00B01F0A" w14:paraId="3E63C483" w14:textId="77777777" w:rsidTr="00B7394E">
        <w:trPr>
          <w:cantSplit/>
        </w:trPr>
        <w:tc>
          <w:tcPr>
            <w:tcW w:w="1731" w:type="dxa"/>
            <w:shd w:val="clear" w:color="auto" w:fill="auto"/>
          </w:tcPr>
          <w:p w14:paraId="6530CCCE"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Parulidae</w:t>
            </w:r>
          </w:p>
        </w:tc>
        <w:tc>
          <w:tcPr>
            <w:tcW w:w="1964" w:type="dxa"/>
            <w:shd w:val="clear" w:color="auto" w:fill="auto"/>
          </w:tcPr>
          <w:p w14:paraId="1C2DE1CA"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Paruline à ailes dorées</w:t>
            </w:r>
          </w:p>
        </w:tc>
        <w:tc>
          <w:tcPr>
            <w:tcW w:w="2126" w:type="dxa"/>
            <w:shd w:val="clear" w:color="auto" w:fill="auto"/>
          </w:tcPr>
          <w:p w14:paraId="273BCBE4"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Vermivora</w:t>
            </w:r>
            <w:proofErr w:type="spellEnd"/>
            <w:r w:rsidRPr="00B01F0A">
              <w:rPr>
                <w:rFonts w:cs="Arial"/>
                <w:i/>
                <w:iCs/>
                <w:color w:val="000000"/>
                <w:sz w:val="20"/>
                <w:szCs w:val="20"/>
                <w:lang w:val="en-AU"/>
              </w:rPr>
              <w:t xml:space="preserve"> chrysoptera</w:t>
            </w:r>
          </w:p>
        </w:tc>
        <w:tc>
          <w:tcPr>
            <w:tcW w:w="1413" w:type="dxa"/>
            <w:shd w:val="clear" w:color="auto" w:fill="auto"/>
          </w:tcPr>
          <w:p w14:paraId="3C09A493"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58FB5E7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2A2194DF" w14:textId="77777777" w:rsidTr="00B7394E">
        <w:trPr>
          <w:cantSplit/>
        </w:trPr>
        <w:tc>
          <w:tcPr>
            <w:tcW w:w="1731" w:type="dxa"/>
            <w:shd w:val="clear" w:color="auto" w:fill="auto"/>
          </w:tcPr>
          <w:p w14:paraId="1476A1CB"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Parulidae</w:t>
            </w:r>
          </w:p>
        </w:tc>
        <w:tc>
          <w:tcPr>
            <w:tcW w:w="1964" w:type="dxa"/>
            <w:shd w:val="clear" w:color="auto" w:fill="auto"/>
          </w:tcPr>
          <w:p w14:paraId="2629B82C"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Paruline rayée</w:t>
            </w:r>
          </w:p>
        </w:tc>
        <w:tc>
          <w:tcPr>
            <w:tcW w:w="2126" w:type="dxa"/>
            <w:shd w:val="clear" w:color="auto" w:fill="auto"/>
          </w:tcPr>
          <w:p w14:paraId="298B3824"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Setophaga striata</w:t>
            </w:r>
          </w:p>
        </w:tc>
        <w:tc>
          <w:tcPr>
            <w:tcW w:w="1413" w:type="dxa"/>
            <w:shd w:val="clear" w:color="auto" w:fill="auto"/>
          </w:tcPr>
          <w:p w14:paraId="5CF593D8"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5435AC5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21A72882" w14:textId="77777777" w:rsidTr="00B7394E">
        <w:trPr>
          <w:cantSplit/>
        </w:trPr>
        <w:tc>
          <w:tcPr>
            <w:tcW w:w="1731" w:type="dxa"/>
            <w:shd w:val="clear" w:color="auto" w:fill="auto"/>
          </w:tcPr>
          <w:p w14:paraId="6558EDE0"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Parulidae</w:t>
            </w:r>
          </w:p>
        </w:tc>
        <w:tc>
          <w:tcPr>
            <w:tcW w:w="1964" w:type="dxa"/>
            <w:shd w:val="clear" w:color="auto" w:fill="auto"/>
          </w:tcPr>
          <w:p w14:paraId="1FAA936D"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Paruline à dos noir</w:t>
            </w:r>
          </w:p>
        </w:tc>
        <w:tc>
          <w:tcPr>
            <w:tcW w:w="2126" w:type="dxa"/>
            <w:shd w:val="clear" w:color="auto" w:fill="auto"/>
          </w:tcPr>
          <w:p w14:paraId="6DE68966"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Setophaga </w:t>
            </w:r>
            <w:proofErr w:type="spellStart"/>
            <w:r w:rsidRPr="00B01F0A">
              <w:rPr>
                <w:rFonts w:cs="Arial"/>
                <w:b/>
                <w:bCs/>
                <w:i/>
                <w:iCs/>
                <w:color w:val="000000"/>
                <w:sz w:val="20"/>
                <w:szCs w:val="20"/>
                <w:lang w:val="en-AU"/>
              </w:rPr>
              <w:t>chrysoparia</w:t>
            </w:r>
            <w:proofErr w:type="spellEnd"/>
          </w:p>
        </w:tc>
        <w:tc>
          <w:tcPr>
            <w:tcW w:w="1413" w:type="dxa"/>
            <w:shd w:val="clear" w:color="auto" w:fill="auto"/>
          </w:tcPr>
          <w:p w14:paraId="4031EEDD"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56A561D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0AB9C40A" w14:textId="77777777" w:rsidTr="00B7394E">
        <w:trPr>
          <w:cantSplit/>
        </w:trPr>
        <w:tc>
          <w:tcPr>
            <w:tcW w:w="1731" w:type="dxa"/>
            <w:shd w:val="clear" w:color="auto" w:fill="auto"/>
          </w:tcPr>
          <w:p w14:paraId="24C9CDEF"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Thraupidae</w:t>
            </w:r>
          </w:p>
        </w:tc>
        <w:tc>
          <w:tcPr>
            <w:tcW w:w="1964" w:type="dxa"/>
            <w:shd w:val="clear" w:color="auto" w:fill="auto"/>
          </w:tcPr>
          <w:p w14:paraId="6CEE00F8" w14:textId="77777777" w:rsidR="00B01F0A" w:rsidRPr="00B01F0A" w:rsidRDefault="00B01F0A" w:rsidP="00B7394E">
            <w:pPr>
              <w:autoSpaceDE w:val="0"/>
              <w:autoSpaceDN w:val="0"/>
              <w:adjustRightInd w:val="0"/>
              <w:rPr>
                <w:rFonts w:cs="Arial"/>
                <w:b/>
                <w:bCs/>
                <w:color w:val="000000"/>
                <w:sz w:val="20"/>
                <w:szCs w:val="20"/>
                <w:lang w:val="fr-FR"/>
              </w:rPr>
            </w:pPr>
            <w:proofErr w:type="spellStart"/>
            <w:r w:rsidRPr="00B01F0A">
              <w:rPr>
                <w:rFonts w:cs="Arial"/>
                <w:b/>
                <w:bCs/>
                <w:color w:val="000000"/>
                <w:sz w:val="20"/>
                <w:szCs w:val="20"/>
                <w:lang w:val="fr-FR"/>
              </w:rPr>
              <w:t>Sporophile</w:t>
            </w:r>
            <w:proofErr w:type="spellEnd"/>
            <w:r w:rsidRPr="00B01F0A">
              <w:rPr>
                <w:rFonts w:cs="Arial"/>
                <w:b/>
                <w:bCs/>
                <w:color w:val="000000"/>
                <w:sz w:val="20"/>
                <w:szCs w:val="20"/>
                <w:lang w:val="fr-FR"/>
              </w:rPr>
              <w:t xml:space="preserve"> noir et roux</w:t>
            </w:r>
          </w:p>
        </w:tc>
        <w:tc>
          <w:tcPr>
            <w:tcW w:w="2126" w:type="dxa"/>
            <w:shd w:val="clear" w:color="auto" w:fill="auto"/>
          </w:tcPr>
          <w:p w14:paraId="01A81E50"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Sporophila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nigrorufa</w:t>
            </w:r>
            <w:proofErr w:type="spellEnd"/>
          </w:p>
        </w:tc>
        <w:tc>
          <w:tcPr>
            <w:tcW w:w="1413" w:type="dxa"/>
            <w:shd w:val="clear" w:color="auto" w:fill="auto"/>
          </w:tcPr>
          <w:p w14:paraId="299F8C0D"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68CC8FE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intégrale : les lieux de reproduction et de non-reproduction occupés de façon fiable chaque saison ; les individus parcourent généralement 100 à 1 000 km mais sans direction constante. Répond aux critères de mouvement de la CMS.</w:t>
            </w:r>
          </w:p>
        </w:tc>
      </w:tr>
      <w:tr w:rsidR="00B01F0A" w:rsidRPr="00292E63" w14:paraId="6CBD8EAE" w14:textId="77777777" w:rsidTr="00B7394E">
        <w:trPr>
          <w:cantSplit/>
        </w:trPr>
        <w:tc>
          <w:tcPr>
            <w:tcW w:w="1731" w:type="dxa"/>
            <w:tcBorders>
              <w:bottom w:val="single" w:sz="4" w:space="0" w:color="auto"/>
            </w:tcBorders>
            <w:shd w:val="clear" w:color="auto" w:fill="auto"/>
          </w:tcPr>
          <w:p w14:paraId="13A25C19"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Thraupidae</w:t>
            </w:r>
          </w:p>
        </w:tc>
        <w:tc>
          <w:tcPr>
            <w:tcW w:w="1964" w:type="dxa"/>
            <w:tcBorders>
              <w:bottom w:val="single" w:sz="4" w:space="0" w:color="auto"/>
            </w:tcBorders>
            <w:shd w:val="clear" w:color="auto" w:fill="auto"/>
          </w:tcPr>
          <w:p w14:paraId="56B3E1DB" w14:textId="77777777" w:rsidR="00B01F0A" w:rsidRPr="00B01F0A" w:rsidRDefault="00B01F0A" w:rsidP="00B7394E">
            <w:pPr>
              <w:autoSpaceDE w:val="0"/>
              <w:autoSpaceDN w:val="0"/>
              <w:adjustRightInd w:val="0"/>
              <w:rPr>
                <w:rFonts w:cs="Arial"/>
                <w:b/>
                <w:bCs/>
                <w:color w:val="000000"/>
                <w:sz w:val="20"/>
                <w:szCs w:val="20"/>
                <w:lang w:val="fr-FR"/>
              </w:rPr>
            </w:pPr>
            <w:proofErr w:type="spellStart"/>
            <w:r w:rsidRPr="00B01F0A">
              <w:rPr>
                <w:rFonts w:cs="Arial"/>
                <w:b/>
                <w:bCs/>
                <w:color w:val="000000"/>
                <w:sz w:val="20"/>
                <w:szCs w:val="20"/>
                <w:lang w:val="fr-FR"/>
              </w:rPr>
              <w:t>Sporophile</w:t>
            </w:r>
            <w:proofErr w:type="spellEnd"/>
            <w:r w:rsidRPr="00B01F0A">
              <w:rPr>
                <w:rFonts w:cs="Arial"/>
                <w:b/>
                <w:bCs/>
                <w:color w:val="000000"/>
                <w:sz w:val="20"/>
                <w:szCs w:val="20"/>
                <w:lang w:val="fr-FR"/>
              </w:rPr>
              <w:t xml:space="preserve"> de l'</w:t>
            </w:r>
            <w:proofErr w:type="spellStart"/>
            <w:r w:rsidRPr="00B01F0A">
              <w:rPr>
                <w:rFonts w:cs="Arial"/>
                <w:b/>
                <w:bCs/>
                <w:color w:val="000000"/>
                <w:sz w:val="20"/>
                <w:szCs w:val="20"/>
                <w:lang w:val="fr-FR"/>
              </w:rPr>
              <w:t>Ibera</w:t>
            </w:r>
            <w:proofErr w:type="spellEnd"/>
          </w:p>
        </w:tc>
        <w:tc>
          <w:tcPr>
            <w:tcW w:w="2126" w:type="dxa"/>
            <w:tcBorders>
              <w:bottom w:val="single" w:sz="4" w:space="0" w:color="auto"/>
            </w:tcBorders>
            <w:shd w:val="clear" w:color="auto" w:fill="auto"/>
          </w:tcPr>
          <w:p w14:paraId="4DEC5FEE"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Sporophila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iberaensis</w:t>
            </w:r>
            <w:proofErr w:type="spellEnd"/>
          </w:p>
        </w:tc>
        <w:tc>
          <w:tcPr>
            <w:tcW w:w="1413" w:type="dxa"/>
            <w:tcBorders>
              <w:bottom w:val="single" w:sz="4" w:space="0" w:color="auto"/>
            </w:tcBorders>
            <w:shd w:val="clear" w:color="auto" w:fill="auto"/>
          </w:tcPr>
          <w:p w14:paraId="00291158"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tcBorders>
              <w:bottom w:val="single" w:sz="4" w:space="0" w:color="auto"/>
            </w:tcBorders>
            <w:shd w:val="clear" w:color="auto" w:fill="auto"/>
          </w:tcPr>
          <w:p w14:paraId="428B155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Habitudes de déplacement inconnues et pas d'analogues évidents. Répond aux critères de mouvement de la CMS.</w:t>
            </w:r>
          </w:p>
        </w:tc>
      </w:tr>
    </w:tbl>
    <w:p w14:paraId="3F1791A9" w14:textId="77777777" w:rsidR="00B01F0A" w:rsidRDefault="00B01F0A" w:rsidP="00B01F0A">
      <w:pPr>
        <w:suppressAutoHyphens/>
        <w:rPr>
          <w:rFonts w:eastAsia="Times New Roman" w:cs="Arial"/>
          <w:color w:val="000000"/>
          <w:kern w:val="2"/>
          <w:lang w:val="fr-FR"/>
        </w:rPr>
      </w:pPr>
    </w:p>
    <w:p w14:paraId="063BE254" w14:textId="77777777" w:rsidR="00B01F0A" w:rsidRDefault="00B01F0A" w:rsidP="00B01F0A">
      <w:pPr>
        <w:suppressAutoHyphens/>
        <w:rPr>
          <w:rFonts w:eastAsia="Times New Roman" w:cs="Arial"/>
          <w:color w:val="000000"/>
          <w:kern w:val="2"/>
          <w:lang w:val="fr-FR"/>
        </w:rPr>
        <w:sectPr w:rsidR="00B01F0A" w:rsidSect="0091417E">
          <w:headerReference w:type="even" r:id="rId19"/>
          <w:headerReference w:type="default" r:id="rId20"/>
          <w:headerReference w:type="first" r:id="rId21"/>
          <w:footerReference w:type="first" r:id="rId22"/>
          <w:pgSz w:w="16838" w:h="11906" w:orient="landscape" w:code="9"/>
          <w:pgMar w:top="1134" w:right="1134" w:bottom="1134" w:left="1134" w:header="720" w:footer="580" w:gutter="0"/>
          <w:cols w:space="720"/>
          <w:titlePg/>
          <w:docGrid w:linePitch="360"/>
        </w:sectPr>
      </w:pPr>
    </w:p>
    <w:p w14:paraId="18812E9A" w14:textId="77777777" w:rsidR="00B01F0A" w:rsidRPr="00CD0FE9" w:rsidRDefault="00B01F0A" w:rsidP="00B01F0A">
      <w:pPr>
        <w:jc w:val="right"/>
        <w:rPr>
          <w:rFonts w:cs="Arial"/>
          <w:b/>
          <w:bCs/>
          <w:caps/>
          <w:lang w:val="fr-FR"/>
        </w:rPr>
      </w:pPr>
      <w:r>
        <w:rPr>
          <w:rFonts w:cs="Arial"/>
          <w:b/>
          <w:caps/>
          <w:lang w:val="fr-FR"/>
        </w:rPr>
        <w:lastRenderedPageBreak/>
        <w:t>Annexe 2</w:t>
      </w:r>
    </w:p>
    <w:p w14:paraId="2EE58524" w14:textId="77777777" w:rsidR="00B01F0A" w:rsidRPr="00CD0FE9" w:rsidRDefault="00B01F0A" w:rsidP="00B01F0A">
      <w:pPr>
        <w:rPr>
          <w:rFonts w:cs="Arial"/>
          <w:lang w:val="fr-FR"/>
        </w:rPr>
      </w:pPr>
    </w:p>
    <w:p w14:paraId="36318817" w14:textId="250B984A" w:rsidR="00B01F0A" w:rsidRDefault="00B01F0A" w:rsidP="00B01F0A">
      <w:pPr>
        <w:jc w:val="center"/>
        <w:rPr>
          <w:rFonts w:cs="Arial"/>
          <w:lang w:val="fr-FR"/>
        </w:rPr>
      </w:pPr>
      <w:r>
        <w:rPr>
          <w:rFonts w:cs="Arial"/>
          <w:lang w:val="fr-FR"/>
        </w:rPr>
        <w:t>PROJET DE DÉCISION</w:t>
      </w:r>
      <w:r w:rsidR="00BF38CE">
        <w:rPr>
          <w:rFonts w:cs="Arial"/>
          <w:lang w:val="fr-FR"/>
        </w:rPr>
        <w:t>S</w:t>
      </w:r>
      <w:r>
        <w:rPr>
          <w:rFonts w:cs="Arial"/>
          <w:lang w:val="fr-FR"/>
        </w:rPr>
        <w:t xml:space="preserve"> </w:t>
      </w:r>
    </w:p>
    <w:p w14:paraId="253E998F" w14:textId="77777777" w:rsidR="00B01F0A" w:rsidRPr="00CD0FE9" w:rsidRDefault="00B01F0A" w:rsidP="00B01F0A">
      <w:pPr>
        <w:jc w:val="center"/>
        <w:rPr>
          <w:rFonts w:cs="Arial"/>
          <w:lang w:val="fr-FR"/>
        </w:rPr>
      </w:pPr>
    </w:p>
    <w:p w14:paraId="6D95D1C5" w14:textId="77777777" w:rsidR="00B01F0A" w:rsidRDefault="00B01F0A" w:rsidP="00B01F0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Pr>
          <w:rFonts w:eastAsia="Times New Roman" w:cs="Arial"/>
          <w:b/>
          <w:bCs/>
          <w:lang w:val="fr-FR"/>
        </w:rPr>
        <w:t>TAXONS AVIAIRES SUSCEPTIBLES D'INSCRIPTION</w:t>
      </w:r>
    </w:p>
    <w:p w14:paraId="279D7611" w14:textId="77777777" w:rsidR="00B01F0A" w:rsidRPr="00CD0FE9" w:rsidRDefault="00B01F0A" w:rsidP="00B01F0A">
      <w:pPr>
        <w:jc w:val="both"/>
        <w:rPr>
          <w:rFonts w:cs="Arial"/>
          <w:lang w:val="fr-FR"/>
        </w:rPr>
      </w:pPr>
    </w:p>
    <w:p w14:paraId="5EC73B9F" w14:textId="21113B66" w:rsidR="00B01F0A" w:rsidRPr="00CD0FE9" w:rsidRDefault="00B01F0A" w:rsidP="00B01F0A">
      <w:pPr>
        <w:jc w:val="both"/>
        <w:rPr>
          <w:rFonts w:cs="Arial"/>
          <w:b/>
          <w:i/>
          <w:lang w:val="fr-FR"/>
        </w:rPr>
      </w:pPr>
      <w:r>
        <w:rPr>
          <w:rFonts w:cs="Arial"/>
          <w:b/>
          <w:i/>
          <w:lang w:val="fr-FR"/>
        </w:rPr>
        <w:t xml:space="preserve">Décision adressée </w:t>
      </w:r>
      <w:r w:rsidR="00BF38CE">
        <w:rPr>
          <w:rFonts w:cs="Arial"/>
          <w:b/>
          <w:i/>
          <w:lang w:val="fr-FR"/>
        </w:rPr>
        <w:t xml:space="preserve">aux </w:t>
      </w:r>
      <w:r>
        <w:rPr>
          <w:rFonts w:cs="Arial"/>
          <w:b/>
          <w:i/>
          <w:lang w:val="fr-FR"/>
        </w:rPr>
        <w:t>Parties, organisations intergouvernementales et non gouvernementales</w:t>
      </w:r>
    </w:p>
    <w:p w14:paraId="1C472D9D" w14:textId="77777777" w:rsidR="00B01F0A" w:rsidRPr="00CD0FE9" w:rsidRDefault="00B01F0A" w:rsidP="00B01F0A">
      <w:pPr>
        <w:jc w:val="both"/>
        <w:rPr>
          <w:rFonts w:cs="Arial"/>
          <w:lang w:val="fr-FR"/>
        </w:rPr>
      </w:pPr>
    </w:p>
    <w:p w14:paraId="71AD9442" w14:textId="77777777" w:rsidR="00B01F0A" w:rsidRDefault="00B01F0A" w:rsidP="00B01F0A">
      <w:pPr>
        <w:ind w:left="851" w:hanging="851"/>
        <w:jc w:val="both"/>
        <w:rPr>
          <w:rFonts w:cs="Arial"/>
          <w:lang w:val="fr-FR"/>
        </w:rPr>
      </w:pPr>
      <w:r>
        <w:rPr>
          <w:rFonts w:cs="Arial"/>
          <w:lang w:val="fr-FR"/>
        </w:rPr>
        <w:t>14.BB</w:t>
      </w:r>
      <w:r>
        <w:rPr>
          <w:rFonts w:cs="Arial"/>
          <w:lang w:val="fr-FR"/>
        </w:rPr>
        <w:tab/>
        <w:t>Les Parties, les organisations intergouvernementales et non gouvernementales sont invitées à réfléchir à la possibilité de travailler conjointement à l'élaboration de propositions d'inscription conformément aux orientations de la Résolution 13.7, et d'actions concertées conformément aux orientations de la Résolution 12.28 (</w:t>
      </w:r>
      <w:proofErr w:type="spellStart"/>
      <w:r>
        <w:rPr>
          <w:rFonts w:cs="Arial"/>
          <w:lang w:val="fr-FR"/>
        </w:rPr>
        <w:t>Rev</w:t>
      </w:r>
      <w:proofErr w:type="spellEnd"/>
      <w:r>
        <w:rPr>
          <w:rFonts w:cs="Arial"/>
          <w:lang w:val="fr-FR"/>
        </w:rPr>
        <w:t>. COP13), pour les espèces inscrites à l'annexe 1 de la Résolution 14.xx, y compris en entreprenant toutes les consultations nécessaires avec les États de l'aire de répartition, et à soumettre ces propositions d'inscription et ces propositions d'actions concertées à l'examen de la 15</w:t>
      </w:r>
      <w:r>
        <w:rPr>
          <w:rFonts w:cs="Arial"/>
          <w:vertAlign w:val="superscript"/>
          <w:lang w:val="fr-FR"/>
        </w:rPr>
        <w:t>e</w:t>
      </w:r>
      <w:r>
        <w:rPr>
          <w:rFonts w:cs="Arial"/>
          <w:lang w:val="fr-FR"/>
        </w:rPr>
        <w:t xml:space="preserve"> session de la Conférence des Parties. </w:t>
      </w:r>
    </w:p>
    <w:p w14:paraId="2B1D98F8" w14:textId="2D207EF0" w:rsidR="00B01F0A" w:rsidRPr="00C761F0" w:rsidRDefault="00B01F0A" w:rsidP="00B01F0A">
      <w:pPr>
        <w:jc w:val="both"/>
        <w:rPr>
          <w:rFonts w:cs="Arial"/>
          <w:b/>
          <w:i/>
          <w:lang w:val="fr-FR"/>
        </w:rPr>
      </w:pPr>
    </w:p>
    <w:p w14:paraId="298238A3" w14:textId="77777777" w:rsidR="00B01F0A" w:rsidRDefault="00B01F0A" w:rsidP="00B01F0A">
      <w:pPr>
        <w:jc w:val="both"/>
        <w:rPr>
          <w:rFonts w:cs="Arial"/>
          <w:lang w:val="fr-FR"/>
        </w:rPr>
      </w:pPr>
    </w:p>
    <w:p w14:paraId="03C39731" w14:textId="0BEB5B2C" w:rsidR="00B01F0A" w:rsidRPr="00CD0FE9" w:rsidRDefault="00B01F0A" w:rsidP="00B01F0A">
      <w:pPr>
        <w:jc w:val="both"/>
        <w:rPr>
          <w:rFonts w:cs="Arial"/>
          <w:lang w:val="fr-FR"/>
        </w:rPr>
      </w:pPr>
      <w:r>
        <w:rPr>
          <w:rFonts w:cs="Arial"/>
          <w:b/>
          <w:i/>
          <w:lang w:val="fr-FR"/>
        </w:rPr>
        <w:t>Décision adressée</w:t>
      </w:r>
      <w:r w:rsidR="005952F3">
        <w:rPr>
          <w:rFonts w:cs="Arial"/>
          <w:b/>
          <w:i/>
          <w:lang w:val="fr-FR"/>
        </w:rPr>
        <w:t xml:space="preserve"> </w:t>
      </w:r>
      <w:r w:rsidR="00BF38CE">
        <w:rPr>
          <w:rFonts w:cs="Arial"/>
          <w:b/>
          <w:i/>
          <w:lang w:val="fr-FR"/>
        </w:rPr>
        <w:t xml:space="preserve">au </w:t>
      </w:r>
      <w:r>
        <w:rPr>
          <w:rFonts w:cs="Arial"/>
          <w:b/>
          <w:i/>
          <w:lang w:val="fr-FR"/>
        </w:rPr>
        <w:t xml:space="preserve">Conseil scientifique </w:t>
      </w:r>
    </w:p>
    <w:p w14:paraId="018BDB57" w14:textId="77777777" w:rsidR="00B01F0A" w:rsidRPr="00CD0FE9" w:rsidRDefault="00B01F0A" w:rsidP="00B01F0A">
      <w:pPr>
        <w:jc w:val="both"/>
        <w:rPr>
          <w:rFonts w:cs="Arial"/>
          <w:lang w:val="fr-FR"/>
        </w:rPr>
      </w:pPr>
    </w:p>
    <w:p w14:paraId="6D6A5658" w14:textId="77777777" w:rsidR="00B01F0A" w:rsidRPr="00CD0FE9" w:rsidRDefault="00B01F0A" w:rsidP="00B01F0A">
      <w:pPr>
        <w:ind w:left="851" w:hanging="851"/>
        <w:jc w:val="both"/>
        <w:rPr>
          <w:rFonts w:cs="Arial"/>
          <w:lang w:val="fr-FR"/>
        </w:rPr>
      </w:pPr>
      <w:r>
        <w:rPr>
          <w:rFonts w:cs="Arial"/>
          <w:lang w:val="fr-FR"/>
        </w:rPr>
        <w:t>14.DD</w:t>
      </w:r>
      <w:r>
        <w:rPr>
          <w:rFonts w:cs="Arial"/>
          <w:lang w:val="fr-FR"/>
        </w:rPr>
        <w:tab/>
        <w:t>Le Conseil scientifique, sous réserve de la disponibilité des ressources, est invité à :</w:t>
      </w:r>
    </w:p>
    <w:p w14:paraId="237F6196" w14:textId="77777777" w:rsidR="00B01F0A" w:rsidRPr="00CD0FE9" w:rsidRDefault="00B01F0A" w:rsidP="00B01F0A">
      <w:pPr>
        <w:ind w:left="720" w:hanging="720"/>
        <w:jc w:val="both"/>
        <w:rPr>
          <w:rFonts w:cs="Arial"/>
          <w:lang w:val="fr-FR"/>
        </w:rPr>
      </w:pPr>
    </w:p>
    <w:p w14:paraId="68CF80FF" w14:textId="77777777" w:rsidR="00B01F0A" w:rsidRPr="008A489C" w:rsidRDefault="00B01F0A" w:rsidP="00BF38CE">
      <w:pPr>
        <w:widowControl w:val="0"/>
        <w:numPr>
          <w:ilvl w:val="0"/>
          <w:numId w:val="7"/>
        </w:numPr>
        <w:autoSpaceDE w:val="0"/>
        <w:autoSpaceDN w:val="0"/>
        <w:adjustRightInd w:val="0"/>
        <w:ind w:left="1418" w:hanging="567"/>
        <w:jc w:val="both"/>
        <w:rPr>
          <w:rFonts w:cs="Arial"/>
          <w:lang w:val="fr-FR"/>
        </w:rPr>
      </w:pPr>
      <w:r>
        <w:rPr>
          <w:rFonts w:cs="Arial"/>
          <w:lang w:val="fr-FR"/>
        </w:rPr>
        <w:t>Examiner la liste des espèces figurant à l'annexe 1 de la Résolution 14.xx avant la COP15 et à présenter des propositions de révision ;</w:t>
      </w:r>
    </w:p>
    <w:p w14:paraId="7B9497BE" w14:textId="77777777" w:rsidR="00B01F0A" w:rsidRPr="008A489C" w:rsidRDefault="00B01F0A" w:rsidP="00B01F0A">
      <w:pPr>
        <w:widowControl w:val="0"/>
        <w:autoSpaceDE w:val="0"/>
        <w:autoSpaceDN w:val="0"/>
        <w:adjustRightInd w:val="0"/>
        <w:ind w:left="851"/>
        <w:jc w:val="both"/>
        <w:rPr>
          <w:rFonts w:cs="Arial"/>
          <w:lang w:val="fr-FR"/>
        </w:rPr>
      </w:pPr>
    </w:p>
    <w:p w14:paraId="0E8E3D73" w14:textId="1A490232" w:rsidR="00B01F0A" w:rsidRDefault="00B01F0A" w:rsidP="00BF38CE">
      <w:pPr>
        <w:widowControl w:val="0"/>
        <w:numPr>
          <w:ilvl w:val="0"/>
          <w:numId w:val="7"/>
        </w:numPr>
        <w:autoSpaceDE w:val="0"/>
        <w:autoSpaceDN w:val="0"/>
        <w:adjustRightInd w:val="0"/>
        <w:ind w:left="1418" w:hanging="567"/>
        <w:jc w:val="both"/>
        <w:rPr>
          <w:rFonts w:cs="Arial"/>
          <w:lang w:val="fr-FR"/>
        </w:rPr>
      </w:pPr>
      <w:r>
        <w:rPr>
          <w:rFonts w:cs="Arial"/>
          <w:lang w:val="fr-FR"/>
        </w:rPr>
        <w:t>Élaborer des listes équivalentes pour d'autres groupes taxonomiques en vue de leur adoption lors de la COP1</w:t>
      </w:r>
      <w:r w:rsidR="00143E95">
        <w:rPr>
          <w:rFonts w:cs="Arial"/>
          <w:lang w:val="fr-FR"/>
        </w:rPr>
        <w:t>5</w:t>
      </w:r>
      <w:r>
        <w:rPr>
          <w:rFonts w:cs="Arial"/>
          <w:lang w:val="fr-FR"/>
        </w:rPr>
        <w:t xml:space="preserve"> ;</w:t>
      </w:r>
    </w:p>
    <w:p w14:paraId="06A72822" w14:textId="77777777" w:rsidR="00143E95" w:rsidRDefault="00143E95" w:rsidP="00143E95">
      <w:pPr>
        <w:widowControl w:val="0"/>
        <w:autoSpaceDE w:val="0"/>
        <w:autoSpaceDN w:val="0"/>
        <w:adjustRightInd w:val="0"/>
        <w:ind w:left="1418"/>
        <w:jc w:val="both"/>
        <w:rPr>
          <w:rFonts w:cs="Arial"/>
          <w:lang w:val="fr-FR"/>
        </w:rPr>
      </w:pPr>
    </w:p>
    <w:p w14:paraId="7A510FF1" w14:textId="6A27F95B" w:rsidR="00143E95" w:rsidRDefault="00143E95" w:rsidP="00BF38CE">
      <w:pPr>
        <w:widowControl w:val="0"/>
        <w:numPr>
          <w:ilvl w:val="0"/>
          <w:numId w:val="7"/>
        </w:numPr>
        <w:autoSpaceDE w:val="0"/>
        <w:autoSpaceDN w:val="0"/>
        <w:adjustRightInd w:val="0"/>
        <w:ind w:left="1418" w:hanging="567"/>
        <w:jc w:val="both"/>
        <w:rPr>
          <w:rFonts w:cs="Arial"/>
          <w:lang w:val="fr-FR"/>
        </w:rPr>
      </w:pPr>
      <w:r w:rsidRPr="00143E95">
        <w:rPr>
          <w:rFonts w:cs="Arial"/>
          <w:lang w:val="fr-FR"/>
        </w:rPr>
        <w:t>Conseiller sur les taxons aviaires prioritaires à inscrire aux Annexes I et/ou II de la CMS ;</w:t>
      </w:r>
    </w:p>
    <w:p w14:paraId="2F86B5B5" w14:textId="77777777" w:rsidR="00143E95" w:rsidRDefault="00143E95" w:rsidP="00143E95">
      <w:pPr>
        <w:widowControl w:val="0"/>
        <w:autoSpaceDE w:val="0"/>
        <w:autoSpaceDN w:val="0"/>
        <w:adjustRightInd w:val="0"/>
        <w:ind w:left="1418"/>
        <w:jc w:val="both"/>
        <w:rPr>
          <w:rFonts w:cs="Arial"/>
          <w:lang w:val="fr-FR"/>
        </w:rPr>
      </w:pPr>
    </w:p>
    <w:p w14:paraId="6B86156E" w14:textId="0CC293B3" w:rsidR="00143E95" w:rsidRPr="008A489C" w:rsidRDefault="00143E95" w:rsidP="00BF38CE">
      <w:pPr>
        <w:widowControl w:val="0"/>
        <w:numPr>
          <w:ilvl w:val="0"/>
          <w:numId w:val="7"/>
        </w:numPr>
        <w:autoSpaceDE w:val="0"/>
        <w:autoSpaceDN w:val="0"/>
        <w:adjustRightInd w:val="0"/>
        <w:ind w:left="1418" w:hanging="567"/>
        <w:jc w:val="both"/>
        <w:rPr>
          <w:rFonts w:cs="Arial"/>
          <w:lang w:val="fr-FR"/>
        </w:rPr>
      </w:pPr>
      <w:r w:rsidRPr="00143E95">
        <w:rPr>
          <w:rFonts w:cs="Arial"/>
          <w:lang w:val="fr-FR"/>
        </w:rPr>
        <w:t>Conseiller les Parties sur une approche stratégique visant à maximiser la conservation des taxons aviaires prioritaires ;</w:t>
      </w:r>
    </w:p>
    <w:p w14:paraId="01D82E23" w14:textId="77777777" w:rsidR="00B01F0A" w:rsidRPr="008A489C" w:rsidRDefault="00B01F0A" w:rsidP="00B01F0A">
      <w:pPr>
        <w:ind w:left="1418" w:hanging="567"/>
        <w:jc w:val="both"/>
        <w:rPr>
          <w:rFonts w:cs="Arial"/>
          <w:lang w:val="fr-FR"/>
        </w:rPr>
      </w:pPr>
    </w:p>
    <w:p w14:paraId="5D6EA185" w14:textId="797CE791" w:rsidR="00B01F0A" w:rsidRPr="00CD0FE9" w:rsidRDefault="00B01F0A" w:rsidP="00BF38CE">
      <w:pPr>
        <w:widowControl w:val="0"/>
        <w:numPr>
          <w:ilvl w:val="0"/>
          <w:numId w:val="7"/>
        </w:numPr>
        <w:autoSpaceDE w:val="0"/>
        <w:autoSpaceDN w:val="0"/>
        <w:adjustRightInd w:val="0"/>
        <w:ind w:left="1418" w:hanging="567"/>
        <w:jc w:val="both"/>
        <w:rPr>
          <w:rFonts w:cs="Arial"/>
          <w:lang w:val="fr-FR"/>
        </w:rPr>
      </w:pPr>
      <w:r>
        <w:rPr>
          <w:rFonts w:cs="Arial"/>
          <w:lang w:val="fr-FR"/>
        </w:rPr>
        <w:t>Rendre compte des progrès accomplis dans la mise en œuvre de la présente décision lors de la 15</w:t>
      </w:r>
      <w:r>
        <w:rPr>
          <w:rFonts w:cs="Arial"/>
          <w:vertAlign w:val="superscript"/>
          <w:lang w:val="fr-FR"/>
        </w:rPr>
        <w:t>e</w:t>
      </w:r>
      <w:r>
        <w:rPr>
          <w:rFonts w:cs="Arial"/>
          <w:lang w:val="fr-FR"/>
        </w:rPr>
        <w:t xml:space="preserve"> </w:t>
      </w:r>
      <w:r w:rsidR="00143E95">
        <w:rPr>
          <w:rFonts w:cs="Arial"/>
          <w:lang w:val="fr-FR"/>
        </w:rPr>
        <w:t>réunion</w:t>
      </w:r>
      <w:r>
        <w:rPr>
          <w:rFonts w:cs="Arial"/>
          <w:lang w:val="fr-FR"/>
        </w:rPr>
        <w:t xml:space="preserve"> de la Conférence des Parties. </w:t>
      </w:r>
    </w:p>
    <w:p w14:paraId="78375CFB" w14:textId="77777777" w:rsidR="00B01F0A" w:rsidRDefault="00B01F0A" w:rsidP="00B01F0A">
      <w:pPr>
        <w:jc w:val="both"/>
        <w:rPr>
          <w:rFonts w:cs="Arial"/>
          <w:b/>
          <w:i/>
          <w:lang w:val="fr-FR"/>
        </w:rPr>
      </w:pPr>
    </w:p>
    <w:p w14:paraId="7EF70F14" w14:textId="77777777" w:rsidR="00B01F0A" w:rsidRPr="00DD07FD" w:rsidRDefault="00B01F0A" w:rsidP="00B01F0A">
      <w:pPr>
        <w:pStyle w:val="Secondnumbering"/>
        <w:numPr>
          <w:ilvl w:val="0"/>
          <w:numId w:val="0"/>
        </w:numPr>
        <w:rPr>
          <w:lang w:val="fr-FR"/>
        </w:rPr>
      </w:pPr>
    </w:p>
    <w:p w14:paraId="3E0B41F8" w14:textId="77777777" w:rsidR="00B01F0A" w:rsidRPr="00EB2EEE" w:rsidRDefault="00B01F0A" w:rsidP="00693EE8">
      <w:pPr>
        <w:pStyle w:val="Firstnumbering"/>
        <w:numPr>
          <w:ilvl w:val="0"/>
          <w:numId w:val="0"/>
        </w:numPr>
      </w:pPr>
    </w:p>
    <w:sectPr w:rsidR="00B01F0A" w:rsidRPr="00EB2EEE" w:rsidSect="00C91BF2">
      <w:headerReference w:type="first" r:id="rId23"/>
      <w:pgSz w:w="11906" w:h="16838" w:code="9"/>
      <w:pgMar w:top="1134" w:right="1134" w:bottom="1134" w:left="1134" w:header="720" w:footer="5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3280" w14:textId="77777777" w:rsidR="004C5081" w:rsidRDefault="004C5081" w:rsidP="008562CA">
      <w:r>
        <w:separator/>
      </w:r>
    </w:p>
  </w:endnote>
  <w:endnote w:type="continuationSeparator" w:id="0">
    <w:p w14:paraId="452B0DC3" w14:textId="77777777" w:rsidR="004C5081" w:rsidRDefault="004C5081" w:rsidP="0085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98498365"/>
      <w:docPartObj>
        <w:docPartGallery w:val="Page Numbers (Bottom of Page)"/>
        <w:docPartUnique/>
      </w:docPartObj>
    </w:sdtPr>
    <w:sdtEndPr>
      <w:rPr>
        <w:noProof/>
      </w:rPr>
    </w:sdtEndPr>
    <w:sdtContent>
      <w:p w14:paraId="473D98A1"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B87AAF">
          <w:rPr>
            <w:noProof/>
            <w:sz w:val="18"/>
            <w:szCs w:val="18"/>
          </w:rPr>
          <w:t>2</w:t>
        </w:r>
        <w:r w:rsidRPr="001F56E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50654989"/>
      <w:docPartObj>
        <w:docPartGallery w:val="Page Numbers (Bottom of Page)"/>
        <w:docPartUnique/>
      </w:docPartObj>
    </w:sdtPr>
    <w:sdtEndPr>
      <w:rPr>
        <w:noProof/>
      </w:rPr>
    </w:sdtEndPr>
    <w:sdtContent>
      <w:p w14:paraId="451613BD"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B87AAF">
          <w:rPr>
            <w:noProof/>
            <w:sz w:val="18"/>
            <w:szCs w:val="18"/>
          </w:rPr>
          <w:t>3</w:t>
        </w:r>
        <w:r w:rsidRPr="001F56E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712380"/>
      <w:docPartObj>
        <w:docPartGallery w:val="Page Numbers (Bottom of Page)"/>
        <w:docPartUnique/>
      </w:docPartObj>
    </w:sdtPr>
    <w:sdtEndPr>
      <w:rPr>
        <w:noProof/>
      </w:rPr>
    </w:sdtEndPr>
    <w:sdtContent>
      <w:p w14:paraId="648F05C1" w14:textId="375F9D19" w:rsidR="00B01F0A" w:rsidRDefault="00B01F0A" w:rsidP="00B01F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1628216"/>
      <w:docPartObj>
        <w:docPartGallery w:val="Page Numbers (Bottom of Page)"/>
        <w:docPartUnique/>
      </w:docPartObj>
    </w:sdtPr>
    <w:sdtEndPr>
      <w:rPr>
        <w:noProof/>
      </w:rPr>
    </w:sdtEndPr>
    <w:sdtContent>
      <w:p w14:paraId="0F47C3FE" w14:textId="0E0B7499" w:rsidR="00B01F0A" w:rsidRPr="00B01F0A" w:rsidRDefault="00B01F0A" w:rsidP="00B01F0A">
        <w:pPr>
          <w:pStyle w:val="Footer"/>
          <w:jc w:val="center"/>
          <w:rPr>
            <w:sz w:val="18"/>
            <w:szCs w:val="18"/>
          </w:rPr>
        </w:pPr>
        <w:r w:rsidRPr="00B01F0A">
          <w:rPr>
            <w:sz w:val="18"/>
            <w:szCs w:val="18"/>
          </w:rPr>
          <w:fldChar w:fldCharType="begin"/>
        </w:r>
        <w:r w:rsidRPr="00B01F0A">
          <w:rPr>
            <w:sz w:val="18"/>
            <w:szCs w:val="18"/>
          </w:rPr>
          <w:instrText xml:space="preserve"> PAGE   \* MERGEFORMAT </w:instrText>
        </w:r>
        <w:r w:rsidRPr="00B01F0A">
          <w:rPr>
            <w:sz w:val="18"/>
            <w:szCs w:val="18"/>
          </w:rPr>
          <w:fldChar w:fldCharType="separate"/>
        </w:r>
        <w:r w:rsidRPr="00B01F0A">
          <w:rPr>
            <w:noProof/>
            <w:sz w:val="18"/>
            <w:szCs w:val="18"/>
          </w:rPr>
          <w:t>2</w:t>
        </w:r>
        <w:r w:rsidRPr="00B01F0A">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D999" w14:textId="77777777" w:rsidR="004C5081" w:rsidRDefault="004C5081" w:rsidP="008562CA">
      <w:r>
        <w:separator/>
      </w:r>
    </w:p>
  </w:footnote>
  <w:footnote w:type="continuationSeparator" w:id="0">
    <w:p w14:paraId="2EF08EBC" w14:textId="77777777" w:rsidR="004C5081" w:rsidRDefault="004C5081" w:rsidP="0085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B2C8" w14:textId="72937EA5" w:rsidR="00A80B97" w:rsidRPr="00A80B97" w:rsidRDefault="00A80B97" w:rsidP="00A80B97">
    <w:pPr>
      <w:pBdr>
        <w:bottom w:val="single" w:sz="4" w:space="1" w:color="auto"/>
      </w:pBdr>
      <w:rPr>
        <w:rFonts w:cs="Arial"/>
        <w:i/>
        <w:iCs/>
        <w:sz w:val="18"/>
        <w:szCs w:val="18"/>
        <w:lang w:val="fr-FR"/>
      </w:rPr>
    </w:pPr>
    <w:r w:rsidRPr="00A80B97">
      <w:rPr>
        <w:rFonts w:cs="Arial"/>
        <w:i/>
        <w:iCs/>
        <w:sz w:val="18"/>
        <w:szCs w:val="18"/>
        <w:lang w:val="fr-FR"/>
      </w:rPr>
      <w:t>UNEP/CMS/</w:t>
    </w:r>
    <w:r w:rsidR="00292E63">
      <w:rPr>
        <w:rFonts w:cs="Arial"/>
        <w:i/>
        <w:iCs/>
        <w:sz w:val="18"/>
        <w:szCs w:val="18"/>
        <w:lang w:val="fr-FR"/>
      </w:rPr>
      <w:t>COP14/Doc.31.3</w:t>
    </w:r>
  </w:p>
  <w:p w14:paraId="147C998D" w14:textId="77777777" w:rsidR="00A80B97" w:rsidRDefault="00A80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983F" w14:textId="77777777" w:rsidR="004524C2" w:rsidRPr="00A80B97" w:rsidRDefault="004524C2" w:rsidP="004524C2">
    <w:pPr>
      <w:pBdr>
        <w:bottom w:val="single" w:sz="4" w:space="1" w:color="auto"/>
      </w:pBdr>
      <w:jc w:val="right"/>
      <w:rPr>
        <w:rFonts w:cs="Arial"/>
        <w:i/>
        <w:iCs/>
        <w:sz w:val="18"/>
        <w:szCs w:val="18"/>
        <w:lang w:val="fr-FR"/>
      </w:rPr>
    </w:pPr>
    <w:r w:rsidRPr="00A80B97">
      <w:rPr>
        <w:rFonts w:cs="Arial"/>
        <w:i/>
        <w:iCs/>
        <w:sz w:val="18"/>
        <w:szCs w:val="18"/>
        <w:lang w:val="fr-FR"/>
      </w:rPr>
      <w:t>UNEP/CMS/</w:t>
    </w:r>
    <w:r>
      <w:rPr>
        <w:rFonts w:cs="Arial"/>
        <w:i/>
        <w:iCs/>
        <w:sz w:val="18"/>
        <w:szCs w:val="18"/>
        <w:lang w:val="fr-FR"/>
      </w:rPr>
      <w:t>COP14/Doc.31.3</w:t>
    </w:r>
  </w:p>
  <w:p w14:paraId="01494C2A" w14:textId="77777777" w:rsidR="00A80B97" w:rsidRDefault="00A80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BF3C" w14:textId="77777777" w:rsidR="00292E63" w:rsidRPr="00EC2A58" w:rsidRDefault="00292E63" w:rsidP="00292E63">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0288" behindDoc="0" locked="0" layoutInCell="1" allowOverlap="1" wp14:anchorId="1AD644C1" wp14:editId="29185F6E">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Pr="00EC2A58">
      <w:rPr>
        <w:rFonts w:eastAsia="Times New Roman" w:cs="Times New Roman"/>
        <w:noProof/>
        <w:sz w:val="18"/>
        <w:szCs w:val="20"/>
      </w:rPr>
      <w:drawing>
        <wp:anchor distT="0" distB="0" distL="114300" distR="114300" simplePos="0" relativeHeight="251656192" behindDoc="0" locked="0" layoutInCell="1" allowOverlap="1" wp14:anchorId="2711C518" wp14:editId="6FC30428">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80" name="Picture 2" descr="A black and white logo&#10;&#10;Description automatically generated"/>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Pr="00EC2A58">
      <w:rPr>
        <w:rFonts w:eastAsia="Times New Roman" w:cs="Times New Roman"/>
        <w:noProof/>
        <w:sz w:val="4"/>
        <w:szCs w:val="4"/>
        <w:lang w:val="en-GB"/>
      </w:rPr>
      <w:drawing>
        <wp:anchor distT="0" distB="0" distL="114300" distR="114300" simplePos="0" relativeHeight="251658240" behindDoc="0" locked="0" layoutInCell="1" allowOverlap="1" wp14:anchorId="27835597" wp14:editId="74773A6C">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2ED818D9" w14:textId="77777777" w:rsidR="001F56E8" w:rsidRPr="00EB2EEE" w:rsidRDefault="001F56E8" w:rsidP="00EB2E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ECEA" w14:textId="08DEF3B9" w:rsidR="004524C2" w:rsidRPr="004524C2" w:rsidRDefault="004524C2" w:rsidP="004524C2">
    <w:pPr>
      <w:pBdr>
        <w:bottom w:val="single" w:sz="4" w:space="1" w:color="auto"/>
      </w:pBdr>
      <w:rPr>
        <w:rFonts w:cs="Arial"/>
        <w:i/>
        <w:iCs/>
        <w:sz w:val="18"/>
        <w:szCs w:val="18"/>
      </w:rPr>
    </w:pPr>
    <w:r w:rsidRPr="004524C2">
      <w:rPr>
        <w:rFonts w:cs="Arial"/>
        <w:i/>
        <w:iCs/>
        <w:sz w:val="18"/>
        <w:szCs w:val="18"/>
      </w:rPr>
      <w:t>UNEP/CMS/COP14/Doc.31.3</w:t>
    </w:r>
    <w:r w:rsidRPr="004524C2">
      <w:rPr>
        <w:rFonts w:cs="Arial"/>
        <w:i/>
        <w:iCs/>
        <w:sz w:val="18"/>
        <w:szCs w:val="18"/>
      </w:rPr>
      <w:t>/</w:t>
    </w:r>
    <w:proofErr w:type="spellStart"/>
    <w:r w:rsidRPr="004524C2">
      <w:rPr>
        <w:rFonts w:cs="Arial"/>
        <w:i/>
        <w:iCs/>
        <w:sz w:val="18"/>
        <w:szCs w:val="18"/>
      </w:rPr>
      <w:t>An</w:t>
    </w:r>
    <w:r>
      <w:rPr>
        <w:rFonts w:cs="Arial"/>
        <w:i/>
        <w:iCs/>
        <w:sz w:val="18"/>
        <w:szCs w:val="18"/>
      </w:rPr>
      <w:t>nexe</w:t>
    </w:r>
    <w:proofErr w:type="spellEnd"/>
    <w:r>
      <w:rPr>
        <w:rFonts w:cs="Arial"/>
        <w:i/>
        <w:iCs/>
        <w:sz w:val="18"/>
        <w:szCs w:val="18"/>
      </w:rPr>
      <w:t xml:space="preserve"> 1</w:t>
    </w:r>
  </w:p>
  <w:p w14:paraId="7FF2734C" w14:textId="77777777" w:rsidR="00B01F0A" w:rsidRPr="00EB2EEE" w:rsidRDefault="00B01F0A" w:rsidP="00EB2E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71FB" w14:textId="77777777" w:rsidR="003531DB" w:rsidRPr="004524C2" w:rsidRDefault="003531DB" w:rsidP="003531DB">
    <w:pPr>
      <w:pBdr>
        <w:bottom w:val="single" w:sz="4" w:space="1" w:color="auto"/>
      </w:pBdr>
      <w:rPr>
        <w:rFonts w:cs="Arial"/>
        <w:i/>
        <w:iCs/>
        <w:sz w:val="18"/>
        <w:szCs w:val="18"/>
      </w:rPr>
    </w:pPr>
    <w:r w:rsidRPr="004524C2">
      <w:rPr>
        <w:rFonts w:cs="Arial"/>
        <w:i/>
        <w:iCs/>
        <w:sz w:val="18"/>
        <w:szCs w:val="18"/>
      </w:rPr>
      <w:t>UNEP/CMS/COP14/Doc.31.3/</w:t>
    </w:r>
    <w:proofErr w:type="spellStart"/>
    <w:r w:rsidRPr="004524C2">
      <w:rPr>
        <w:rFonts w:cs="Arial"/>
        <w:i/>
        <w:iCs/>
        <w:sz w:val="18"/>
        <w:szCs w:val="18"/>
      </w:rPr>
      <w:t>An</w:t>
    </w:r>
    <w:r>
      <w:rPr>
        <w:rFonts w:cs="Arial"/>
        <w:i/>
        <w:iCs/>
        <w:sz w:val="18"/>
        <w:szCs w:val="18"/>
      </w:rPr>
      <w:t>nexe</w:t>
    </w:r>
    <w:proofErr w:type="spellEnd"/>
    <w:r>
      <w:rPr>
        <w:rFonts w:cs="Arial"/>
        <w:i/>
        <w:iCs/>
        <w:sz w:val="18"/>
        <w:szCs w:val="18"/>
      </w:rPr>
      <w:t xml:space="preserve"> 1</w:t>
    </w:r>
  </w:p>
  <w:p w14:paraId="7A6D52AA" w14:textId="77777777" w:rsidR="00B01F0A" w:rsidRDefault="00B01F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C623" w14:textId="77777777" w:rsidR="003531DB" w:rsidRPr="004524C2" w:rsidRDefault="003531DB" w:rsidP="003531DB">
    <w:pPr>
      <w:pBdr>
        <w:bottom w:val="single" w:sz="4" w:space="1" w:color="auto"/>
      </w:pBdr>
      <w:jc w:val="right"/>
      <w:rPr>
        <w:rFonts w:cs="Arial"/>
        <w:i/>
        <w:iCs/>
        <w:sz w:val="18"/>
        <w:szCs w:val="18"/>
      </w:rPr>
    </w:pPr>
    <w:r w:rsidRPr="004524C2">
      <w:rPr>
        <w:rFonts w:cs="Arial"/>
        <w:i/>
        <w:iCs/>
        <w:sz w:val="18"/>
        <w:szCs w:val="18"/>
      </w:rPr>
      <w:t>UNEP/CMS/COP14/Doc.31.3/</w:t>
    </w:r>
    <w:proofErr w:type="spellStart"/>
    <w:r w:rsidRPr="004524C2">
      <w:rPr>
        <w:rFonts w:cs="Arial"/>
        <w:i/>
        <w:iCs/>
        <w:sz w:val="18"/>
        <w:szCs w:val="18"/>
      </w:rPr>
      <w:t>An</w:t>
    </w:r>
    <w:r>
      <w:rPr>
        <w:rFonts w:cs="Arial"/>
        <w:i/>
        <w:iCs/>
        <w:sz w:val="18"/>
        <w:szCs w:val="18"/>
      </w:rPr>
      <w:t>nexe</w:t>
    </w:r>
    <w:proofErr w:type="spellEnd"/>
    <w:r>
      <w:rPr>
        <w:rFonts w:cs="Arial"/>
        <w:i/>
        <w:iCs/>
        <w:sz w:val="18"/>
        <w:szCs w:val="18"/>
      </w:rPr>
      <w:t xml:space="preserve"> 1</w:t>
    </w:r>
  </w:p>
  <w:p w14:paraId="752ED841" w14:textId="77777777" w:rsidR="00B01F0A" w:rsidRDefault="00B01F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B344" w14:textId="77777777" w:rsidR="003531DB" w:rsidRPr="004524C2" w:rsidRDefault="003531DB" w:rsidP="003531DB">
    <w:pPr>
      <w:pBdr>
        <w:bottom w:val="single" w:sz="4" w:space="1" w:color="auto"/>
      </w:pBdr>
      <w:jc w:val="right"/>
      <w:rPr>
        <w:rFonts w:cs="Arial"/>
        <w:i/>
        <w:iCs/>
        <w:sz w:val="18"/>
        <w:szCs w:val="18"/>
      </w:rPr>
    </w:pPr>
    <w:r w:rsidRPr="004524C2">
      <w:rPr>
        <w:rFonts w:cs="Arial"/>
        <w:i/>
        <w:iCs/>
        <w:sz w:val="18"/>
        <w:szCs w:val="18"/>
      </w:rPr>
      <w:t>UNEP/CMS/COP14/Doc.31.3/</w:t>
    </w:r>
    <w:proofErr w:type="spellStart"/>
    <w:r w:rsidRPr="004524C2">
      <w:rPr>
        <w:rFonts w:cs="Arial"/>
        <w:i/>
        <w:iCs/>
        <w:sz w:val="18"/>
        <w:szCs w:val="18"/>
      </w:rPr>
      <w:t>An</w:t>
    </w:r>
    <w:r>
      <w:rPr>
        <w:rFonts w:cs="Arial"/>
        <w:i/>
        <w:iCs/>
        <w:sz w:val="18"/>
        <w:szCs w:val="18"/>
      </w:rPr>
      <w:t>nexe</w:t>
    </w:r>
    <w:proofErr w:type="spellEnd"/>
    <w:r>
      <w:rPr>
        <w:rFonts w:cs="Arial"/>
        <w:i/>
        <w:iCs/>
        <w:sz w:val="18"/>
        <w:szCs w:val="18"/>
      </w:rPr>
      <w:t xml:space="preserve"> 1</w:t>
    </w:r>
  </w:p>
  <w:p w14:paraId="5B2A03D5" w14:textId="77777777" w:rsidR="00B01F0A" w:rsidRPr="00EB2EEE" w:rsidRDefault="00B01F0A" w:rsidP="00EB2E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353C" w14:textId="50C87059" w:rsidR="00143E95" w:rsidRPr="004524C2" w:rsidRDefault="00143E95" w:rsidP="00143E95">
    <w:pPr>
      <w:pBdr>
        <w:bottom w:val="single" w:sz="4" w:space="1" w:color="auto"/>
      </w:pBdr>
      <w:jc w:val="right"/>
      <w:rPr>
        <w:rFonts w:cs="Arial"/>
        <w:i/>
        <w:iCs/>
        <w:sz w:val="18"/>
        <w:szCs w:val="18"/>
      </w:rPr>
    </w:pPr>
    <w:r w:rsidRPr="004524C2">
      <w:rPr>
        <w:rFonts w:cs="Arial"/>
        <w:i/>
        <w:iCs/>
        <w:sz w:val="18"/>
        <w:szCs w:val="18"/>
      </w:rPr>
      <w:t>UNEP/CMS/COP14/Doc.31.3/</w:t>
    </w:r>
    <w:proofErr w:type="spellStart"/>
    <w:r w:rsidRPr="004524C2">
      <w:rPr>
        <w:rFonts w:cs="Arial"/>
        <w:i/>
        <w:iCs/>
        <w:sz w:val="18"/>
        <w:szCs w:val="18"/>
      </w:rPr>
      <w:t>An</w:t>
    </w:r>
    <w:r>
      <w:rPr>
        <w:rFonts w:cs="Arial"/>
        <w:i/>
        <w:iCs/>
        <w:sz w:val="18"/>
        <w:szCs w:val="18"/>
      </w:rPr>
      <w:t>nexe</w:t>
    </w:r>
    <w:proofErr w:type="spellEnd"/>
    <w:r>
      <w:rPr>
        <w:rFonts w:cs="Arial"/>
        <w:i/>
        <w:iCs/>
        <w:sz w:val="18"/>
        <w:szCs w:val="18"/>
      </w:rPr>
      <w:t xml:space="preserve"> </w:t>
    </w:r>
    <w:r>
      <w:rPr>
        <w:rFonts w:cs="Arial"/>
        <w:i/>
        <w:iCs/>
        <w:sz w:val="18"/>
        <w:szCs w:val="18"/>
      </w:rPr>
      <w:t>2</w:t>
    </w:r>
  </w:p>
  <w:p w14:paraId="37E6397E" w14:textId="77777777" w:rsidR="00BF38CE" w:rsidRPr="00EB2EEE" w:rsidRDefault="00BF38CE" w:rsidP="00EB2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 w15:restartNumberingAfterBreak="0">
    <w:nsid w:val="21DC28CA"/>
    <w:multiLevelType w:val="hybridMultilevel"/>
    <w:tmpl w:val="8D98660A"/>
    <w:lvl w:ilvl="0" w:tplc="107CAEDA">
      <w:start w:val="1"/>
      <w:numFmt w:val="decimal"/>
      <w:pStyle w:val="Firstnumbering"/>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6"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62860731">
    <w:abstractNumId w:val="1"/>
  </w:num>
  <w:num w:numId="2" w16cid:durableId="683945338">
    <w:abstractNumId w:val="2"/>
  </w:num>
  <w:num w:numId="3" w16cid:durableId="153570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6619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1821874">
    <w:abstractNumId w:val="5"/>
  </w:num>
  <w:num w:numId="6" w16cid:durableId="1165164693">
    <w:abstractNumId w:val="0"/>
  </w:num>
  <w:num w:numId="7" w16cid:durableId="7427264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34F7E"/>
    <w:rsid w:val="000C2262"/>
    <w:rsid w:val="000C3BE1"/>
    <w:rsid w:val="000E21C8"/>
    <w:rsid w:val="000F7EFA"/>
    <w:rsid w:val="00101B1A"/>
    <w:rsid w:val="00143E95"/>
    <w:rsid w:val="00187427"/>
    <w:rsid w:val="001F56E8"/>
    <w:rsid w:val="00257D22"/>
    <w:rsid w:val="00292E63"/>
    <w:rsid w:val="002D2D30"/>
    <w:rsid w:val="003118AA"/>
    <w:rsid w:val="003531DB"/>
    <w:rsid w:val="003F719D"/>
    <w:rsid w:val="004007D4"/>
    <w:rsid w:val="00425228"/>
    <w:rsid w:val="004524C2"/>
    <w:rsid w:val="004C5081"/>
    <w:rsid w:val="005952F3"/>
    <w:rsid w:val="005A3B57"/>
    <w:rsid w:val="005E1A0D"/>
    <w:rsid w:val="006802BC"/>
    <w:rsid w:val="00693EE8"/>
    <w:rsid w:val="00763277"/>
    <w:rsid w:val="007E238D"/>
    <w:rsid w:val="007F110A"/>
    <w:rsid w:val="00814E23"/>
    <w:rsid w:val="00844F23"/>
    <w:rsid w:val="0084591C"/>
    <w:rsid w:val="008562CA"/>
    <w:rsid w:val="008A74F6"/>
    <w:rsid w:val="008D7252"/>
    <w:rsid w:val="00980D83"/>
    <w:rsid w:val="009A40F8"/>
    <w:rsid w:val="00A80B97"/>
    <w:rsid w:val="00AC383C"/>
    <w:rsid w:val="00B01F0A"/>
    <w:rsid w:val="00B129AE"/>
    <w:rsid w:val="00B36C20"/>
    <w:rsid w:val="00B87AAF"/>
    <w:rsid w:val="00BB3F80"/>
    <w:rsid w:val="00BE7C6B"/>
    <w:rsid w:val="00BF38CE"/>
    <w:rsid w:val="00C35641"/>
    <w:rsid w:val="00D61D7E"/>
    <w:rsid w:val="00E35C94"/>
    <w:rsid w:val="00E87BC8"/>
    <w:rsid w:val="00E976CE"/>
    <w:rsid w:val="00EB2EEE"/>
    <w:rsid w:val="00F01E83"/>
    <w:rsid w:val="00F221E7"/>
    <w:rsid w:val="00F4206A"/>
    <w:rsid w:val="00FE1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52ADC"/>
  <w15:chartTrackingRefBased/>
  <w15:docId w15:val="{D41BF028-2F4A-4700-B104-EBACA3D3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paragraph" w:styleId="Heading2">
    <w:name w:val="heading 2"/>
    <w:basedOn w:val="Normal"/>
    <w:next w:val="Normal"/>
    <w:link w:val="Heading2Char"/>
    <w:qFormat/>
    <w:rsid w:val="00B01F0A"/>
    <w:pPr>
      <w:keepNext/>
      <w:widowControl w:val="0"/>
      <w:tabs>
        <w:tab w:val="left" w:pos="-720"/>
        <w:tab w:val="left" w:pos="310"/>
        <w:tab w:val="left" w:pos="835"/>
      </w:tabs>
      <w:jc w:val="center"/>
      <w:outlineLvl w:val="1"/>
    </w:pPr>
    <w:rPr>
      <w:rFonts w:ascii="Times New Roman" w:eastAsia="Times New Roman" w:hAnsi="Times New Roman" w:cs="Times New Roman"/>
      <w:b/>
      <w:bCs/>
      <w:snapToGrid w:val="0"/>
      <w:szCs w:val="20"/>
      <w:lang w:val="en-GB"/>
    </w:rPr>
  </w:style>
  <w:style w:type="paragraph" w:styleId="Heading4">
    <w:name w:val="heading 4"/>
    <w:basedOn w:val="Normal"/>
    <w:next w:val="Normal"/>
    <w:link w:val="Heading4Char"/>
    <w:qFormat/>
    <w:rsid w:val="00B01F0A"/>
    <w:pPr>
      <w:keepNext/>
      <w:widowControl w:val="0"/>
      <w:outlineLvl w:val="3"/>
    </w:pPr>
    <w:rPr>
      <w:rFonts w:ascii="Times New Roman" w:eastAsia="Times New Roman" w:hAnsi="Times New Roman" w:cs="Times New Roman"/>
      <w:b/>
      <w:bCs/>
      <w:snapToGrid w:val="0"/>
      <w:sz w:val="24"/>
      <w:szCs w:val="20"/>
      <w:lang w:val="en-GB"/>
    </w:rPr>
  </w:style>
  <w:style w:type="paragraph" w:styleId="Heading5">
    <w:name w:val="heading 5"/>
    <w:basedOn w:val="Normal"/>
    <w:next w:val="Normal"/>
    <w:link w:val="Heading5Char"/>
    <w:qFormat/>
    <w:rsid w:val="00B01F0A"/>
    <w:pPr>
      <w:keepNext/>
      <w:widowControl w:val="0"/>
      <w:jc w:val="both"/>
      <w:outlineLvl w:val="4"/>
    </w:pPr>
    <w:rPr>
      <w:rFonts w:ascii="Times New Roman" w:eastAsia="Times New Roman" w:hAnsi="Times New Roman" w:cs="Times New Roman"/>
      <w:i/>
      <w:iCs/>
      <w:snapToGrid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paragraph" w:customStyle="1" w:styleId="Firstnumbering">
    <w:name w:val="First numbering"/>
    <w:basedOn w:val="ListParagraph"/>
    <w:link w:val="FirstnumberingChar"/>
    <w:qFormat/>
    <w:rsid w:val="00A80B97"/>
    <w:pPr>
      <w:numPr>
        <w:numId w:val="1"/>
      </w:numPr>
      <w:ind w:left="567" w:hanging="567"/>
      <w:jc w:val="both"/>
    </w:pPr>
    <w:rPr>
      <w:rFonts w:eastAsia="Times New Roman" w:cs="Arial"/>
      <w:sz w:val="24"/>
      <w:szCs w:val="24"/>
      <w:lang w:val="fr-FR"/>
    </w:rPr>
  </w:style>
  <w:style w:type="character" w:customStyle="1" w:styleId="FirstnumberingChar">
    <w:name w:val="First numbering Char"/>
    <w:basedOn w:val="DefaultParagraphFont"/>
    <w:link w:val="Firstnumbering"/>
    <w:rsid w:val="00A80B97"/>
    <w:rPr>
      <w:rFonts w:ascii="Arial" w:eastAsia="Times New Roman" w:hAnsi="Arial" w:cs="Arial"/>
      <w:sz w:val="24"/>
      <w:szCs w:val="24"/>
      <w:lang w:val="fr-FR"/>
    </w:rPr>
  </w:style>
  <w:style w:type="paragraph" w:styleId="ListParagraph">
    <w:name w:val="List Paragraph"/>
    <w:basedOn w:val="Normal"/>
    <w:link w:val="ListParagraphChar"/>
    <w:uiPriority w:val="34"/>
    <w:qFormat/>
    <w:rsid w:val="00A80B97"/>
    <w:pPr>
      <w:ind w:left="720"/>
      <w:contextualSpacing/>
    </w:pPr>
  </w:style>
  <w:style w:type="paragraph" w:customStyle="1" w:styleId="paragraph">
    <w:name w:val="paragraph"/>
    <w:basedOn w:val="Normal"/>
    <w:rsid w:val="00814E23"/>
    <w:pPr>
      <w:spacing w:before="100" w:beforeAutospacing="1" w:after="100" w:afterAutospacing="1"/>
    </w:pPr>
    <w:rPr>
      <w:rFonts w:ascii="Times New Roman" w:eastAsia="Times New Roman" w:hAnsi="Times New Roman" w:cs="Times New Roman"/>
      <w:sz w:val="24"/>
      <w:szCs w:val="24"/>
      <w:lang w:val="en-DE" w:eastAsia="en-DE"/>
    </w:rPr>
  </w:style>
  <w:style w:type="character" w:customStyle="1" w:styleId="normaltextrun">
    <w:name w:val="normaltextrun"/>
    <w:basedOn w:val="DefaultParagraphFont"/>
    <w:rsid w:val="00814E23"/>
  </w:style>
  <w:style w:type="character" w:customStyle="1" w:styleId="eop">
    <w:name w:val="eop"/>
    <w:basedOn w:val="DefaultParagraphFont"/>
    <w:rsid w:val="00814E23"/>
  </w:style>
  <w:style w:type="character" w:styleId="Hyperlink">
    <w:name w:val="Hyperlink"/>
    <w:uiPriority w:val="99"/>
    <w:rsid w:val="00B01F0A"/>
    <w:rPr>
      <w:color w:val="0000FF"/>
      <w:u w:val="single"/>
    </w:rPr>
  </w:style>
  <w:style w:type="character" w:customStyle="1" w:styleId="ListParagraphChar">
    <w:name w:val="List Paragraph Char"/>
    <w:link w:val="ListParagraph"/>
    <w:uiPriority w:val="34"/>
    <w:locked/>
    <w:rsid w:val="00B01F0A"/>
    <w:rPr>
      <w:rFonts w:ascii="Arial" w:hAnsi="Arial"/>
    </w:rPr>
  </w:style>
  <w:style w:type="paragraph" w:customStyle="1" w:styleId="Secondnumbering">
    <w:name w:val="Second numbering"/>
    <w:basedOn w:val="Firstnumbering"/>
    <w:link w:val="SecondnumberingChar"/>
    <w:qFormat/>
    <w:rsid w:val="00B01F0A"/>
    <w:pPr>
      <w:numPr>
        <w:numId w:val="2"/>
      </w:numPr>
      <w:ind w:left="1134" w:hanging="283"/>
      <w:contextualSpacing w:val="0"/>
      <w:jc w:val="left"/>
    </w:pPr>
    <w:rPr>
      <w:szCs w:val="20"/>
      <w:lang w:val="en-GB"/>
    </w:rPr>
  </w:style>
  <w:style w:type="character" w:customStyle="1" w:styleId="SecondnumberingChar">
    <w:name w:val="Second numbering Char"/>
    <w:basedOn w:val="FirstnumberingChar"/>
    <w:link w:val="Secondnumbering"/>
    <w:rsid w:val="00B01F0A"/>
    <w:rPr>
      <w:rFonts w:ascii="Arial" w:eastAsia="Times New Roman" w:hAnsi="Arial" w:cs="Arial"/>
      <w:sz w:val="24"/>
      <w:szCs w:val="20"/>
      <w:lang w:val="en-GB"/>
    </w:rPr>
  </w:style>
  <w:style w:type="character" w:customStyle="1" w:styleId="Heading2Char">
    <w:name w:val="Heading 2 Char"/>
    <w:basedOn w:val="DefaultParagraphFont"/>
    <w:link w:val="Heading2"/>
    <w:rsid w:val="00B01F0A"/>
    <w:rPr>
      <w:rFonts w:ascii="Times New Roman" w:eastAsia="Times New Roman" w:hAnsi="Times New Roman" w:cs="Times New Roman"/>
      <w:b/>
      <w:bCs/>
      <w:snapToGrid w:val="0"/>
      <w:szCs w:val="20"/>
      <w:lang w:val="en-GB"/>
    </w:rPr>
  </w:style>
  <w:style w:type="character" w:customStyle="1" w:styleId="Heading4Char">
    <w:name w:val="Heading 4 Char"/>
    <w:basedOn w:val="DefaultParagraphFont"/>
    <w:link w:val="Heading4"/>
    <w:rsid w:val="00B01F0A"/>
    <w:rPr>
      <w:rFonts w:ascii="Times New Roman" w:eastAsia="Times New Roman" w:hAnsi="Times New Roman" w:cs="Times New Roman"/>
      <w:b/>
      <w:bCs/>
      <w:snapToGrid w:val="0"/>
      <w:sz w:val="24"/>
      <w:szCs w:val="20"/>
      <w:lang w:val="en-GB"/>
    </w:rPr>
  </w:style>
  <w:style w:type="character" w:customStyle="1" w:styleId="Heading5Char">
    <w:name w:val="Heading 5 Char"/>
    <w:basedOn w:val="DefaultParagraphFont"/>
    <w:link w:val="Heading5"/>
    <w:rsid w:val="00B01F0A"/>
    <w:rPr>
      <w:rFonts w:ascii="Times New Roman" w:eastAsia="Times New Roman" w:hAnsi="Times New Roman" w:cs="Times New Roman"/>
      <w:i/>
      <w:iCs/>
      <w:snapToGrid w:val="0"/>
      <w:lang w:val="en-GB"/>
    </w:rPr>
  </w:style>
  <w:style w:type="paragraph" w:customStyle="1" w:styleId="1AutoList1">
    <w:name w:val="1AutoList1"/>
    <w:rsid w:val="00B01F0A"/>
    <w:pPr>
      <w:widowControl w:val="0"/>
      <w:tabs>
        <w:tab w:val="left" w:pos="720"/>
      </w:tabs>
      <w:autoSpaceDE w:val="0"/>
      <w:autoSpaceDN w:val="0"/>
      <w:adjustRightInd w:val="0"/>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B01F0A"/>
    <w:rPr>
      <w:b/>
      <w:bCs/>
    </w:rPr>
  </w:style>
  <w:style w:type="paragraph" w:styleId="BodyTextIndent3">
    <w:name w:val="Body Text Indent 3"/>
    <w:basedOn w:val="Normal"/>
    <w:link w:val="BodyTextIndent3Char"/>
    <w:rsid w:val="00B01F0A"/>
    <w:pPr>
      <w:widowControl w:val="0"/>
      <w:ind w:left="709" w:hanging="709"/>
      <w:jc w:val="both"/>
    </w:pPr>
    <w:rPr>
      <w:rFonts w:ascii="Times New Roman" w:eastAsia="Times New Roman" w:hAnsi="Times New Roman" w:cs="Times New Roman"/>
      <w:b/>
      <w:bCs/>
      <w:snapToGrid w:val="0"/>
      <w:szCs w:val="20"/>
      <w:lang w:val="en-GB"/>
    </w:rPr>
  </w:style>
  <w:style w:type="character" w:customStyle="1" w:styleId="BodyTextIndent3Char">
    <w:name w:val="Body Text Indent 3 Char"/>
    <w:basedOn w:val="DefaultParagraphFont"/>
    <w:link w:val="BodyTextIndent3"/>
    <w:rsid w:val="00B01F0A"/>
    <w:rPr>
      <w:rFonts w:ascii="Times New Roman" w:eastAsia="Times New Roman" w:hAnsi="Times New Roman" w:cs="Times New Roman"/>
      <w:b/>
      <w:bCs/>
      <w:snapToGrid w:val="0"/>
      <w:szCs w:val="20"/>
      <w:lang w:val="en-GB"/>
    </w:rPr>
  </w:style>
  <w:style w:type="paragraph" w:customStyle="1" w:styleId="Default">
    <w:name w:val="Default"/>
    <w:rsid w:val="00B01F0A"/>
    <w:pPr>
      <w:autoSpaceDE w:val="0"/>
      <w:autoSpaceDN w:val="0"/>
      <w:adjustRightInd w:val="0"/>
    </w:pPr>
    <w:rPr>
      <w:rFonts w:ascii="Garamond" w:hAnsi="Garamond" w:cs="Garamond"/>
      <w:color w:val="000000"/>
      <w:sz w:val="24"/>
      <w:szCs w:val="24"/>
      <w:lang w:val="en-GB"/>
    </w:rPr>
  </w:style>
  <w:style w:type="character" w:styleId="UnresolvedMention">
    <w:name w:val="Unresolved Mention"/>
    <w:basedOn w:val="DefaultParagraphFont"/>
    <w:uiPriority w:val="99"/>
    <w:semiHidden/>
    <w:unhideWhenUsed/>
    <w:rsid w:val="00B01F0A"/>
    <w:rPr>
      <w:color w:val="605E5C"/>
      <w:shd w:val="clear" w:color="auto" w:fill="E1DFDD"/>
    </w:rPr>
  </w:style>
  <w:style w:type="paragraph" w:styleId="BalloonText">
    <w:name w:val="Balloon Text"/>
    <w:basedOn w:val="Normal"/>
    <w:link w:val="BalloonTextChar"/>
    <w:uiPriority w:val="99"/>
    <w:semiHidden/>
    <w:unhideWhenUsed/>
    <w:rsid w:val="00B01F0A"/>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B01F0A"/>
    <w:rPr>
      <w:rFonts w:ascii="Segoe UI" w:hAnsi="Segoe UI" w:cs="Segoe UI"/>
      <w:sz w:val="18"/>
      <w:szCs w:val="18"/>
      <w:lang w:val="en-GB"/>
    </w:rPr>
  </w:style>
  <w:style w:type="paragraph" w:customStyle="1" w:styleId="Thirdnumberingi">
    <w:name w:val="Third numbering i)"/>
    <w:basedOn w:val="Secondnumbering"/>
    <w:link w:val="ThirdnumberingiChar"/>
    <w:qFormat/>
    <w:rsid w:val="00B01F0A"/>
    <w:pPr>
      <w:numPr>
        <w:numId w:val="5"/>
      </w:numPr>
      <w:ind w:left="1701" w:hanging="283"/>
    </w:pPr>
  </w:style>
  <w:style w:type="paragraph" w:customStyle="1" w:styleId="FourthnumberingA">
    <w:name w:val="Fourth numbering A."/>
    <w:basedOn w:val="Thirdnumberingi"/>
    <w:link w:val="FourthnumberingAChar"/>
    <w:qFormat/>
    <w:rsid w:val="00B01F0A"/>
    <w:pPr>
      <w:numPr>
        <w:numId w:val="6"/>
      </w:numPr>
      <w:ind w:left="2268" w:hanging="283"/>
    </w:pPr>
  </w:style>
  <w:style w:type="character" w:customStyle="1" w:styleId="ThirdnumberingiChar">
    <w:name w:val="Third numbering i) Char"/>
    <w:basedOn w:val="SecondnumberingChar"/>
    <w:link w:val="Thirdnumberingi"/>
    <w:rsid w:val="00B01F0A"/>
    <w:rPr>
      <w:rFonts w:ascii="Arial" w:eastAsia="Times New Roman" w:hAnsi="Arial" w:cs="Arial"/>
      <w:sz w:val="24"/>
      <w:szCs w:val="20"/>
      <w:lang w:val="en-GB"/>
    </w:rPr>
  </w:style>
  <w:style w:type="paragraph" w:customStyle="1" w:styleId="Title1">
    <w:name w:val="Title1"/>
    <w:basedOn w:val="Normal"/>
    <w:link w:val="TITLEChar"/>
    <w:qFormat/>
    <w:rsid w:val="00B01F0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pPr>
    <w:rPr>
      <w:rFonts w:eastAsia="Times New Roman" w:cs="Arial"/>
      <w:b/>
      <w:caps/>
      <w:lang w:val="en-GB"/>
    </w:rPr>
  </w:style>
  <w:style w:type="character" w:customStyle="1" w:styleId="FourthnumberingAChar">
    <w:name w:val="Fourth numbering A. Char"/>
    <w:basedOn w:val="ThirdnumberingiChar"/>
    <w:link w:val="FourthnumberingA"/>
    <w:rsid w:val="00B01F0A"/>
    <w:rPr>
      <w:rFonts w:ascii="Arial" w:eastAsia="Times New Roman" w:hAnsi="Arial" w:cs="Arial"/>
      <w:sz w:val="24"/>
      <w:szCs w:val="20"/>
      <w:lang w:val="en-GB"/>
    </w:rPr>
  </w:style>
  <w:style w:type="character" w:customStyle="1" w:styleId="TITLEChar">
    <w:name w:val="TITLE Char"/>
    <w:basedOn w:val="DefaultParagraphFont"/>
    <w:link w:val="Title1"/>
    <w:rsid w:val="00B01F0A"/>
    <w:rPr>
      <w:rFonts w:ascii="Arial" w:eastAsia="Times New Roman" w:hAnsi="Arial" w:cs="Arial"/>
      <w:b/>
      <w:caps/>
      <w:lang w:val="en-GB"/>
    </w:rPr>
  </w:style>
  <w:style w:type="paragraph" w:styleId="Revision">
    <w:name w:val="Revision"/>
    <w:hidden/>
    <w:uiPriority w:val="99"/>
    <w:semiHidden/>
    <w:rsid w:val="00B01F0A"/>
    <w:rPr>
      <w:rFonts w:ascii="Arial" w:hAnsi="Arial"/>
      <w:lang w:val="en-GB"/>
    </w:rPr>
  </w:style>
  <w:style w:type="paragraph" w:styleId="FootnoteText">
    <w:name w:val="footnote text"/>
    <w:basedOn w:val="Normal"/>
    <w:link w:val="FootnoteTextChar"/>
    <w:uiPriority w:val="99"/>
    <w:semiHidden/>
    <w:unhideWhenUsed/>
    <w:rsid w:val="00B01F0A"/>
    <w:rPr>
      <w:sz w:val="20"/>
      <w:szCs w:val="20"/>
      <w:lang w:val="en-GB"/>
    </w:rPr>
  </w:style>
  <w:style w:type="character" w:customStyle="1" w:styleId="FootnoteTextChar">
    <w:name w:val="Footnote Text Char"/>
    <w:basedOn w:val="DefaultParagraphFont"/>
    <w:link w:val="FootnoteText"/>
    <w:uiPriority w:val="99"/>
    <w:semiHidden/>
    <w:rsid w:val="00B01F0A"/>
    <w:rPr>
      <w:rFonts w:ascii="Arial" w:hAnsi="Arial"/>
      <w:sz w:val="20"/>
      <w:szCs w:val="20"/>
      <w:lang w:val="en-GB"/>
    </w:rPr>
  </w:style>
  <w:style w:type="character" w:styleId="FootnoteReference">
    <w:name w:val="footnote reference"/>
    <w:basedOn w:val="DefaultParagraphFont"/>
    <w:uiPriority w:val="99"/>
    <w:semiHidden/>
    <w:unhideWhenUsed/>
    <w:rsid w:val="00B01F0A"/>
    <w:rPr>
      <w:vertAlign w:val="superscript"/>
    </w:rPr>
  </w:style>
  <w:style w:type="character" w:styleId="FollowedHyperlink">
    <w:name w:val="FollowedHyperlink"/>
    <w:basedOn w:val="DefaultParagraphFont"/>
    <w:uiPriority w:val="99"/>
    <w:semiHidden/>
    <w:unhideWhenUsed/>
    <w:rsid w:val="00B01F0A"/>
    <w:rPr>
      <w:color w:val="954F72" w:themeColor="followedHyperlink"/>
      <w:u w:val="single"/>
    </w:rPr>
  </w:style>
  <w:style w:type="character" w:styleId="CommentReference">
    <w:name w:val="annotation reference"/>
    <w:basedOn w:val="DefaultParagraphFont"/>
    <w:uiPriority w:val="99"/>
    <w:semiHidden/>
    <w:unhideWhenUsed/>
    <w:rsid w:val="00B01F0A"/>
    <w:rPr>
      <w:sz w:val="16"/>
      <w:szCs w:val="16"/>
    </w:rPr>
  </w:style>
  <w:style w:type="paragraph" w:styleId="CommentText">
    <w:name w:val="annotation text"/>
    <w:basedOn w:val="Normal"/>
    <w:link w:val="CommentTextChar"/>
    <w:uiPriority w:val="99"/>
    <w:unhideWhenUsed/>
    <w:rsid w:val="00B01F0A"/>
    <w:rPr>
      <w:sz w:val="20"/>
      <w:szCs w:val="20"/>
    </w:rPr>
  </w:style>
  <w:style w:type="character" w:customStyle="1" w:styleId="CommentTextChar">
    <w:name w:val="Comment Text Char"/>
    <w:basedOn w:val="DefaultParagraphFont"/>
    <w:link w:val="CommentText"/>
    <w:uiPriority w:val="99"/>
    <w:rsid w:val="00B01F0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01F0A"/>
    <w:rPr>
      <w:b/>
      <w:bCs/>
    </w:rPr>
  </w:style>
  <w:style w:type="character" w:customStyle="1" w:styleId="CommentSubjectChar">
    <w:name w:val="Comment Subject Char"/>
    <w:basedOn w:val="CommentTextChar"/>
    <w:link w:val="CommentSubject"/>
    <w:uiPriority w:val="99"/>
    <w:semiHidden/>
    <w:rsid w:val="00B01F0A"/>
    <w:rPr>
      <w:rFonts w:ascii="Arial" w:hAnsi="Arial"/>
      <w:b/>
      <w:bCs/>
      <w:sz w:val="20"/>
      <w:szCs w:val="20"/>
    </w:rPr>
  </w:style>
  <w:style w:type="paragraph" w:customStyle="1" w:styleId="msonormal0">
    <w:name w:val="msonormal"/>
    <w:basedOn w:val="Normal"/>
    <w:rsid w:val="00B01F0A"/>
    <w:pPr>
      <w:spacing w:before="100" w:beforeAutospacing="1" w:after="100" w:afterAutospacing="1"/>
    </w:pPr>
    <w:rPr>
      <w:rFonts w:ascii="Times New Roman" w:eastAsia="Times New Roman" w:hAnsi="Times New Roman" w:cs="Times New Roman"/>
      <w:sz w:val="24"/>
      <w:szCs w:val="24"/>
      <w:lang w:val="en-AU" w:eastAsia="en-AU"/>
    </w:rPr>
  </w:style>
  <w:style w:type="character" w:styleId="Mention">
    <w:name w:val="Mention"/>
    <w:basedOn w:val="DefaultParagraphFont"/>
    <w:uiPriority w:val="99"/>
    <w:unhideWhenUsed/>
    <w:rsid w:val="00B01F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954876">
      <w:bodyDiv w:val="1"/>
      <w:marLeft w:val="0"/>
      <w:marRight w:val="0"/>
      <w:marTop w:val="0"/>
      <w:marBottom w:val="0"/>
      <w:divBdr>
        <w:top w:val="none" w:sz="0" w:space="0" w:color="auto"/>
        <w:left w:val="none" w:sz="0" w:space="0" w:color="auto"/>
        <w:bottom w:val="none" w:sz="0" w:space="0" w:color="auto"/>
        <w:right w:val="none" w:sz="0" w:space="0" w:color="auto"/>
      </w:divBdr>
      <w:divsChild>
        <w:div w:id="1289320052">
          <w:marLeft w:val="0"/>
          <w:marRight w:val="0"/>
          <w:marTop w:val="0"/>
          <w:marBottom w:val="0"/>
          <w:divBdr>
            <w:top w:val="none" w:sz="0" w:space="0" w:color="auto"/>
            <w:left w:val="none" w:sz="0" w:space="0" w:color="auto"/>
            <w:bottom w:val="none" w:sz="0" w:space="0" w:color="auto"/>
            <w:right w:val="none" w:sz="0" w:space="0" w:color="auto"/>
          </w:divBdr>
        </w:div>
        <w:div w:id="1714691066">
          <w:marLeft w:val="0"/>
          <w:marRight w:val="0"/>
          <w:marTop w:val="0"/>
          <w:marBottom w:val="0"/>
          <w:divBdr>
            <w:top w:val="none" w:sz="0" w:space="0" w:color="auto"/>
            <w:left w:val="none" w:sz="0" w:space="0" w:color="auto"/>
            <w:bottom w:val="none" w:sz="0" w:space="0" w:color="auto"/>
            <w:right w:val="none" w:sz="0" w:space="0" w:color="auto"/>
          </w:divBdr>
        </w:div>
        <w:div w:id="1211069539">
          <w:marLeft w:val="0"/>
          <w:marRight w:val="0"/>
          <w:marTop w:val="0"/>
          <w:marBottom w:val="0"/>
          <w:divBdr>
            <w:top w:val="none" w:sz="0" w:space="0" w:color="auto"/>
            <w:left w:val="none" w:sz="0" w:space="0" w:color="auto"/>
            <w:bottom w:val="none" w:sz="0" w:space="0" w:color="auto"/>
            <w:right w:val="none" w:sz="0" w:space="0" w:color="auto"/>
          </w:divBdr>
        </w:div>
        <w:div w:id="871768035">
          <w:marLeft w:val="0"/>
          <w:marRight w:val="0"/>
          <w:marTop w:val="0"/>
          <w:marBottom w:val="0"/>
          <w:divBdr>
            <w:top w:val="none" w:sz="0" w:space="0" w:color="auto"/>
            <w:left w:val="none" w:sz="0" w:space="0" w:color="auto"/>
            <w:bottom w:val="none" w:sz="0" w:space="0" w:color="auto"/>
            <w:right w:val="none" w:sz="0" w:space="0" w:color="auto"/>
          </w:divBdr>
        </w:div>
        <w:div w:id="1776439382">
          <w:marLeft w:val="0"/>
          <w:marRight w:val="0"/>
          <w:marTop w:val="0"/>
          <w:marBottom w:val="0"/>
          <w:divBdr>
            <w:top w:val="none" w:sz="0" w:space="0" w:color="auto"/>
            <w:left w:val="none" w:sz="0" w:space="0" w:color="auto"/>
            <w:bottom w:val="none" w:sz="0" w:space="0" w:color="auto"/>
            <w:right w:val="none" w:sz="0" w:space="0" w:color="auto"/>
          </w:divBdr>
        </w:div>
        <w:div w:id="402529276">
          <w:marLeft w:val="0"/>
          <w:marRight w:val="0"/>
          <w:marTop w:val="0"/>
          <w:marBottom w:val="0"/>
          <w:divBdr>
            <w:top w:val="none" w:sz="0" w:space="0" w:color="auto"/>
            <w:left w:val="none" w:sz="0" w:space="0" w:color="auto"/>
            <w:bottom w:val="none" w:sz="0" w:space="0" w:color="auto"/>
            <w:right w:val="none" w:sz="0" w:space="0" w:color="auto"/>
          </w:divBdr>
        </w:div>
        <w:div w:id="679359180">
          <w:marLeft w:val="0"/>
          <w:marRight w:val="0"/>
          <w:marTop w:val="0"/>
          <w:marBottom w:val="0"/>
          <w:divBdr>
            <w:top w:val="none" w:sz="0" w:space="0" w:color="auto"/>
            <w:left w:val="none" w:sz="0" w:space="0" w:color="auto"/>
            <w:bottom w:val="none" w:sz="0" w:space="0" w:color="auto"/>
            <w:right w:val="none" w:sz="0" w:space="0" w:color="auto"/>
          </w:divBdr>
        </w:div>
        <w:div w:id="1491481272">
          <w:marLeft w:val="0"/>
          <w:marRight w:val="0"/>
          <w:marTop w:val="0"/>
          <w:marBottom w:val="0"/>
          <w:divBdr>
            <w:top w:val="none" w:sz="0" w:space="0" w:color="auto"/>
            <w:left w:val="none" w:sz="0" w:space="0" w:color="auto"/>
            <w:bottom w:val="none" w:sz="0" w:space="0" w:color="auto"/>
            <w:right w:val="none" w:sz="0" w:space="0" w:color="auto"/>
          </w:divBdr>
        </w:div>
        <w:div w:id="1548688831">
          <w:marLeft w:val="0"/>
          <w:marRight w:val="0"/>
          <w:marTop w:val="0"/>
          <w:marBottom w:val="0"/>
          <w:divBdr>
            <w:top w:val="none" w:sz="0" w:space="0" w:color="auto"/>
            <w:left w:val="none" w:sz="0" w:space="0" w:color="auto"/>
            <w:bottom w:val="none" w:sz="0" w:space="0" w:color="auto"/>
            <w:right w:val="none" w:sz="0" w:space="0" w:color="auto"/>
          </w:divBdr>
        </w:div>
        <w:div w:id="799301440">
          <w:marLeft w:val="0"/>
          <w:marRight w:val="0"/>
          <w:marTop w:val="0"/>
          <w:marBottom w:val="0"/>
          <w:divBdr>
            <w:top w:val="none" w:sz="0" w:space="0" w:color="auto"/>
            <w:left w:val="none" w:sz="0" w:space="0" w:color="auto"/>
            <w:bottom w:val="none" w:sz="0" w:space="0" w:color="auto"/>
            <w:right w:val="none" w:sz="0" w:space="0" w:color="auto"/>
          </w:divBdr>
        </w:div>
        <w:div w:id="1215586260">
          <w:marLeft w:val="0"/>
          <w:marRight w:val="0"/>
          <w:marTop w:val="0"/>
          <w:marBottom w:val="0"/>
          <w:divBdr>
            <w:top w:val="none" w:sz="0" w:space="0" w:color="auto"/>
            <w:left w:val="none" w:sz="0" w:space="0" w:color="auto"/>
            <w:bottom w:val="none" w:sz="0" w:space="0" w:color="auto"/>
            <w:right w:val="none" w:sz="0" w:space="0" w:color="auto"/>
          </w:divBdr>
        </w:div>
        <w:div w:id="1690793446">
          <w:marLeft w:val="0"/>
          <w:marRight w:val="0"/>
          <w:marTop w:val="0"/>
          <w:marBottom w:val="0"/>
          <w:divBdr>
            <w:top w:val="none" w:sz="0" w:space="0" w:color="auto"/>
            <w:left w:val="none" w:sz="0" w:space="0" w:color="auto"/>
            <w:bottom w:val="none" w:sz="0" w:space="0" w:color="auto"/>
            <w:right w:val="none" w:sz="0" w:space="0" w:color="auto"/>
          </w:divBdr>
        </w:div>
        <w:div w:id="73913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int/fr/document/lignes-directrices-pour-la-pr%C3%A9paration-et-l%C3%A9valuation-des-propositions-damendement-d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image" Target="media/image1.wmf"/><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documentManagement>
</p:properties>
</file>

<file path=customXml/itemProps1.xml><?xml version="1.0" encoding="utf-8"?>
<ds:datastoreItem xmlns:ds="http://schemas.openxmlformats.org/officeDocument/2006/customXml" ds:itemID="{2EA37CD5-985A-417F-9215-E12F0143A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26ADA-CAC2-45E6-B431-B7CC7A264769}">
  <ds:schemaRefs>
    <ds:schemaRef ds:uri="http://schemas.microsoft.com/sharepoint/v3/contenttype/forms"/>
  </ds:schemaRefs>
</ds:datastoreItem>
</file>

<file path=customXml/itemProps3.xml><?xml version="1.0" encoding="utf-8"?>
<ds:datastoreItem xmlns:ds="http://schemas.openxmlformats.org/officeDocument/2006/customXml" ds:itemID="{5E87975D-037B-4C99-9858-76A24537E1A2}">
  <ds:schemaRefs>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c15478a5-0be8-4f5d-8383-b307d5ba8bf6"/>
    <ds:schemaRef ds:uri="985ec44e-1bab-4c0b-9df0-6ba128686fc9"/>
    <ds:schemaRef ds:uri="a7b50396-0b06-45c1-b28e-46f86d566a1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9722</Words>
  <Characters>55416</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Catherine Brueckner</cp:lastModifiedBy>
  <cp:revision>5</cp:revision>
  <cp:lastPrinted>2023-07-07T08:38:00Z</cp:lastPrinted>
  <dcterms:created xsi:type="dcterms:W3CDTF">2023-08-04T09:15:00Z</dcterms:created>
  <dcterms:modified xsi:type="dcterms:W3CDTF">2023-08-04T10:19:00Z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