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DE028" w14:textId="77777777" w:rsidR="00EC2A58" w:rsidRPr="00EC2A58" w:rsidRDefault="00EC2A58" w:rsidP="00BA33FE">
      <w:pPr>
        <w:widowControl w:val="0"/>
        <w:tabs>
          <w:tab w:val="left" w:pos="-1057"/>
          <w:tab w:val="left" w:pos="-720"/>
        </w:tabs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spacing w:val="-8"/>
          <w:sz w:val="12"/>
          <w:szCs w:val="12"/>
          <w:lang w:val="fr-FR"/>
        </w:rPr>
      </w:pPr>
    </w:p>
    <w:tbl>
      <w:tblPr>
        <w:tblW w:w="96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4414"/>
        <w:gridCol w:w="3708"/>
      </w:tblGrid>
      <w:tr w:rsidR="00EC2A58" w:rsidRPr="00EC2A58" w14:paraId="20A3DAA5" w14:textId="77777777" w:rsidTr="008E0BFE">
        <w:trPr>
          <w:trHeight w:val="1328"/>
        </w:trPr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</w:tcPr>
          <w:p w14:paraId="72ED64D6" w14:textId="77777777" w:rsidR="00EC2A58" w:rsidRPr="00EC2A58" w:rsidRDefault="00EC2A58" w:rsidP="00EC2A5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EC2A58">
              <w:rPr>
                <w:rFonts w:eastAsia="Times New Roman" w:cs="Arial"/>
                <w:noProof/>
              </w:rPr>
              <w:drawing>
                <wp:inline distT="0" distB="0" distL="0" distR="0" wp14:anchorId="3D89D23E" wp14:editId="6B53593B">
                  <wp:extent cx="752478" cy="771525"/>
                  <wp:effectExtent l="0" t="0" r="9522" b="9525"/>
                  <wp:docPr id="4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 l="-2533" t="-726" r="-2533" b="-7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8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42698B" w14:textId="77777777" w:rsidR="00EC2A58" w:rsidRPr="00EC2A58" w:rsidRDefault="00EC2A58" w:rsidP="00EC2A5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 w:cs="Arial"/>
                <w:lang w:val="fr-FR"/>
              </w:rPr>
            </w:pPr>
          </w:p>
        </w:tc>
        <w:tc>
          <w:tcPr>
            <w:tcW w:w="44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</w:tcPr>
          <w:p w14:paraId="46D7C074" w14:textId="77777777" w:rsidR="00EC2A58" w:rsidRPr="00EC2A58" w:rsidRDefault="00EC2A58" w:rsidP="00EC2A58">
            <w:pPr>
              <w:keepNext/>
              <w:widowControl w:val="0"/>
              <w:suppressAutoHyphens/>
              <w:autoSpaceDE w:val="0"/>
              <w:autoSpaceDN w:val="0"/>
              <w:spacing w:after="0" w:line="240" w:lineRule="auto"/>
              <w:ind w:left="-108"/>
              <w:textAlignment w:val="baseline"/>
              <w:outlineLvl w:val="1"/>
              <w:rPr>
                <w:rFonts w:eastAsia="Times New Roman" w:cs="Arial"/>
                <w:sz w:val="12"/>
                <w:szCs w:val="12"/>
                <w:lang w:val="fr-FR"/>
              </w:rPr>
            </w:pPr>
          </w:p>
          <w:p w14:paraId="5DFEFC81" w14:textId="77777777" w:rsidR="00EC2A58" w:rsidRPr="00EC2A58" w:rsidRDefault="00EC2A58" w:rsidP="00EC2A58">
            <w:pPr>
              <w:keepNext/>
              <w:widowControl w:val="0"/>
              <w:suppressAutoHyphens/>
              <w:autoSpaceDE w:val="0"/>
              <w:autoSpaceDN w:val="0"/>
              <w:spacing w:after="0" w:line="240" w:lineRule="auto"/>
              <w:ind w:left="-108"/>
              <w:textAlignment w:val="baseline"/>
              <w:outlineLvl w:val="1"/>
              <w:rPr>
                <w:rFonts w:ascii="Calibri" w:eastAsia="Calibri" w:hAnsi="Calibri" w:cs="Times New Roman"/>
                <w:lang w:val="fr-FR"/>
              </w:rPr>
            </w:pPr>
            <w:r w:rsidRPr="00EC2A58">
              <w:rPr>
                <w:rFonts w:eastAsia="Arial" w:cs="Arial"/>
                <w:b/>
                <w:bCs/>
                <w:sz w:val="32"/>
                <w:szCs w:val="32"/>
                <w:lang w:val="fr-FR"/>
              </w:rPr>
              <w:t>CONVENTION SUR</w:t>
            </w:r>
          </w:p>
          <w:p w14:paraId="1A29BCF4" w14:textId="77777777" w:rsidR="00EC2A58" w:rsidRPr="00EC2A58" w:rsidRDefault="00EC2A58" w:rsidP="00EC2A58">
            <w:pPr>
              <w:keepNext/>
              <w:widowControl w:val="0"/>
              <w:suppressAutoHyphens/>
              <w:autoSpaceDE w:val="0"/>
              <w:autoSpaceDN w:val="0"/>
              <w:spacing w:after="0" w:line="240" w:lineRule="auto"/>
              <w:ind w:left="-108"/>
              <w:textAlignment w:val="baseline"/>
              <w:outlineLvl w:val="1"/>
              <w:rPr>
                <w:rFonts w:ascii="Calibri" w:eastAsia="Calibri" w:hAnsi="Calibri" w:cs="Times New Roman"/>
                <w:lang w:val="fr-FR"/>
              </w:rPr>
            </w:pPr>
            <w:r w:rsidRPr="00EC2A58">
              <w:rPr>
                <w:rFonts w:eastAsia="Arial" w:cs="Arial"/>
                <w:b/>
                <w:bCs/>
                <w:sz w:val="32"/>
                <w:szCs w:val="32"/>
                <w:lang w:val="fr-FR"/>
              </w:rPr>
              <w:t>LES ESPÈCES</w:t>
            </w:r>
          </w:p>
          <w:p w14:paraId="4E42992F" w14:textId="77777777" w:rsidR="00EC2A58" w:rsidRPr="00EC2A58" w:rsidRDefault="00EC2A58" w:rsidP="00EC2A58">
            <w:pPr>
              <w:keepNext/>
              <w:widowControl w:val="0"/>
              <w:suppressAutoHyphens/>
              <w:autoSpaceDE w:val="0"/>
              <w:autoSpaceDN w:val="0"/>
              <w:spacing w:after="0" w:line="240" w:lineRule="auto"/>
              <w:ind w:left="-108"/>
              <w:textAlignment w:val="baseline"/>
              <w:outlineLvl w:val="1"/>
              <w:rPr>
                <w:rFonts w:ascii="Calibri" w:eastAsia="Calibri" w:hAnsi="Calibri" w:cs="Times New Roman"/>
                <w:lang w:val="fr-FR"/>
              </w:rPr>
            </w:pPr>
            <w:r w:rsidRPr="00EC2A58">
              <w:rPr>
                <w:rFonts w:eastAsia="Arial" w:cs="Arial"/>
                <w:b/>
                <w:bCs/>
                <w:sz w:val="32"/>
                <w:szCs w:val="32"/>
                <w:lang w:val="fr-FR"/>
              </w:rPr>
              <w:t>MIGRATRICES</w:t>
            </w:r>
          </w:p>
        </w:tc>
        <w:tc>
          <w:tcPr>
            <w:tcW w:w="37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85" w:type="dxa"/>
              <w:left w:w="108" w:type="dxa"/>
              <w:bottom w:w="0" w:type="dxa"/>
              <w:right w:w="108" w:type="dxa"/>
            </w:tcMar>
          </w:tcPr>
          <w:p w14:paraId="2827E733" w14:textId="1B7D2D53" w:rsidR="00EC2A58" w:rsidRPr="00B973C6" w:rsidRDefault="00EC2A58" w:rsidP="00B973C6">
            <w:pPr>
              <w:widowControl w:val="0"/>
              <w:tabs>
                <w:tab w:val="left" w:pos="5040"/>
                <w:tab w:val="left" w:pos="5760"/>
                <w:tab w:val="left" w:pos="6008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spacing w:before="120" w:after="120" w:line="240" w:lineRule="auto"/>
              <w:textAlignment w:val="baseline"/>
              <w:rPr>
                <w:rFonts w:eastAsia="Arial" w:cs="Arial"/>
                <w:lang w:val="fr-FR"/>
              </w:rPr>
            </w:pPr>
            <w:r w:rsidRPr="00EC2A58">
              <w:rPr>
                <w:rFonts w:eastAsia="Arial" w:cs="Arial"/>
                <w:lang w:val="fr-FR"/>
              </w:rPr>
              <w:t>UNEP/CMS/COP1</w:t>
            </w:r>
            <w:r w:rsidR="00BA33FE">
              <w:rPr>
                <w:rFonts w:eastAsia="Arial" w:cs="Arial"/>
                <w:lang w:val="fr-FR"/>
              </w:rPr>
              <w:t>4</w:t>
            </w:r>
            <w:r w:rsidRPr="00EC2A58">
              <w:rPr>
                <w:rFonts w:eastAsia="Arial" w:cs="Arial"/>
                <w:lang w:val="fr-FR"/>
              </w:rPr>
              <w:t>/Doc.</w:t>
            </w:r>
            <w:r w:rsidR="00A5060B">
              <w:rPr>
                <w:rFonts w:eastAsia="Arial" w:cs="Arial"/>
                <w:lang w:val="fr-FR"/>
              </w:rPr>
              <w:t>31.4</w:t>
            </w:r>
          </w:p>
          <w:p w14:paraId="51739494" w14:textId="0D13C07B" w:rsidR="00EC2A58" w:rsidRPr="00B973C6" w:rsidRDefault="00B973C6" w:rsidP="00B973C6">
            <w:pPr>
              <w:widowControl w:val="0"/>
              <w:tabs>
                <w:tab w:val="left" w:pos="5040"/>
                <w:tab w:val="left" w:pos="5760"/>
                <w:tab w:val="left" w:pos="6008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autoSpaceDE w:val="0"/>
              <w:autoSpaceDN w:val="0"/>
              <w:spacing w:before="120" w:after="120" w:line="240" w:lineRule="auto"/>
              <w:textAlignment w:val="baseline"/>
              <w:rPr>
                <w:rFonts w:eastAsia="Arial" w:cs="Arial"/>
                <w:lang w:val="fr-FR"/>
              </w:rPr>
            </w:pPr>
            <w:r w:rsidRPr="00B973C6">
              <w:rPr>
                <w:rFonts w:eastAsia="Arial" w:cs="Arial"/>
                <w:lang w:val="fr-FR"/>
              </w:rPr>
              <w:t xml:space="preserve">22 juin </w:t>
            </w:r>
            <w:r w:rsidR="00EC2A58" w:rsidRPr="00B973C6">
              <w:rPr>
                <w:rFonts w:eastAsia="Arial" w:cs="Arial"/>
                <w:lang w:val="fr-FR"/>
              </w:rPr>
              <w:t>20</w:t>
            </w:r>
            <w:r w:rsidR="00BA33FE" w:rsidRPr="00B973C6">
              <w:rPr>
                <w:rFonts w:eastAsia="Arial" w:cs="Arial"/>
                <w:lang w:val="fr-FR"/>
              </w:rPr>
              <w:t>23</w:t>
            </w:r>
          </w:p>
          <w:p w14:paraId="5A17DC3D" w14:textId="77777777" w:rsidR="00EC2A58" w:rsidRPr="00B973C6" w:rsidRDefault="00EC2A58" w:rsidP="00B973C6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textAlignment w:val="baseline"/>
              <w:rPr>
                <w:rFonts w:eastAsia="Arial" w:cs="Arial"/>
                <w:lang w:val="fr-FR"/>
              </w:rPr>
            </w:pPr>
            <w:r w:rsidRPr="00EC2A58">
              <w:rPr>
                <w:rFonts w:eastAsia="Arial" w:cs="Arial"/>
                <w:lang w:val="fr-FR"/>
              </w:rPr>
              <w:t>Français</w:t>
            </w:r>
          </w:p>
          <w:p w14:paraId="3489AC4D" w14:textId="0B24FAFD" w:rsidR="00EC2A58" w:rsidRPr="00B973C6" w:rsidRDefault="00EC2A58" w:rsidP="00EC2A5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Arial" w:cs="Arial"/>
                <w:lang w:val="fr-FR"/>
              </w:rPr>
            </w:pPr>
            <w:r w:rsidRPr="00EC2A58">
              <w:rPr>
                <w:rFonts w:eastAsia="Arial" w:cs="Arial"/>
                <w:lang w:val="fr-FR"/>
              </w:rPr>
              <w:t>Original : Anglais</w:t>
            </w:r>
          </w:p>
        </w:tc>
      </w:tr>
    </w:tbl>
    <w:p w14:paraId="4907A928" w14:textId="77777777" w:rsidR="00EC2A58" w:rsidRPr="00EC2A58" w:rsidRDefault="00EC2A58" w:rsidP="00EC2A58">
      <w:pPr>
        <w:widowControl w:val="0"/>
        <w:tabs>
          <w:tab w:val="left" w:pos="-1057"/>
          <w:tab w:val="left" w:pos="-720"/>
        </w:tabs>
        <w:suppressAutoHyphens/>
        <w:autoSpaceDE w:val="0"/>
        <w:autoSpaceDN w:val="0"/>
        <w:spacing w:after="0" w:line="240" w:lineRule="auto"/>
        <w:textAlignment w:val="baseline"/>
        <w:rPr>
          <w:rFonts w:eastAsia="Arial" w:cs="Arial"/>
          <w:sz w:val="8"/>
          <w:szCs w:val="8"/>
          <w:lang w:val="fr-FR"/>
        </w:rPr>
      </w:pPr>
    </w:p>
    <w:p w14:paraId="45F14CBB" w14:textId="4FEDA02B" w:rsidR="00EC2A58" w:rsidRPr="00EC2A58" w:rsidRDefault="00EC2A58" w:rsidP="00EC2A58">
      <w:pPr>
        <w:widowControl w:val="0"/>
        <w:tabs>
          <w:tab w:val="left" w:pos="-1057"/>
          <w:tab w:val="left" w:pos="-720"/>
        </w:tabs>
        <w:suppressAutoHyphens/>
        <w:autoSpaceDE w:val="0"/>
        <w:autoSpaceDN w:val="0"/>
        <w:spacing w:after="0" w:line="240" w:lineRule="auto"/>
        <w:textAlignment w:val="baseline"/>
        <w:rPr>
          <w:rFonts w:ascii="Calibri" w:eastAsia="Calibri" w:hAnsi="Calibri" w:cs="Times New Roman"/>
          <w:lang w:val="fr-FR"/>
        </w:rPr>
      </w:pPr>
      <w:r w:rsidRPr="00EC2A58">
        <w:rPr>
          <w:rFonts w:eastAsia="Arial" w:cs="Arial"/>
          <w:lang w:val="fr-FR"/>
        </w:rPr>
        <w:t>1</w:t>
      </w:r>
      <w:r w:rsidR="00BA33FE">
        <w:rPr>
          <w:rFonts w:eastAsia="Arial" w:cs="Arial"/>
          <w:lang w:val="fr-FR"/>
        </w:rPr>
        <w:t>4</w:t>
      </w:r>
      <w:r w:rsidRPr="00EC2A58">
        <w:rPr>
          <w:rFonts w:eastAsia="Arial" w:cs="Arial"/>
          <w:vertAlign w:val="superscript"/>
          <w:lang w:val="fr-FR"/>
        </w:rPr>
        <w:t>ème</w:t>
      </w:r>
      <w:r w:rsidRPr="00EC2A58">
        <w:rPr>
          <w:rFonts w:eastAsia="Arial" w:cs="Arial"/>
          <w:lang w:val="fr-FR"/>
        </w:rPr>
        <w:t xml:space="preserve"> SESSION DE LA CONFÉRENCE DES PARTIES</w:t>
      </w:r>
    </w:p>
    <w:p w14:paraId="55197CAC" w14:textId="430F466E" w:rsidR="00EC2A58" w:rsidRPr="00EC2A58" w:rsidRDefault="00BA33FE" w:rsidP="00EC2A58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uppressAutoHyphens/>
        <w:autoSpaceDE w:val="0"/>
        <w:autoSpaceDN w:val="0"/>
        <w:spacing w:after="0" w:line="228" w:lineRule="auto"/>
        <w:textAlignment w:val="baseline"/>
        <w:outlineLvl w:val="1"/>
        <w:rPr>
          <w:rFonts w:ascii="Calibri" w:eastAsia="Calibri" w:hAnsi="Calibri" w:cs="Times New Roman"/>
          <w:lang w:val="fr-FR"/>
        </w:rPr>
      </w:pPr>
      <w:r>
        <w:rPr>
          <w:rFonts w:eastAsia="Arial" w:cs="Arial"/>
          <w:bCs/>
          <w:lang w:val="fr-FR"/>
        </w:rPr>
        <w:t xml:space="preserve">Samarcande, Ouzbékistan, </w:t>
      </w:r>
      <w:r w:rsidR="00206433">
        <w:rPr>
          <w:rFonts w:eastAsia="Arial" w:cs="Arial"/>
          <w:bCs/>
          <w:lang w:val="fr-FR"/>
        </w:rPr>
        <w:t>1</w:t>
      </w:r>
      <w:r>
        <w:rPr>
          <w:rFonts w:eastAsia="Arial" w:cs="Arial"/>
          <w:bCs/>
          <w:lang w:val="fr-FR"/>
        </w:rPr>
        <w:t xml:space="preserve">2 – </w:t>
      </w:r>
      <w:r w:rsidR="00206433">
        <w:rPr>
          <w:rFonts w:eastAsia="Arial" w:cs="Arial"/>
          <w:bCs/>
          <w:lang w:val="fr-FR"/>
        </w:rPr>
        <w:t>17 février 2024</w:t>
      </w:r>
    </w:p>
    <w:p w14:paraId="4DD0AB0D" w14:textId="35FF4044" w:rsidR="00EC2A58" w:rsidRPr="00EC2A58" w:rsidRDefault="00EC2A58" w:rsidP="00EC2A58">
      <w:pPr>
        <w:widowControl w:val="0"/>
        <w:suppressAutoHyphens/>
        <w:autoSpaceDE w:val="0"/>
        <w:autoSpaceDN w:val="0"/>
        <w:spacing w:after="0" w:line="228" w:lineRule="auto"/>
        <w:textAlignment w:val="baseline"/>
        <w:rPr>
          <w:rFonts w:ascii="Calibri" w:eastAsia="Calibri" w:hAnsi="Calibri" w:cs="Times New Roman"/>
          <w:lang w:val="fr-FR"/>
        </w:rPr>
      </w:pPr>
      <w:r w:rsidRPr="00EC2A58">
        <w:rPr>
          <w:rFonts w:eastAsia="Arial" w:cs="Arial"/>
          <w:iCs/>
          <w:lang w:val="fr-FR"/>
        </w:rPr>
        <w:t xml:space="preserve">Point </w:t>
      </w:r>
      <w:r w:rsidR="00A5060B">
        <w:rPr>
          <w:rFonts w:eastAsia="Arial" w:cs="Arial"/>
          <w:iCs/>
          <w:lang w:val="fr-FR"/>
        </w:rPr>
        <w:t>31</w:t>
      </w:r>
      <w:r w:rsidR="005427D9">
        <w:rPr>
          <w:rFonts w:eastAsia="Arial" w:cs="Arial"/>
          <w:iCs/>
          <w:lang w:val="fr-FR"/>
        </w:rPr>
        <w:t xml:space="preserve"> </w:t>
      </w:r>
      <w:r w:rsidRPr="00EC2A58">
        <w:rPr>
          <w:rFonts w:eastAsia="Arial" w:cs="Arial"/>
          <w:iCs/>
          <w:lang w:val="fr-FR"/>
        </w:rPr>
        <w:t>de l’ordre du jour</w:t>
      </w:r>
    </w:p>
    <w:p w14:paraId="593EE006" w14:textId="77777777" w:rsidR="00EC2A58" w:rsidRPr="00EC2A58" w:rsidRDefault="00EC2A58" w:rsidP="00EC2A58">
      <w:pPr>
        <w:widowControl w:val="0"/>
        <w:tabs>
          <w:tab w:val="left" w:pos="7020"/>
        </w:tabs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lang w:val="fr-FR"/>
        </w:rPr>
      </w:pPr>
    </w:p>
    <w:p w14:paraId="5C2518E6" w14:textId="77777777" w:rsidR="00EC2A58" w:rsidRPr="00EC2A58" w:rsidRDefault="00EC2A58" w:rsidP="00EC2A58">
      <w:pPr>
        <w:widowControl w:val="0"/>
        <w:tabs>
          <w:tab w:val="left" w:pos="7020"/>
        </w:tabs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lang w:val="fr-FR"/>
        </w:rPr>
      </w:pPr>
    </w:p>
    <w:p w14:paraId="30A46103" w14:textId="4C5AA2BC" w:rsidR="00CB741A" w:rsidRPr="00CB741A" w:rsidRDefault="00CB741A" w:rsidP="00CB741A">
      <w:pPr>
        <w:pStyle w:val="Heading2"/>
        <w:keepNext w:val="0"/>
        <w:spacing w:after="120"/>
        <w:ind w:left="-91" w:right="-369"/>
        <w:jc w:val="center"/>
        <w:rPr>
          <w:rFonts w:ascii="Arial" w:hAnsi="Arial" w:cs="Arial"/>
          <w:b/>
          <w:bCs/>
          <w:color w:val="auto"/>
          <w:sz w:val="22"/>
          <w:szCs w:val="22"/>
          <w:lang w:val="fr-FR"/>
        </w:rPr>
      </w:pPr>
      <w:r w:rsidRPr="00CB741A">
        <w:rPr>
          <w:rFonts w:ascii="Arial" w:hAnsi="Arial" w:cs="Arial"/>
          <w:b/>
          <w:bCs/>
          <w:color w:val="auto"/>
          <w:sz w:val="22"/>
          <w:szCs w:val="22"/>
          <w:lang w:val="fr-FR"/>
        </w:rPr>
        <w:t xml:space="preserve">PROPOSITIONS D’AMENDEMENT AUX ANNEXES </w:t>
      </w:r>
      <w:r w:rsidR="00B541B4">
        <w:rPr>
          <w:rFonts w:ascii="Arial" w:hAnsi="Arial" w:cs="Arial"/>
          <w:b/>
          <w:bCs/>
          <w:color w:val="auto"/>
          <w:sz w:val="22"/>
          <w:szCs w:val="22"/>
          <w:lang w:val="fr-FR"/>
        </w:rPr>
        <w:t xml:space="preserve">I ET II </w:t>
      </w:r>
      <w:r w:rsidRPr="00CB741A">
        <w:rPr>
          <w:rFonts w:ascii="Arial" w:hAnsi="Arial" w:cs="Arial"/>
          <w:b/>
          <w:bCs/>
          <w:color w:val="auto"/>
          <w:sz w:val="22"/>
          <w:szCs w:val="22"/>
          <w:lang w:val="fr-FR"/>
        </w:rPr>
        <w:t>DE LA CONVENTION</w:t>
      </w:r>
    </w:p>
    <w:p w14:paraId="0AB80070" w14:textId="716F70A5" w:rsidR="00EC2A58" w:rsidRPr="00EC2A58" w:rsidRDefault="00EC2A58" w:rsidP="00EC2A58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lang w:val="fr-FR"/>
        </w:rPr>
      </w:pPr>
      <w:r w:rsidRPr="00EC2A58">
        <w:rPr>
          <w:rFonts w:eastAsia="Arial" w:cs="Arial"/>
          <w:i/>
          <w:iCs/>
          <w:lang w:val="fr-FR"/>
        </w:rPr>
        <w:t>(Préparé par le Secrétariat)</w:t>
      </w:r>
    </w:p>
    <w:p w14:paraId="4FF589BA" w14:textId="77777777" w:rsidR="00EC2A58" w:rsidRPr="00EC2A58" w:rsidRDefault="00EC2A58" w:rsidP="00EC2A5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="Arial"/>
          <w:lang w:val="fr-FR"/>
        </w:rPr>
      </w:pPr>
    </w:p>
    <w:p w14:paraId="19B17186" w14:textId="77777777" w:rsidR="00EC2A58" w:rsidRPr="00EC2A58" w:rsidRDefault="00EC2A58" w:rsidP="00EC2A58">
      <w:pPr>
        <w:widowControl w:val="0"/>
        <w:tabs>
          <w:tab w:val="left" w:pos="8295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="Arial"/>
          <w:lang w:val="fr-FR"/>
        </w:rPr>
      </w:pPr>
    </w:p>
    <w:p w14:paraId="475CEA0F" w14:textId="77777777" w:rsidR="00EC2A58" w:rsidRPr="00EC2A58" w:rsidRDefault="00EC2A58" w:rsidP="00EC2A5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" w:eastAsia="Calibri" w:hAnsi="Calibri" w:cs="Times New Roman"/>
          <w:lang w:val="fr-FR"/>
        </w:rPr>
      </w:pPr>
      <w:r w:rsidRPr="00EC2A58">
        <w:rPr>
          <w:rFonts w:eastAsia="Times New Roman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31BEC" wp14:editId="4ED6F16E">
                <wp:simplePos x="0" y="0"/>
                <wp:positionH relativeFrom="column">
                  <wp:posOffset>781050</wp:posOffset>
                </wp:positionH>
                <wp:positionV relativeFrom="paragraph">
                  <wp:posOffset>146050</wp:posOffset>
                </wp:positionV>
                <wp:extent cx="4304666" cy="2044700"/>
                <wp:effectExtent l="0" t="0" r="19685" b="12700"/>
                <wp:wrapNone/>
                <wp:docPr id="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666" cy="204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63EA6C" w14:textId="77777777" w:rsidR="00EC2A58" w:rsidRPr="00233DC0" w:rsidRDefault="00EC2A58" w:rsidP="00EC2A58">
                            <w:pPr>
                              <w:spacing w:after="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eastAsia="Arial" w:cs="Arial"/>
                                <w:lang w:val="fr-FR"/>
                              </w:rPr>
                              <w:t>Résumé:</w:t>
                            </w:r>
                          </w:p>
                          <w:p w14:paraId="5B8D22C0" w14:textId="77777777" w:rsidR="001A02C7" w:rsidRDefault="001A02C7" w:rsidP="001A02C7">
                            <w:pPr>
                              <w:spacing w:after="0" w:line="240" w:lineRule="auto"/>
                              <w:rPr>
                                <w:rFonts w:cs="Arial"/>
                                <w:lang w:val="fr-FR"/>
                              </w:rPr>
                            </w:pPr>
                          </w:p>
                          <w:p w14:paraId="507B16BD" w14:textId="678E3060" w:rsidR="001A02C7" w:rsidRDefault="001A02C7" w:rsidP="001A02C7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lang w:val="fr-FR"/>
                              </w:rPr>
                            </w:pPr>
                            <w:r w:rsidRPr="001A4D8C">
                              <w:rPr>
                                <w:rFonts w:cs="Arial"/>
                                <w:lang w:val="fr-FR"/>
                              </w:rPr>
                              <w:t xml:space="preserve">Ce document résume les propositions d’amendement des Annexes de la CMS soumis </w:t>
                            </w:r>
                            <w:r>
                              <w:rPr>
                                <w:rFonts w:cs="Arial"/>
                                <w:lang w:val="fr-FR"/>
                              </w:rPr>
                              <w:t xml:space="preserve">à l’examen de </w:t>
                            </w:r>
                            <w:r w:rsidRPr="001A4D8C">
                              <w:rPr>
                                <w:rFonts w:cs="Arial"/>
                                <w:lang w:val="fr-FR"/>
                              </w:rPr>
                              <w:t>la 1</w:t>
                            </w:r>
                            <w:r w:rsidR="00796AF3">
                              <w:rPr>
                                <w:rFonts w:cs="Arial"/>
                                <w:lang w:val="fr-FR"/>
                              </w:rPr>
                              <w:t>4</w:t>
                            </w:r>
                            <w:r w:rsidRPr="001A4D8C">
                              <w:rPr>
                                <w:rFonts w:cs="Arial"/>
                                <w:vertAlign w:val="superscript"/>
                                <w:lang w:val="fr-FR"/>
                              </w:rPr>
                              <w:t>e</w:t>
                            </w:r>
                            <w:r w:rsidRPr="001A4D8C">
                              <w:rPr>
                                <w:rFonts w:cs="Arial"/>
                                <w:lang w:val="fr-FR"/>
                              </w:rPr>
                              <w:t xml:space="preserve"> Réunion de la Conférence des Parties (COP1</w:t>
                            </w:r>
                            <w:r w:rsidR="00796AF3">
                              <w:rPr>
                                <w:rFonts w:cs="Arial"/>
                                <w:lang w:val="fr-FR"/>
                              </w:rPr>
                              <w:t>4</w:t>
                            </w:r>
                            <w:r>
                              <w:rPr>
                                <w:rFonts w:cs="Arial"/>
                                <w:lang w:val="fr-FR"/>
                              </w:rPr>
                              <w:t xml:space="preserve">). </w:t>
                            </w:r>
                            <w:r w:rsidRPr="001A4D8C">
                              <w:rPr>
                                <w:rFonts w:cs="Arial"/>
                                <w:lang w:val="fr-FR"/>
                              </w:rPr>
                              <w:t>Le texte intégral de</w:t>
                            </w:r>
                            <w:r>
                              <w:rPr>
                                <w:rFonts w:cs="Arial"/>
                                <w:lang w:val="fr-FR"/>
                              </w:rPr>
                              <w:t xml:space="preserve"> tous les</w:t>
                            </w:r>
                            <w:r w:rsidRPr="001A4D8C">
                              <w:rPr>
                                <w:rFonts w:cs="Arial"/>
                                <w:lang w:val="fr-FR"/>
                              </w:rPr>
                              <w:t xml:space="preserve"> éléments justifiant ces propositions est mis à disposition de la </w:t>
                            </w:r>
                            <w:r>
                              <w:rPr>
                                <w:rFonts w:cs="Arial"/>
                                <w:lang w:val="fr-FR"/>
                              </w:rPr>
                              <w:t>COP1</w:t>
                            </w:r>
                            <w:r w:rsidR="00FB44A1">
                              <w:rPr>
                                <w:rFonts w:cs="Arial"/>
                                <w:lang w:val="fr-FR"/>
                              </w:rPr>
                              <w:t>4</w:t>
                            </w:r>
                            <w:r w:rsidRPr="001A4D8C">
                              <w:rPr>
                                <w:rFonts w:cs="Arial"/>
                                <w:lang w:val="fr-FR"/>
                              </w:rPr>
                              <w:t xml:space="preserve"> dans des documents distincts. </w:t>
                            </w:r>
                          </w:p>
                          <w:p w14:paraId="1D2420B0" w14:textId="77777777" w:rsidR="001A02C7" w:rsidRDefault="001A02C7" w:rsidP="001A02C7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lang w:val="fr-FR"/>
                              </w:rPr>
                            </w:pPr>
                          </w:p>
                          <w:p w14:paraId="0E06B31E" w14:textId="77777777" w:rsidR="001A02C7" w:rsidRPr="001A4D8C" w:rsidRDefault="001A02C7" w:rsidP="001A02C7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lang w:val="fr-FR"/>
                              </w:rPr>
                            </w:pPr>
                            <w:r>
                              <w:rPr>
                                <w:rFonts w:cs="Arial"/>
                                <w:lang w:val="fr-FR"/>
                              </w:rPr>
                              <w:t>La Conférence des Parties</w:t>
                            </w:r>
                            <w:r w:rsidRPr="001A4D8C">
                              <w:rPr>
                                <w:rFonts w:cs="Arial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lang w:val="fr-FR"/>
                              </w:rPr>
                              <w:t xml:space="preserve">est </w:t>
                            </w:r>
                            <w:r w:rsidRPr="001A4D8C">
                              <w:rPr>
                                <w:rFonts w:cs="Arial"/>
                                <w:lang w:val="fr-FR"/>
                              </w:rPr>
                              <w:t>invitée à</w:t>
                            </w:r>
                            <w:r>
                              <w:rPr>
                                <w:rFonts w:cs="Arial"/>
                                <w:lang w:val="fr-FR"/>
                              </w:rPr>
                              <w:t xml:space="preserve"> examiner c</w:t>
                            </w:r>
                            <w:r w:rsidRPr="001A4D8C">
                              <w:rPr>
                                <w:rFonts w:cs="Arial"/>
                                <w:lang w:val="fr-FR"/>
                              </w:rPr>
                              <w:t>es propositions d'amendements aux</w:t>
                            </w:r>
                            <w:r>
                              <w:rPr>
                                <w:rFonts w:cs="Arial"/>
                                <w:lang w:val="fr-FR"/>
                              </w:rPr>
                              <w:t xml:space="preserve"> </w:t>
                            </w:r>
                            <w:r w:rsidRPr="00F34699">
                              <w:rPr>
                                <w:rFonts w:cs="Arial"/>
                                <w:lang w:val="fr-FR"/>
                              </w:rPr>
                              <w:t>Annexes;</w:t>
                            </w:r>
                            <w:r w:rsidRPr="001A4D8C">
                              <w:rPr>
                                <w:rFonts w:cs="Arial"/>
                                <w:lang w:val="fr-FR"/>
                              </w:rPr>
                              <w:t xml:space="preserve"> et</w:t>
                            </w:r>
                            <w:r>
                              <w:rPr>
                                <w:rFonts w:cs="Arial"/>
                                <w:lang w:val="fr-FR"/>
                              </w:rPr>
                              <w:t xml:space="preserve"> de p</w:t>
                            </w:r>
                            <w:r w:rsidRPr="001A4D8C">
                              <w:rPr>
                                <w:rFonts w:cs="Arial"/>
                                <w:lang w:val="fr-FR"/>
                              </w:rPr>
                              <w:t xml:space="preserve">rendre </w:t>
                            </w:r>
                            <w:r>
                              <w:rPr>
                                <w:rFonts w:cs="Arial"/>
                                <w:lang w:val="fr-FR"/>
                              </w:rPr>
                              <w:t>des décisions</w:t>
                            </w:r>
                            <w:r w:rsidRPr="001A4D8C">
                              <w:rPr>
                                <w:rFonts w:cs="Arial"/>
                                <w:lang w:val="fr-FR"/>
                              </w:rPr>
                              <w:t xml:space="preserve"> en ce qui concerne l'adoption ou le rejet des propositions</w:t>
                            </w:r>
                            <w:r>
                              <w:rPr>
                                <w:sz w:val="24"/>
                                <w:lang w:val="fr-FR"/>
                              </w:rPr>
                              <w:t>.</w:t>
                            </w:r>
                          </w:p>
                          <w:p w14:paraId="01169CE1" w14:textId="77777777" w:rsidR="001A02C7" w:rsidRDefault="001A02C7" w:rsidP="00EC2A58">
                            <w:pPr>
                              <w:spacing w:after="0"/>
                              <w:rPr>
                                <w:rFonts w:cs="Arial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31BE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5pt;margin-top:11.5pt;width:338.95pt;height:16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" strokeweight=".08811mm">
                <v:textbox>
                  <w:txbxContent>
                    <w:p w14:paraId="1663EA6C" w14:textId="77777777" w:rsidR="00EC2A58" w:rsidRPr="00233DC0" w:rsidRDefault="00EC2A58" w:rsidP="00EC2A58">
                      <w:pPr>
                        <w:spacing w:after="0"/>
                        <w:rPr>
                          <w:lang w:val="fr-FR"/>
                        </w:rPr>
                      </w:pPr>
                      <w:r>
                        <w:rPr>
                          <w:rFonts w:eastAsia="Arial" w:cs="Arial"/>
                          <w:lang w:val="fr-FR"/>
                        </w:rPr>
                        <w:t>Résumé:</w:t>
                      </w:r>
                    </w:p>
                    <w:p w14:paraId="5B8D22C0" w14:textId="77777777" w:rsidR="001A02C7" w:rsidRDefault="001A02C7" w:rsidP="001A02C7">
                      <w:pPr>
                        <w:spacing w:after="0" w:line="240" w:lineRule="auto"/>
                        <w:rPr>
                          <w:rFonts w:cs="Arial"/>
                          <w:lang w:val="fr-FR"/>
                        </w:rPr>
                      </w:pPr>
                    </w:p>
                    <w:p w14:paraId="507B16BD" w14:textId="678E3060" w:rsidR="001A02C7" w:rsidRDefault="001A02C7" w:rsidP="001A02C7">
                      <w:pPr>
                        <w:spacing w:after="0" w:line="240" w:lineRule="auto"/>
                        <w:jc w:val="both"/>
                        <w:rPr>
                          <w:rFonts w:cs="Arial"/>
                          <w:lang w:val="fr-FR"/>
                        </w:rPr>
                      </w:pPr>
                      <w:r w:rsidRPr="001A4D8C">
                        <w:rPr>
                          <w:rFonts w:cs="Arial"/>
                          <w:lang w:val="fr-FR"/>
                        </w:rPr>
                        <w:t xml:space="preserve">Ce document résume les propositions d’amendement des Annexes de la CMS soumis </w:t>
                      </w:r>
                      <w:r>
                        <w:rPr>
                          <w:rFonts w:cs="Arial"/>
                          <w:lang w:val="fr-FR"/>
                        </w:rPr>
                        <w:t xml:space="preserve">à l’examen de </w:t>
                      </w:r>
                      <w:r w:rsidRPr="001A4D8C">
                        <w:rPr>
                          <w:rFonts w:cs="Arial"/>
                          <w:lang w:val="fr-FR"/>
                        </w:rPr>
                        <w:t>la 1</w:t>
                      </w:r>
                      <w:r w:rsidR="00796AF3">
                        <w:rPr>
                          <w:rFonts w:cs="Arial"/>
                          <w:lang w:val="fr-FR"/>
                        </w:rPr>
                        <w:t>4</w:t>
                      </w:r>
                      <w:r w:rsidRPr="001A4D8C">
                        <w:rPr>
                          <w:rFonts w:cs="Arial"/>
                          <w:vertAlign w:val="superscript"/>
                          <w:lang w:val="fr-FR"/>
                        </w:rPr>
                        <w:t>e</w:t>
                      </w:r>
                      <w:r w:rsidRPr="001A4D8C">
                        <w:rPr>
                          <w:rFonts w:cs="Arial"/>
                          <w:lang w:val="fr-FR"/>
                        </w:rPr>
                        <w:t xml:space="preserve"> Réunion de la Conférence des Parties (COP1</w:t>
                      </w:r>
                      <w:r w:rsidR="00796AF3">
                        <w:rPr>
                          <w:rFonts w:cs="Arial"/>
                          <w:lang w:val="fr-FR"/>
                        </w:rPr>
                        <w:t>4</w:t>
                      </w:r>
                      <w:r>
                        <w:rPr>
                          <w:rFonts w:cs="Arial"/>
                          <w:lang w:val="fr-FR"/>
                        </w:rPr>
                        <w:t xml:space="preserve">). </w:t>
                      </w:r>
                      <w:r w:rsidRPr="001A4D8C">
                        <w:rPr>
                          <w:rFonts w:cs="Arial"/>
                          <w:lang w:val="fr-FR"/>
                        </w:rPr>
                        <w:t>Le texte intégral de</w:t>
                      </w:r>
                      <w:r>
                        <w:rPr>
                          <w:rFonts w:cs="Arial"/>
                          <w:lang w:val="fr-FR"/>
                        </w:rPr>
                        <w:t xml:space="preserve"> tous les</w:t>
                      </w:r>
                      <w:r w:rsidRPr="001A4D8C">
                        <w:rPr>
                          <w:rFonts w:cs="Arial"/>
                          <w:lang w:val="fr-FR"/>
                        </w:rPr>
                        <w:t xml:space="preserve"> éléments justifiant ces propositions est mis à disposition de la </w:t>
                      </w:r>
                      <w:r>
                        <w:rPr>
                          <w:rFonts w:cs="Arial"/>
                          <w:lang w:val="fr-FR"/>
                        </w:rPr>
                        <w:t>COP1</w:t>
                      </w:r>
                      <w:r w:rsidR="00FB44A1">
                        <w:rPr>
                          <w:rFonts w:cs="Arial"/>
                          <w:lang w:val="fr-FR"/>
                        </w:rPr>
                        <w:t>4</w:t>
                      </w:r>
                      <w:r w:rsidRPr="001A4D8C">
                        <w:rPr>
                          <w:rFonts w:cs="Arial"/>
                          <w:lang w:val="fr-FR"/>
                        </w:rPr>
                        <w:t xml:space="preserve"> dans des documents distincts. </w:t>
                      </w:r>
                    </w:p>
                    <w:p w14:paraId="1D2420B0" w14:textId="77777777" w:rsidR="001A02C7" w:rsidRDefault="001A02C7" w:rsidP="001A02C7">
                      <w:pPr>
                        <w:spacing w:after="0" w:line="240" w:lineRule="auto"/>
                        <w:jc w:val="both"/>
                        <w:rPr>
                          <w:rFonts w:cs="Arial"/>
                          <w:lang w:val="fr-FR"/>
                        </w:rPr>
                      </w:pPr>
                    </w:p>
                    <w:p w14:paraId="0E06B31E" w14:textId="77777777" w:rsidR="001A02C7" w:rsidRPr="001A4D8C" w:rsidRDefault="001A02C7" w:rsidP="001A02C7">
                      <w:pPr>
                        <w:spacing w:after="0" w:line="240" w:lineRule="auto"/>
                        <w:jc w:val="both"/>
                        <w:rPr>
                          <w:rFonts w:cs="Arial"/>
                          <w:lang w:val="fr-FR"/>
                        </w:rPr>
                      </w:pPr>
                      <w:r>
                        <w:rPr>
                          <w:rFonts w:cs="Arial"/>
                          <w:lang w:val="fr-FR"/>
                        </w:rPr>
                        <w:t>La Conférence des Parties</w:t>
                      </w:r>
                      <w:r w:rsidRPr="001A4D8C">
                        <w:rPr>
                          <w:rFonts w:cs="Arial"/>
                          <w:lang w:val="fr-FR"/>
                        </w:rPr>
                        <w:t xml:space="preserve"> </w:t>
                      </w:r>
                      <w:r>
                        <w:rPr>
                          <w:rFonts w:cs="Arial"/>
                          <w:lang w:val="fr-FR"/>
                        </w:rPr>
                        <w:t xml:space="preserve">est </w:t>
                      </w:r>
                      <w:r w:rsidRPr="001A4D8C">
                        <w:rPr>
                          <w:rFonts w:cs="Arial"/>
                          <w:lang w:val="fr-FR"/>
                        </w:rPr>
                        <w:t>invitée à</w:t>
                      </w:r>
                      <w:r>
                        <w:rPr>
                          <w:rFonts w:cs="Arial"/>
                          <w:lang w:val="fr-FR"/>
                        </w:rPr>
                        <w:t xml:space="preserve"> examiner c</w:t>
                      </w:r>
                      <w:r w:rsidRPr="001A4D8C">
                        <w:rPr>
                          <w:rFonts w:cs="Arial"/>
                          <w:lang w:val="fr-FR"/>
                        </w:rPr>
                        <w:t>es propositions d'amendements aux</w:t>
                      </w:r>
                      <w:r>
                        <w:rPr>
                          <w:rFonts w:cs="Arial"/>
                          <w:lang w:val="fr-FR"/>
                        </w:rPr>
                        <w:t xml:space="preserve"> </w:t>
                      </w:r>
                      <w:r w:rsidRPr="00F34699">
                        <w:rPr>
                          <w:rFonts w:cs="Arial"/>
                          <w:lang w:val="fr-FR"/>
                        </w:rPr>
                        <w:t>Annexes;</w:t>
                      </w:r>
                      <w:r w:rsidRPr="001A4D8C">
                        <w:rPr>
                          <w:rFonts w:cs="Arial"/>
                          <w:lang w:val="fr-FR"/>
                        </w:rPr>
                        <w:t xml:space="preserve"> et</w:t>
                      </w:r>
                      <w:r>
                        <w:rPr>
                          <w:rFonts w:cs="Arial"/>
                          <w:lang w:val="fr-FR"/>
                        </w:rPr>
                        <w:t xml:space="preserve"> de p</w:t>
                      </w:r>
                      <w:r w:rsidRPr="001A4D8C">
                        <w:rPr>
                          <w:rFonts w:cs="Arial"/>
                          <w:lang w:val="fr-FR"/>
                        </w:rPr>
                        <w:t xml:space="preserve">rendre </w:t>
                      </w:r>
                      <w:r>
                        <w:rPr>
                          <w:rFonts w:cs="Arial"/>
                          <w:lang w:val="fr-FR"/>
                        </w:rPr>
                        <w:t>des décisions</w:t>
                      </w:r>
                      <w:r w:rsidRPr="001A4D8C">
                        <w:rPr>
                          <w:rFonts w:cs="Arial"/>
                          <w:lang w:val="fr-FR"/>
                        </w:rPr>
                        <w:t xml:space="preserve"> en ce qui concerne l'adoption ou le rejet des propositions</w:t>
                      </w:r>
                      <w:r>
                        <w:rPr>
                          <w:sz w:val="24"/>
                          <w:lang w:val="fr-FR"/>
                        </w:rPr>
                        <w:t>.</w:t>
                      </w:r>
                    </w:p>
                    <w:p w14:paraId="01169CE1" w14:textId="77777777" w:rsidR="001A02C7" w:rsidRDefault="001A02C7" w:rsidP="00EC2A58">
                      <w:pPr>
                        <w:spacing w:after="0"/>
                        <w:rPr>
                          <w:rFonts w:cs="Arial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8C2D1F" w14:textId="77777777" w:rsidR="00EC2A58" w:rsidRPr="00EC2A58" w:rsidRDefault="00EC2A58" w:rsidP="00EC2A5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lang w:val="fr-FR"/>
        </w:rPr>
      </w:pPr>
    </w:p>
    <w:p w14:paraId="66ABD8C6" w14:textId="77777777" w:rsidR="00EC2A58" w:rsidRPr="00EC2A58" w:rsidRDefault="00EC2A58" w:rsidP="00EC2A5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lang w:val="fr-FR"/>
        </w:rPr>
      </w:pPr>
    </w:p>
    <w:p w14:paraId="69A80DF3" w14:textId="77777777" w:rsidR="00EC2A58" w:rsidRPr="00EC2A58" w:rsidRDefault="00EC2A58" w:rsidP="00EC2A5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lang w:val="fr-FR"/>
        </w:rPr>
      </w:pPr>
    </w:p>
    <w:p w14:paraId="6F2C244D" w14:textId="77777777" w:rsidR="00EC2A58" w:rsidRPr="00EC2A58" w:rsidRDefault="00EC2A58" w:rsidP="00EC2A5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lang w:val="fr-FR"/>
        </w:rPr>
      </w:pPr>
    </w:p>
    <w:p w14:paraId="0B7995F0" w14:textId="77777777" w:rsidR="00EC2A58" w:rsidRPr="00EC2A58" w:rsidRDefault="00EC2A58" w:rsidP="00EC2A5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lang w:val="fr-FR"/>
        </w:rPr>
      </w:pPr>
    </w:p>
    <w:p w14:paraId="5279C452" w14:textId="77777777" w:rsidR="00EC2A58" w:rsidRPr="00EC2A58" w:rsidRDefault="00EC2A58" w:rsidP="00EC2A5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lang w:val="fr-FR"/>
        </w:rPr>
      </w:pPr>
    </w:p>
    <w:p w14:paraId="246D571B" w14:textId="77777777" w:rsidR="00EC2A58" w:rsidRPr="00EC2A58" w:rsidRDefault="00EC2A58" w:rsidP="00EC2A5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lang w:val="fr-FR"/>
        </w:rPr>
      </w:pPr>
    </w:p>
    <w:p w14:paraId="11B36E12" w14:textId="77777777" w:rsidR="00EC2A58" w:rsidRPr="00EC2A58" w:rsidRDefault="00EC2A58" w:rsidP="00EC2A5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lang w:val="fr-FR"/>
        </w:rPr>
      </w:pPr>
    </w:p>
    <w:p w14:paraId="2B92520D" w14:textId="77777777" w:rsidR="00EC2A58" w:rsidRPr="00EC2A58" w:rsidRDefault="00EC2A58" w:rsidP="00EC2A5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lang w:val="fr-FR"/>
        </w:rPr>
      </w:pPr>
    </w:p>
    <w:p w14:paraId="27628854" w14:textId="77777777" w:rsidR="00EC2A58" w:rsidRPr="00EC2A58" w:rsidRDefault="00EC2A58" w:rsidP="00EC2A5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lang w:val="fr-FR"/>
        </w:rPr>
      </w:pPr>
    </w:p>
    <w:p w14:paraId="0A14BC8F" w14:textId="77777777" w:rsidR="00EC2A58" w:rsidRPr="00EC2A58" w:rsidRDefault="00EC2A58" w:rsidP="00EC2A5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lang w:val="fr-FR"/>
        </w:rPr>
      </w:pPr>
    </w:p>
    <w:p w14:paraId="58927CB6" w14:textId="77777777" w:rsidR="00EC2A58" w:rsidRPr="00EC2A58" w:rsidRDefault="00EC2A58" w:rsidP="00EC2A5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lang w:val="fr-FR"/>
        </w:rPr>
      </w:pPr>
    </w:p>
    <w:p w14:paraId="06C725E4" w14:textId="77777777" w:rsidR="00EC2A58" w:rsidRPr="00EC2A58" w:rsidRDefault="00EC2A58" w:rsidP="00EC2A5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lang w:val="fr-FR"/>
        </w:rPr>
      </w:pPr>
    </w:p>
    <w:p w14:paraId="21055227" w14:textId="77777777" w:rsidR="00EC2A58" w:rsidRPr="00EC2A58" w:rsidRDefault="00EC2A58" w:rsidP="00EC2A5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lang w:val="fr-FR"/>
        </w:rPr>
      </w:pPr>
    </w:p>
    <w:p w14:paraId="642D7017" w14:textId="77777777" w:rsidR="00EC2A58" w:rsidRPr="00EC2A58" w:rsidRDefault="00EC2A58" w:rsidP="00EC2A5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lang w:val="fr-FR"/>
        </w:rPr>
      </w:pPr>
    </w:p>
    <w:p w14:paraId="3E321EF6" w14:textId="77777777" w:rsidR="00EC2A58" w:rsidRPr="00EC2A58" w:rsidRDefault="00EC2A58" w:rsidP="00EC2A5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="Arial"/>
          <w:lang w:val="fr-FR"/>
        </w:rPr>
      </w:pPr>
    </w:p>
    <w:p w14:paraId="23DA9FD5" w14:textId="77777777" w:rsidR="005330F7" w:rsidRPr="00EC2A58" w:rsidRDefault="005330F7" w:rsidP="00EC2A58">
      <w:pPr>
        <w:spacing w:after="0" w:line="240" w:lineRule="auto"/>
        <w:rPr>
          <w:lang w:val="fr-FR"/>
        </w:rPr>
      </w:pPr>
    </w:p>
    <w:p w14:paraId="15326767" w14:textId="77777777" w:rsidR="00EC2A58" w:rsidRPr="00EC2A58" w:rsidRDefault="00EC2A58" w:rsidP="00EC2A58">
      <w:pPr>
        <w:spacing w:after="0" w:line="240" w:lineRule="auto"/>
        <w:rPr>
          <w:lang w:val="fr-FR"/>
        </w:rPr>
      </w:pPr>
    </w:p>
    <w:p w14:paraId="49B596A9" w14:textId="77777777" w:rsidR="00EC2A58" w:rsidRPr="00EC2A58" w:rsidRDefault="00EC2A58" w:rsidP="00EC2A58">
      <w:pPr>
        <w:spacing w:after="0" w:line="240" w:lineRule="auto"/>
        <w:rPr>
          <w:lang w:val="fr-FR"/>
        </w:rPr>
      </w:pPr>
    </w:p>
    <w:p w14:paraId="5661ACBB" w14:textId="77777777" w:rsidR="00EC2A58" w:rsidRPr="00EC2A58" w:rsidRDefault="00EC2A58" w:rsidP="00EC2A58">
      <w:pPr>
        <w:spacing w:after="0" w:line="240" w:lineRule="auto"/>
        <w:rPr>
          <w:lang w:val="fr-FR"/>
        </w:rPr>
      </w:pPr>
    </w:p>
    <w:p w14:paraId="7C2C6BE1" w14:textId="77777777" w:rsidR="00EC2A58" w:rsidRDefault="00EC2A58" w:rsidP="00EC2A58">
      <w:pPr>
        <w:spacing w:after="0" w:line="240" w:lineRule="auto"/>
        <w:rPr>
          <w:lang w:val="fr-FR"/>
        </w:rPr>
      </w:pPr>
    </w:p>
    <w:p w14:paraId="6DA5DDC3" w14:textId="77777777" w:rsidR="009A1000" w:rsidRDefault="009A1000" w:rsidP="00EC2A58">
      <w:pPr>
        <w:spacing w:after="0" w:line="240" w:lineRule="auto"/>
        <w:rPr>
          <w:lang w:val="fr-FR"/>
        </w:rPr>
      </w:pPr>
    </w:p>
    <w:p w14:paraId="2B335DD9" w14:textId="77777777" w:rsidR="009A1000" w:rsidRDefault="009A1000" w:rsidP="00EC2A58">
      <w:pPr>
        <w:spacing w:after="0" w:line="240" w:lineRule="auto"/>
        <w:rPr>
          <w:lang w:val="fr-FR"/>
        </w:rPr>
      </w:pPr>
    </w:p>
    <w:p w14:paraId="6CCA0EBD" w14:textId="77777777" w:rsidR="009A1000" w:rsidRDefault="009A1000" w:rsidP="00EC2A58">
      <w:pPr>
        <w:spacing w:after="0" w:line="240" w:lineRule="auto"/>
        <w:rPr>
          <w:lang w:val="fr-FR"/>
        </w:rPr>
      </w:pPr>
    </w:p>
    <w:p w14:paraId="1FB1AD93" w14:textId="77777777" w:rsidR="009A1000" w:rsidRDefault="009A1000" w:rsidP="00EC2A58">
      <w:pPr>
        <w:spacing w:after="0" w:line="240" w:lineRule="auto"/>
        <w:rPr>
          <w:lang w:val="fr-FR"/>
        </w:rPr>
      </w:pPr>
    </w:p>
    <w:p w14:paraId="4453A5DD" w14:textId="77777777" w:rsidR="009A1000" w:rsidRDefault="009A1000" w:rsidP="00EC2A58">
      <w:pPr>
        <w:spacing w:after="0" w:line="240" w:lineRule="auto"/>
        <w:rPr>
          <w:lang w:val="fr-FR"/>
        </w:rPr>
      </w:pPr>
    </w:p>
    <w:p w14:paraId="4D0CD993" w14:textId="77777777" w:rsidR="009A1000" w:rsidRDefault="009A1000" w:rsidP="00EC2A58">
      <w:pPr>
        <w:spacing w:after="0" w:line="240" w:lineRule="auto"/>
        <w:rPr>
          <w:lang w:val="fr-FR"/>
        </w:rPr>
      </w:pPr>
    </w:p>
    <w:p w14:paraId="085064BB" w14:textId="77777777" w:rsidR="009A1000" w:rsidRDefault="009A1000" w:rsidP="00EC2A58">
      <w:pPr>
        <w:spacing w:after="0" w:line="240" w:lineRule="auto"/>
        <w:rPr>
          <w:lang w:val="fr-FR"/>
        </w:rPr>
      </w:pPr>
    </w:p>
    <w:p w14:paraId="023647FA" w14:textId="77777777" w:rsidR="009A1000" w:rsidRDefault="009A1000" w:rsidP="00EC2A58">
      <w:pPr>
        <w:spacing w:after="0" w:line="240" w:lineRule="auto"/>
        <w:rPr>
          <w:lang w:val="fr-FR"/>
        </w:rPr>
      </w:pPr>
    </w:p>
    <w:p w14:paraId="4A8D4EF8" w14:textId="77777777" w:rsidR="009A1000" w:rsidRPr="00EC2A58" w:rsidRDefault="009A1000" w:rsidP="00EC2A58">
      <w:pPr>
        <w:spacing w:after="0" w:line="240" w:lineRule="auto"/>
        <w:rPr>
          <w:lang w:val="fr-FR"/>
        </w:rPr>
      </w:pPr>
    </w:p>
    <w:p w14:paraId="42B72A61" w14:textId="6A5C2223" w:rsidR="009A1000" w:rsidRPr="00E87B52" w:rsidRDefault="009A1000" w:rsidP="009A1000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="Times New Roman"/>
          <w:lang w:val="fr-FR"/>
        </w:rPr>
        <w:sectPr w:rsidR="009A1000" w:rsidRPr="00E87B52" w:rsidSect="009A1000">
          <w:headerReference w:type="default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1905" w:h="16837"/>
          <w:pgMar w:top="1440" w:right="1440" w:bottom="1440" w:left="1440" w:header="432" w:footer="432" w:gutter="0"/>
          <w:cols w:space="720"/>
          <w:titlePg/>
        </w:sectPr>
      </w:pPr>
    </w:p>
    <w:p w14:paraId="143DDFF9" w14:textId="77777777" w:rsidR="004837DF" w:rsidRPr="00CB741A" w:rsidRDefault="004837DF" w:rsidP="004837DF">
      <w:pPr>
        <w:pStyle w:val="Heading2"/>
        <w:keepNext w:val="0"/>
        <w:spacing w:after="120"/>
        <w:ind w:left="-91" w:right="-369"/>
        <w:jc w:val="center"/>
        <w:rPr>
          <w:rFonts w:ascii="Arial" w:hAnsi="Arial" w:cs="Arial"/>
          <w:b/>
          <w:bCs/>
          <w:color w:val="auto"/>
          <w:sz w:val="22"/>
          <w:szCs w:val="22"/>
          <w:lang w:val="fr-FR"/>
        </w:rPr>
      </w:pPr>
      <w:r w:rsidRPr="00CB741A">
        <w:rPr>
          <w:rFonts w:ascii="Arial" w:hAnsi="Arial" w:cs="Arial"/>
          <w:b/>
          <w:bCs/>
          <w:color w:val="auto"/>
          <w:sz w:val="22"/>
          <w:szCs w:val="22"/>
          <w:lang w:val="fr-FR"/>
        </w:rPr>
        <w:lastRenderedPageBreak/>
        <w:t xml:space="preserve">PROPOSITIONS D’AMENDEMENT AUX ANNEXES </w:t>
      </w:r>
      <w:r>
        <w:rPr>
          <w:rFonts w:ascii="Arial" w:hAnsi="Arial" w:cs="Arial"/>
          <w:b/>
          <w:bCs/>
          <w:color w:val="auto"/>
          <w:sz w:val="22"/>
          <w:szCs w:val="22"/>
          <w:lang w:val="fr-FR"/>
        </w:rPr>
        <w:t xml:space="preserve">I ET II </w:t>
      </w:r>
      <w:r w:rsidRPr="00CB741A">
        <w:rPr>
          <w:rFonts w:ascii="Arial" w:hAnsi="Arial" w:cs="Arial"/>
          <w:b/>
          <w:bCs/>
          <w:color w:val="auto"/>
          <w:sz w:val="22"/>
          <w:szCs w:val="22"/>
          <w:lang w:val="fr-FR"/>
        </w:rPr>
        <w:t>DE LA CONVENTION</w:t>
      </w:r>
    </w:p>
    <w:p w14:paraId="7AC1EFF4" w14:textId="77777777" w:rsidR="00896FBB" w:rsidRPr="00896FBB" w:rsidRDefault="00896FBB" w:rsidP="00896FBB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="Times New Roman"/>
          <w:b/>
          <w:shd w:val="clear" w:color="auto" w:fill="FFFF00"/>
          <w:lang w:val="fr-FR"/>
        </w:rPr>
      </w:pPr>
    </w:p>
    <w:p w14:paraId="36CCF66C" w14:textId="77777777" w:rsidR="00BA33FE" w:rsidRDefault="00BA33FE" w:rsidP="00896FBB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Arial" w:cs="Arial"/>
          <w:u w:val="single"/>
          <w:lang w:val="fr-FR"/>
        </w:rPr>
      </w:pPr>
    </w:p>
    <w:p w14:paraId="7D1F6B7B" w14:textId="1791288A" w:rsidR="00896FBB" w:rsidRPr="008463DB" w:rsidRDefault="00896FBB" w:rsidP="00896FBB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lang w:val="fr-FR"/>
        </w:rPr>
      </w:pPr>
      <w:r w:rsidRPr="00896FBB">
        <w:rPr>
          <w:rFonts w:eastAsia="Arial" w:cs="Arial"/>
          <w:u w:val="single"/>
          <w:lang w:val="fr-FR"/>
        </w:rPr>
        <w:t>Contexte</w:t>
      </w:r>
    </w:p>
    <w:p w14:paraId="396B5A06" w14:textId="77777777" w:rsidR="00896FBB" w:rsidRPr="00896FBB" w:rsidRDefault="00896FBB" w:rsidP="00896FBB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="Arial"/>
          <w:lang w:val="fr-FR"/>
        </w:rPr>
      </w:pPr>
    </w:p>
    <w:p w14:paraId="65C6E5C5" w14:textId="48F53191" w:rsidR="00FB0CEB" w:rsidRPr="00BD7D16" w:rsidRDefault="00FB0CEB" w:rsidP="00FB0CEB">
      <w:pPr>
        <w:pStyle w:val="Level1"/>
        <w:numPr>
          <w:ilvl w:val="0"/>
          <w:numId w:val="0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  <w:lang w:val="fr-FR"/>
        </w:rPr>
      </w:pPr>
      <w:r w:rsidRPr="001A4D8C">
        <w:rPr>
          <w:rFonts w:ascii="Arial" w:hAnsi="Arial" w:cs="Arial"/>
          <w:sz w:val="22"/>
          <w:szCs w:val="22"/>
          <w:lang w:val="fr-FR"/>
        </w:rPr>
        <w:t>1.</w:t>
      </w:r>
      <w:r w:rsidRPr="001A4D8C">
        <w:rPr>
          <w:rFonts w:ascii="Arial" w:hAnsi="Arial" w:cs="Arial"/>
          <w:sz w:val="22"/>
          <w:szCs w:val="22"/>
          <w:lang w:val="fr-FR"/>
        </w:rPr>
        <w:tab/>
        <w:t xml:space="preserve">Conformément aux dispositions de l’Article XI de la Convention, </w:t>
      </w:r>
      <w:r>
        <w:rPr>
          <w:rFonts w:ascii="Arial" w:hAnsi="Arial" w:cs="Arial"/>
          <w:sz w:val="22"/>
          <w:szCs w:val="22"/>
          <w:lang w:val="fr-FR"/>
        </w:rPr>
        <w:t xml:space="preserve">le Secrétariat a </w:t>
      </w:r>
      <w:r w:rsidR="008463DB">
        <w:rPr>
          <w:rFonts w:ascii="Arial" w:hAnsi="Arial" w:cs="Arial"/>
          <w:sz w:val="22"/>
          <w:szCs w:val="22"/>
          <w:lang w:val="fr-FR"/>
        </w:rPr>
        <w:t>reçu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Pr="001A4D8C">
        <w:rPr>
          <w:rFonts w:ascii="Arial" w:hAnsi="Arial" w:cs="Arial"/>
          <w:sz w:val="22"/>
          <w:szCs w:val="22"/>
          <w:lang w:val="fr-FR"/>
        </w:rPr>
        <w:t>des propositions d’amendement des Annexes I et II de la Convention, qui seront étudiées lors de la 1</w:t>
      </w:r>
      <w:r w:rsidR="008463DB">
        <w:rPr>
          <w:rFonts w:ascii="Arial" w:hAnsi="Arial" w:cs="Arial"/>
          <w:sz w:val="22"/>
          <w:szCs w:val="22"/>
          <w:lang w:val="fr-FR"/>
        </w:rPr>
        <w:t>4</w:t>
      </w:r>
      <w:r w:rsidRPr="001A4D8C">
        <w:rPr>
          <w:rFonts w:ascii="Arial" w:hAnsi="Arial" w:cs="Arial"/>
          <w:sz w:val="22"/>
          <w:szCs w:val="22"/>
          <w:vertAlign w:val="superscript"/>
          <w:lang w:val="fr-FR"/>
        </w:rPr>
        <w:t>e</w:t>
      </w:r>
      <w:r w:rsidRPr="001A4D8C">
        <w:rPr>
          <w:rFonts w:ascii="Arial" w:hAnsi="Arial" w:cs="Arial"/>
          <w:sz w:val="22"/>
          <w:szCs w:val="22"/>
          <w:lang w:val="fr-FR"/>
        </w:rPr>
        <w:t xml:space="preserve"> Réunion de la Conférence des</w:t>
      </w:r>
      <w:r>
        <w:rPr>
          <w:rFonts w:ascii="Arial" w:hAnsi="Arial" w:cs="Arial"/>
          <w:sz w:val="22"/>
          <w:szCs w:val="22"/>
          <w:lang w:val="fr-FR"/>
        </w:rPr>
        <w:t xml:space="preserve"> Parties (COP1</w:t>
      </w:r>
      <w:r w:rsidR="008463DB">
        <w:rPr>
          <w:rFonts w:ascii="Arial" w:hAnsi="Arial" w:cs="Arial"/>
          <w:sz w:val="22"/>
          <w:szCs w:val="22"/>
          <w:lang w:val="fr-FR"/>
        </w:rPr>
        <w:t>4</w:t>
      </w:r>
      <w:r>
        <w:rPr>
          <w:rFonts w:ascii="Arial" w:hAnsi="Arial" w:cs="Arial"/>
          <w:sz w:val="22"/>
          <w:szCs w:val="22"/>
          <w:lang w:val="fr-FR"/>
        </w:rPr>
        <w:t xml:space="preserve">). </w:t>
      </w:r>
      <w:r w:rsidRPr="00BD7D16">
        <w:rPr>
          <w:rFonts w:ascii="Arial" w:hAnsi="Arial" w:cs="Arial"/>
          <w:sz w:val="22"/>
          <w:szCs w:val="22"/>
          <w:lang w:val="fr-FR"/>
        </w:rPr>
        <w:t>Les espèces couvertes par les propositions figurent dans le tableau figurant à l</w:t>
      </w:r>
      <w:r>
        <w:rPr>
          <w:rFonts w:ascii="Arial" w:hAnsi="Arial" w:cs="Arial"/>
          <w:sz w:val="22"/>
          <w:szCs w:val="22"/>
          <w:lang w:val="fr-FR"/>
        </w:rPr>
        <w:t>’a</w:t>
      </w:r>
      <w:r w:rsidRPr="00BD7D16">
        <w:rPr>
          <w:rFonts w:ascii="Arial" w:hAnsi="Arial" w:cs="Arial"/>
          <w:sz w:val="22"/>
          <w:szCs w:val="22"/>
          <w:lang w:val="fr-FR"/>
        </w:rPr>
        <w:t xml:space="preserve">nnexe du présent document, ainsi que les parties qui proposent l'amendement. Les parties ont été informées des propositions reçues dans le cadre de la </w:t>
      </w:r>
      <w:hyperlink r:id="rId16" w:history="1">
        <w:r w:rsidRPr="00076151">
          <w:rPr>
            <w:rStyle w:val="Hyperlink"/>
            <w:rFonts w:ascii="Arial" w:hAnsi="Arial" w:cs="Arial"/>
            <w:sz w:val="22"/>
            <w:szCs w:val="22"/>
            <w:lang w:val="fr-FR"/>
          </w:rPr>
          <w:t>Notification 20</w:t>
        </w:r>
        <w:r w:rsidR="001E630F" w:rsidRPr="00076151">
          <w:rPr>
            <w:rStyle w:val="Hyperlink"/>
            <w:rFonts w:ascii="Arial" w:hAnsi="Arial" w:cs="Arial"/>
            <w:sz w:val="22"/>
            <w:szCs w:val="22"/>
            <w:lang w:val="fr-FR"/>
          </w:rPr>
          <w:t>23</w:t>
        </w:r>
        <w:r w:rsidRPr="00076151">
          <w:rPr>
            <w:rStyle w:val="Hyperlink"/>
            <w:rFonts w:ascii="Arial" w:hAnsi="Arial" w:cs="Arial"/>
            <w:sz w:val="22"/>
            <w:szCs w:val="22"/>
            <w:lang w:val="fr-FR"/>
          </w:rPr>
          <w:t>/01</w:t>
        </w:r>
        <w:r w:rsidR="00D9253D" w:rsidRPr="00076151">
          <w:rPr>
            <w:rStyle w:val="Hyperlink"/>
            <w:rFonts w:ascii="Arial" w:hAnsi="Arial" w:cs="Arial"/>
            <w:sz w:val="22"/>
            <w:szCs w:val="22"/>
            <w:lang w:val="fr-FR"/>
          </w:rPr>
          <w:t>5</w:t>
        </w:r>
      </w:hyperlink>
      <w:r w:rsidRPr="00BD7D16">
        <w:rPr>
          <w:rFonts w:ascii="Arial" w:hAnsi="Arial" w:cs="Arial"/>
          <w:sz w:val="22"/>
          <w:szCs w:val="22"/>
          <w:lang w:val="fr-FR"/>
        </w:rPr>
        <w:t xml:space="preserve"> du </w:t>
      </w:r>
      <w:r w:rsidR="007A3B1A">
        <w:rPr>
          <w:rFonts w:ascii="Arial" w:hAnsi="Arial" w:cs="Arial"/>
          <w:sz w:val="22"/>
          <w:szCs w:val="22"/>
          <w:lang w:val="fr-FR"/>
        </w:rPr>
        <w:t>16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="007A3B1A">
        <w:rPr>
          <w:rFonts w:ascii="Arial" w:hAnsi="Arial" w:cs="Arial"/>
          <w:sz w:val="22"/>
          <w:szCs w:val="22"/>
          <w:lang w:val="fr-FR"/>
        </w:rPr>
        <w:t>juin</w:t>
      </w:r>
      <w:r>
        <w:rPr>
          <w:rFonts w:ascii="Arial" w:hAnsi="Arial" w:cs="Arial"/>
          <w:sz w:val="22"/>
          <w:szCs w:val="22"/>
          <w:lang w:val="fr-FR"/>
        </w:rPr>
        <w:t xml:space="preserve"> 20</w:t>
      </w:r>
      <w:r w:rsidR="007A3B1A">
        <w:rPr>
          <w:rFonts w:ascii="Arial" w:hAnsi="Arial" w:cs="Arial"/>
          <w:sz w:val="22"/>
          <w:szCs w:val="22"/>
          <w:lang w:val="fr-FR"/>
        </w:rPr>
        <w:t>23</w:t>
      </w:r>
      <w:r w:rsidRPr="00BD7D16">
        <w:rPr>
          <w:rFonts w:ascii="Arial" w:hAnsi="Arial" w:cs="Arial"/>
          <w:sz w:val="22"/>
          <w:szCs w:val="22"/>
          <w:lang w:val="fr-FR"/>
        </w:rPr>
        <w:t>.</w:t>
      </w:r>
    </w:p>
    <w:p w14:paraId="1A69AC6E" w14:textId="77777777" w:rsidR="00FB0CEB" w:rsidRPr="001A4D8C" w:rsidRDefault="00FB0CEB" w:rsidP="00FB0CEB">
      <w:pPr>
        <w:pStyle w:val="Level1"/>
        <w:numPr>
          <w:ilvl w:val="0"/>
          <w:numId w:val="0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14:paraId="0A437978" w14:textId="7ECB9A1B" w:rsidR="00FB0CEB" w:rsidRPr="003C6883" w:rsidRDefault="00FB0CEB" w:rsidP="003C6883">
      <w:pPr>
        <w:pStyle w:val="Level1"/>
        <w:numPr>
          <w:ilvl w:val="0"/>
          <w:numId w:val="0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  <w:lang w:val="fr-FR"/>
        </w:rPr>
      </w:pPr>
      <w:r w:rsidRPr="00BD7D16">
        <w:rPr>
          <w:rFonts w:ascii="Arial" w:hAnsi="Arial" w:cs="Arial"/>
          <w:sz w:val="22"/>
          <w:szCs w:val="22"/>
          <w:lang w:val="fr-FR"/>
        </w:rPr>
        <w:t>2.</w:t>
      </w:r>
      <w:r w:rsidRPr="00BD7D16">
        <w:rPr>
          <w:rFonts w:ascii="Arial" w:hAnsi="Arial" w:cs="Arial"/>
          <w:sz w:val="22"/>
          <w:szCs w:val="22"/>
          <w:lang w:val="fr-FR"/>
        </w:rPr>
        <w:tab/>
        <w:t xml:space="preserve">Les propositions d'amendement mentionnées </w:t>
      </w:r>
      <w:r>
        <w:rPr>
          <w:rFonts w:ascii="Arial" w:hAnsi="Arial" w:cs="Arial"/>
          <w:sz w:val="22"/>
          <w:szCs w:val="22"/>
          <w:lang w:val="fr-FR"/>
        </w:rPr>
        <w:t xml:space="preserve">ci-dessus </w:t>
      </w:r>
      <w:r w:rsidRPr="00BD7D16">
        <w:rPr>
          <w:rFonts w:ascii="Arial" w:hAnsi="Arial" w:cs="Arial"/>
          <w:sz w:val="22"/>
          <w:szCs w:val="22"/>
          <w:lang w:val="fr-FR"/>
        </w:rPr>
        <w:t>sont accompagnées d</w:t>
      </w:r>
      <w:r>
        <w:rPr>
          <w:rFonts w:ascii="Arial" w:hAnsi="Arial" w:cs="Arial"/>
          <w:sz w:val="22"/>
          <w:szCs w:val="22"/>
          <w:lang w:val="fr-FR"/>
        </w:rPr>
        <w:t>’un argumentaire présenté selon</w:t>
      </w:r>
      <w:r w:rsidRPr="00BD7D16">
        <w:rPr>
          <w:rFonts w:ascii="Arial" w:hAnsi="Arial" w:cs="Arial"/>
          <w:sz w:val="22"/>
          <w:szCs w:val="22"/>
          <w:lang w:val="fr-FR"/>
        </w:rPr>
        <w:t xml:space="preserve"> le format convenu par l</w:t>
      </w:r>
      <w:r>
        <w:rPr>
          <w:rFonts w:ascii="Arial" w:hAnsi="Arial" w:cs="Arial"/>
          <w:sz w:val="22"/>
          <w:szCs w:val="22"/>
          <w:lang w:val="fr-FR"/>
        </w:rPr>
        <w:t>a COP12</w:t>
      </w:r>
      <w:r w:rsidR="00AC0ECC">
        <w:rPr>
          <w:rFonts w:ascii="Arial" w:hAnsi="Arial" w:cs="Arial"/>
          <w:sz w:val="22"/>
          <w:szCs w:val="22"/>
          <w:lang w:val="fr-FR"/>
        </w:rPr>
        <w:t xml:space="preserve"> (</w:t>
      </w:r>
      <w:r>
        <w:rPr>
          <w:rFonts w:ascii="Arial" w:hAnsi="Arial" w:cs="Arial"/>
          <w:sz w:val="22"/>
          <w:szCs w:val="22"/>
          <w:lang w:val="fr-FR"/>
        </w:rPr>
        <w:t>2017</w:t>
      </w:r>
      <w:r w:rsidRPr="00BD7D16">
        <w:rPr>
          <w:rFonts w:ascii="Arial" w:hAnsi="Arial" w:cs="Arial"/>
          <w:sz w:val="22"/>
          <w:szCs w:val="22"/>
          <w:lang w:val="fr-FR"/>
        </w:rPr>
        <w:t>)</w:t>
      </w:r>
      <w:r>
        <w:rPr>
          <w:rFonts w:ascii="Arial" w:hAnsi="Arial" w:cs="Arial"/>
          <w:sz w:val="22"/>
          <w:szCs w:val="22"/>
          <w:lang w:val="fr-FR"/>
        </w:rPr>
        <w:t xml:space="preserve"> et figurant dans l’Annexe 2 de la </w:t>
      </w:r>
      <w:hyperlink r:id="rId17" w:history="1">
        <w:r w:rsidRPr="00D235C1">
          <w:rPr>
            <w:rStyle w:val="Hyperlink"/>
            <w:rFonts w:ascii="Arial" w:hAnsi="Arial" w:cs="Arial"/>
            <w:sz w:val="22"/>
            <w:szCs w:val="22"/>
            <w:lang w:val="fr-FR"/>
          </w:rPr>
          <w:t>Résolution 1</w:t>
        </w:r>
        <w:r w:rsidR="00E0179C" w:rsidRPr="00D235C1">
          <w:rPr>
            <w:rStyle w:val="Hyperlink"/>
            <w:rFonts w:ascii="Arial" w:hAnsi="Arial" w:cs="Arial"/>
            <w:sz w:val="22"/>
            <w:szCs w:val="22"/>
            <w:lang w:val="fr-FR"/>
          </w:rPr>
          <w:t>3</w:t>
        </w:r>
        <w:r w:rsidRPr="00D235C1">
          <w:rPr>
            <w:rStyle w:val="Hyperlink"/>
            <w:rFonts w:ascii="Arial" w:hAnsi="Arial" w:cs="Arial"/>
            <w:sz w:val="22"/>
            <w:szCs w:val="22"/>
            <w:lang w:val="fr-FR"/>
          </w:rPr>
          <w:t>.</w:t>
        </w:r>
        <w:r w:rsidR="00E0179C" w:rsidRPr="00D235C1">
          <w:rPr>
            <w:rStyle w:val="Hyperlink"/>
            <w:rFonts w:ascii="Arial" w:hAnsi="Arial" w:cs="Arial"/>
            <w:sz w:val="22"/>
            <w:szCs w:val="22"/>
            <w:lang w:val="fr-FR"/>
          </w:rPr>
          <w:t>7</w:t>
        </w:r>
      </w:hyperlink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Pr="00A07408">
        <w:rPr>
          <w:rFonts w:ascii="Arial" w:hAnsi="Arial" w:cs="Arial"/>
          <w:i/>
          <w:sz w:val="22"/>
          <w:szCs w:val="22"/>
          <w:lang w:val="fr-FR"/>
        </w:rPr>
        <w:t>Lignes directrices pour</w:t>
      </w:r>
      <w:r w:rsidR="009670AE">
        <w:rPr>
          <w:rFonts w:ascii="Arial" w:hAnsi="Arial" w:cs="Arial"/>
          <w:i/>
          <w:sz w:val="22"/>
          <w:szCs w:val="22"/>
          <w:lang w:val="fr-FR"/>
        </w:rPr>
        <w:t xml:space="preserve"> la </w:t>
      </w:r>
      <w:r w:rsidR="009D0DC0">
        <w:rPr>
          <w:rFonts w:ascii="Arial" w:hAnsi="Arial" w:cs="Arial"/>
          <w:i/>
          <w:sz w:val="22"/>
          <w:szCs w:val="22"/>
          <w:lang w:val="fr-FR"/>
        </w:rPr>
        <w:t>préparation</w:t>
      </w:r>
      <w:r w:rsidR="009670AE">
        <w:rPr>
          <w:rFonts w:ascii="Arial" w:hAnsi="Arial" w:cs="Arial"/>
          <w:i/>
          <w:sz w:val="22"/>
          <w:szCs w:val="22"/>
          <w:lang w:val="fr-FR"/>
        </w:rPr>
        <w:t xml:space="preserve"> et</w:t>
      </w:r>
      <w:r w:rsidRPr="00A07408">
        <w:rPr>
          <w:rFonts w:ascii="Arial" w:hAnsi="Arial" w:cs="Arial"/>
          <w:i/>
          <w:sz w:val="22"/>
          <w:szCs w:val="22"/>
          <w:lang w:val="fr-FR"/>
        </w:rPr>
        <w:t xml:space="preserve"> l’évaluation des propositions d’inscription aux Annexes I et II de la Convention</w:t>
      </w:r>
      <w:r w:rsidRPr="00BD7D16">
        <w:rPr>
          <w:rFonts w:ascii="Arial" w:hAnsi="Arial" w:cs="Arial"/>
          <w:sz w:val="22"/>
          <w:szCs w:val="22"/>
          <w:lang w:val="fr-FR"/>
        </w:rPr>
        <w:t>. Le</w:t>
      </w:r>
      <w:r>
        <w:rPr>
          <w:rFonts w:ascii="Arial" w:hAnsi="Arial" w:cs="Arial"/>
          <w:sz w:val="22"/>
          <w:szCs w:val="22"/>
          <w:lang w:val="fr-FR"/>
        </w:rPr>
        <w:t xml:space="preserve"> texte intégral relatif aux éléments justifiant les propositions est soumis à </w:t>
      </w:r>
      <w:r w:rsidRPr="00BD7D16">
        <w:rPr>
          <w:rFonts w:ascii="Arial" w:hAnsi="Arial" w:cs="Arial"/>
          <w:sz w:val="22"/>
          <w:szCs w:val="22"/>
          <w:lang w:val="fr-FR"/>
        </w:rPr>
        <w:t>la COP1</w:t>
      </w:r>
      <w:r w:rsidR="009D0DC0">
        <w:rPr>
          <w:rFonts w:ascii="Arial" w:hAnsi="Arial" w:cs="Arial"/>
          <w:sz w:val="22"/>
          <w:szCs w:val="22"/>
          <w:lang w:val="fr-FR"/>
        </w:rPr>
        <w:t>4</w:t>
      </w:r>
      <w:r w:rsidRPr="00BD7D16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 xml:space="preserve">dans des </w:t>
      </w:r>
      <w:r w:rsidRPr="00BD7D16">
        <w:rPr>
          <w:rFonts w:ascii="Arial" w:hAnsi="Arial" w:cs="Arial"/>
          <w:sz w:val="22"/>
          <w:szCs w:val="22"/>
          <w:lang w:val="fr-FR"/>
        </w:rPr>
        <w:t>documents distincts (UNEP/CMS/COP1</w:t>
      </w:r>
      <w:r w:rsidR="009D0DC0">
        <w:rPr>
          <w:rFonts w:ascii="Arial" w:hAnsi="Arial" w:cs="Arial"/>
          <w:sz w:val="22"/>
          <w:szCs w:val="22"/>
          <w:lang w:val="fr-FR"/>
        </w:rPr>
        <w:t>4</w:t>
      </w:r>
      <w:r w:rsidRPr="00BD7D16">
        <w:rPr>
          <w:rFonts w:ascii="Arial" w:hAnsi="Arial" w:cs="Arial"/>
          <w:sz w:val="22"/>
          <w:szCs w:val="22"/>
          <w:lang w:val="fr-FR"/>
        </w:rPr>
        <w:t>/Doc.</w:t>
      </w:r>
      <w:r w:rsidR="00270B57">
        <w:rPr>
          <w:rFonts w:ascii="Arial" w:hAnsi="Arial" w:cs="Arial"/>
          <w:sz w:val="22"/>
          <w:szCs w:val="22"/>
          <w:lang w:val="fr-FR"/>
        </w:rPr>
        <w:t>31</w:t>
      </w:r>
      <w:r w:rsidRPr="00BD7D16">
        <w:rPr>
          <w:rFonts w:ascii="Arial" w:hAnsi="Arial" w:cs="Arial"/>
          <w:sz w:val="22"/>
          <w:szCs w:val="22"/>
          <w:lang w:val="fr-FR"/>
        </w:rPr>
        <w:t>.</w:t>
      </w:r>
      <w:r w:rsidR="00270B57">
        <w:rPr>
          <w:rFonts w:ascii="Arial" w:hAnsi="Arial" w:cs="Arial"/>
          <w:sz w:val="22"/>
          <w:szCs w:val="22"/>
          <w:lang w:val="fr-FR"/>
        </w:rPr>
        <w:t>4</w:t>
      </w:r>
      <w:r>
        <w:rPr>
          <w:rFonts w:ascii="Arial" w:hAnsi="Arial" w:cs="Arial"/>
          <w:sz w:val="22"/>
          <w:szCs w:val="22"/>
          <w:lang w:val="fr-FR"/>
        </w:rPr>
        <w:t>.XX</w:t>
      </w:r>
      <w:r w:rsidRPr="00BD7D16">
        <w:rPr>
          <w:rFonts w:ascii="Arial" w:hAnsi="Arial" w:cs="Arial"/>
          <w:sz w:val="22"/>
          <w:szCs w:val="22"/>
          <w:lang w:val="fr-FR"/>
        </w:rPr>
        <w:t>). Les textes des propositions sont traduits dans les langues de travail de la Conférence des Parties</w:t>
      </w:r>
      <w:r>
        <w:rPr>
          <w:rFonts w:ascii="Arial" w:hAnsi="Arial" w:cs="Arial"/>
          <w:sz w:val="22"/>
          <w:szCs w:val="22"/>
          <w:lang w:val="fr-FR"/>
        </w:rPr>
        <w:t>.</w:t>
      </w:r>
    </w:p>
    <w:p w14:paraId="5997AF9B" w14:textId="77777777" w:rsidR="00FB0CEB" w:rsidRPr="001A4D8C" w:rsidRDefault="00FB0CEB" w:rsidP="00FB0CEB">
      <w:pPr>
        <w:tabs>
          <w:tab w:val="left" w:pos="567"/>
        </w:tabs>
        <w:spacing w:after="0" w:line="240" w:lineRule="auto"/>
        <w:jc w:val="both"/>
        <w:rPr>
          <w:rFonts w:cs="Arial"/>
          <w:lang w:val="fr-FR"/>
        </w:rPr>
      </w:pPr>
    </w:p>
    <w:p w14:paraId="2B38C44C" w14:textId="39C2D0F9" w:rsidR="00FB0CEB" w:rsidRDefault="007229EE" w:rsidP="00FB0CEB">
      <w:pPr>
        <w:pStyle w:val="Level1"/>
        <w:numPr>
          <w:ilvl w:val="0"/>
          <w:numId w:val="0"/>
        </w:numPr>
        <w:tabs>
          <w:tab w:val="left" w:pos="567"/>
        </w:tabs>
        <w:ind w:left="566" w:hanging="566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3</w:t>
      </w:r>
      <w:r w:rsidR="00FB0CEB" w:rsidRPr="001A4D8C">
        <w:rPr>
          <w:rFonts w:ascii="Arial" w:hAnsi="Arial" w:cs="Arial"/>
          <w:sz w:val="22"/>
          <w:szCs w:val="22"/>
          <w:lang w:val="fr-FR"/>
        </w:rPr>
        <w:t>.</w:t>
      </w:r>
      <w:r w:rsidR="00FB0CEB" w:rsidRPr="001A4D8C">
        <w:rPr>
          <w:rFonts w:ascii="Arial" w:hAnsi="Arial" w:cs="Arial"/>
          <w:sz w:val="22"/>
          <w:szCs w:val="22"/>
          <w:lang w:val="fr-FR"/>
        </w:rPr>
        <w:tab/>
      </w:r>
      <w:r w:rsidR="00FB0CEB" w:rsidRPr="00AD2733">
        <w:rPr>
          <w:rFonts w:ascii="Arial" w:hAnsi="Arial" w:cs="Arial"/>
          <w:sz w:val="22"/>
          <w:szCs w:val="22"/>
          <w:lang w:val="fr-FR"/>
        </w:rPr>
        <w:t xml:space="preserve">Conformément à l’article XI, paragraphe 3, de la Convention, les Parties sont priées de faire part au Secrétariat de leurs commentaires sur les propositions pour le </w:t>
      </w:r>
      <w:r w:rsidR="006B5D6B">
        <w:rPr>
          <w:rFonts w:ascii="Arial" w:hAnsi="Arial" w:cs="Arial"/>
          <w:sz w:val="22"/>
          <w:szCs w:val="22"/>
          <w:lang w:val="fr-FR"/>
        </w:rPr>
        <w:t>24 aout</w:t>
      </w:r>
      <w:r w:rsidR="00FB0CEB">
        <w:rPr>
          <w:rFonts w:ascii="Arial" w:hAnsi="Arial" w:cs="Arial"/>
          <w:sz w:val="22"/>
          <w:szCs w:val="22"/>
          <w:lang w:val="fr-FR"/>
        </w:rPr>
        <w:t xml:space="preserve"> 20</w:t>
      </w:r>
      <w:r w:rsidR="006B5D6B">
        <w:rPr>
          <w:rFonts w:ascii="Arial" w:hAnsi="Arial" w:cs="Arial"/>
          <w:sz w:val="22"/>
          <w:szCs w:val="22"/>
          <w:lang w:val="fr-FR"/>
        </w:rPr>
        <w:t>23</w:t>
      </w:r>
      <w:r w:rsidR="00FB0CEB" w:rsidRPr="00AD2733">
        <w:rPr>
          <w:rFonts w:ascii="Arial" w:hAnsi="Arial" w:cs="Arial"/>
          <w:sz w:val="22"/>
          <w:szCs w:val="22"/>
          <w:lang w:val="fr-FR"/>
        </w:rPr>
        <w:t xml:space="preserve">. </w:t>
      </w:r>
      <w:r w:rsidR="00FB0CEB">
        <w:rPr>
          <w:rFonts w:ascii="Arial" w:hAnsi="Arial" w:cs="Arial"/>
          <w:sz w:val="22"/>
          <w:szCs w:val="22"/>
          <w:lang w:val="fr-FR"/>
        </w:rPr>
        <w:t>Tous l</w:t>
      </w:r>
      <w:r w:rsidR="00FB0CEB" w:rsidRPr="00AD2733">
        <w:rPr>
          <w:rFonts w:ascii="Arial" w:hAnsi="Arial" w:cs="Arial"/>
          <w:sz w:val="22"/>
          <w:szCs w:val="22"/>
          <w:lang w:val="fr-FR"/>
        </w:rPr>
        <w:t xml:space="preserve">es commentaires reçus pour </w:t>
      </w:r>
      <w:r w:rsidR="00FB0CEB">
        <w:rPr>
          <w:rFonts w:ascii="Arial" w:hAnsi="Arial" w:cs="Arial"/>
          <w:sz w:val="22"/>
          <w:szCs w:val="22"/>
          <w:lang w:val="fr-FR"/>
        </w:rPr>
        <w:t>cette</w:t>
      </w:r>
      <w:r w:rsidR="00FB0CEB" w:rsidRPr="00AD2733">
        <w:rPr>
          <w:rFonts w:ascii="Arial" w:hAnsi="Arial" w:cs="Arial"/>
          <w:sz w:val="22"/>
          <w:szCs w:val="22"/>
          <w:lang w:val="fr-FR"/>
        </w:rPr>
        <w:t xml:space="preserve"> date limite seront compilés par le Secrétariat sous la forme d’un addendum au présent document</w:t>
      </w:r>
      <w:r w:rsidR="00FB0CEB">
        <w:rPr>
          <w:rFonts w:ascii="Arial" w:hAnsi="Arial" w:cs="Arial"/>
          <w:sz w:val="22"/>
          <w:szCs w:val="22"/>
          <w:lang w:val="fr-FR"/>
        </w:rPr>
        <w:t>.</w:t>
      </w:r>
    </w:p>
    <w:p w14:paraId="3BCF5C2B" w14:textId="77777777" w:rsidR="00FB0CEB" w:rsidRDefault="00FB0CEB" w:rsidP="00FB0CEB">
      <w:pPr>
        <w:pStyle w:val="Level1"/>
        <w:numPr>
          <w:ilvl w:val="0"/>
          <w:numId w:val="0"/>
        </w:numPr>
        <w:tabs>
          <w:tab w:val="left" w:pos="567"/>
        </w:tabs>
        <w:ind w:left="566" w:hanging="566"/>
        <w:jc w:val="both"/>
        <w:rPr>
          <w:rFonts w:ascii="Arial" w:hAnsi="Arial" w:cs="Arial"/>
          <w:sz w:val="22"/>
          <w:szCs w:val="22"/>
          <w:lang w:val="fr-FR"/>
        </w:rPr>
      </w:pPr>
    </w:p>
    <w:p w14:paraId="1D0FBF2E" w14:textId="7EDB6BF6" w:rsidR="00FB0CEB" w:rsidRDefault="00FB0CEB" w:rsidP="002A47DE">
      <w:pPr>
        <w:pStyle w:val="Firstnumbering"/>
        <w:ind w:left="567" w:hanging="567"/>
      </w:pPr>
      <w:r w:rsidRPr="003D1AE9">
        <w:t xml:space="preserve">Conformément au paragraphe </w:t>
      </w:r>
      <w:r w:rsidR="003725FB">
        <w:t>12</w:t>
      </w:r>
      <w:r w:rsidRPr="003D1AE9">
        <w:t xml:space="preserve"> de la Résolution 1</w:t>
      </w:r>
      <w:r w:rsidR="003725FB">
        <w:t>3</w:t>
      </w:r>
      <w:r w:rsidRPr="003D1AE9">
        <w:t>.</w:t>
      </w:r>
      <w:r w:rsidR="003725FB">
        <w:t>7</w:t>
      </w:r>
      <w:r w:rsidRPr="003D1AE9">
        <w:t>, le Secrétariat consultera d'autres orga</w:t>
      </w:r>
      <w:r>
        <w:t>nismes</w:t>
      </w:r>
      <w:r w:rsidRPr="003D1AE9">
        <w:t xml:space="preserve"> intergouvernementaux, y compris les ORGP, ayant une fonction en r</w:t>
      </w:r>
      <w:r>
        <w:t>elation</w:t>
      </w:r>
      <w:r w:rsidRPr="003D1AE9">
        <w:t xml:space="preserve"> avec toute espèce faisant l'objet d'une proposition d'amendement des Annexes. Les commentaires issus de ces consultations et reçus </w:t>
      </w:r>
      <w:r>
        <w:t>pour</w:t>
      </w:r>
      <w:r w:rsidRPr="003D1AE9">
        <w:t xml:space="preserve"> le </w:t>
      </w:r>
      <w:r w:rsidR="00F23F2F">
        <w:t>24</w:t>
      </w:r>
      <w:r w:rsidRPr="003D1AE9">
        <w:t xml:space="preserve"> </w:t>
      </w:r>
      <w:r w:rsidR="00F23F2F">
        <w:t>aout</w:t>
      </w:r>
      <w:r w:rsidRPr="003D1AE9">
        <w:t xml:space="preserve"> 20</w:t>
      </w:r>
      <w:r w:rsidR="00F23F2F">
        <w:t>23</w:t>
      </w:r>
      <w:r w:rsidRPr="003D1AE9">
        <w:t xml:space="preserve"> seront également compilés par le Secrétariat dans un addendum au présent document.</w:t>
      </w:r>
    </w:p>
    <w:p w14:paraId="00260E39" w14:textId="77777777" w:rsidR="00FB0CEB" w:rsidRDefault="00FB0CEB" w:rsidP="00FB0CEB">
      <w:pPr>
        <w:pStyle w:val="Firstnumbering"/>
        <w:numPr>
          <w:ilvl w:val="0"/>
          <w:numId w:val="0"/>
        </w:numPr>
        <w:ind w:left="567"/>
      </w:pPr>
    </w:p>
    <w:p w14:paraId="4EFC5143" w14:textId="77777777" w:rsidR="00FB0CEB" w:rsidRPr="003D1AE9" w:rsidRDefault="00FB0CEB" w:rsidP="00FB0CEB">
      <w:pPr>
        <w:pStyle w:val="Firstnumbering"/>
        <w:ind w:left="567" w:hanging="567"/>
      </w:pPr>
      <w:r w:rsidRPr="003D1AE9">
        <w:rPr>
          <w:rFonts w:cs="Arial"/>
        </w:rPr>
        <w:t xml:space="preserve">Des détails sur le traitement des commentaires et l'amendement des propositions figurent à l'Annexe 1 du </w:t>
      </w:r>
      <w:hyperlink r:id="rId18" w:history="1">
        <w:r w:rsidRPr="003D1AE9">
          <w:rPr>
            <w:rStyle w:val="Hyperlink"/>
            <w:rFonts w:cs="Arial"/>
          </w:rPr>
          <w:t>Rapport de la 48ème réunion du Comité permanent</w:t>
        </w:r>
      </w:hyperlink>
      <w:r w:rsidRPr="003D1AE9">
        <w:rPr>
          <w:rFonts w:cs="Arial"/>
        </w:rPr>
        <w:t xml:space="preserve"> (Bonn, 23-24 octobre 2018).</w:t>
      </w:r>
    </w:p>
    <w:p w14:paraId="40C645CB" w14:textId="77777777" w:rsidR="00FB0CEB" w:rsidRPr="003D1AE9" w:rsidRDefault="00FB0CEB" w:rsidP="00FB0CEB">
      <w:pPr>
        <w:pStyle w:val="Firstnumbering"/>
        <w:numPr>
          <w:ilvl w:val="0"/>
          <w:numId w:val="0"/>
        </w:numPr>
      </w:pPr>
    </w:p>
    <w:p w14:paraId="1170456E" w14:textId="5403A590" w:rsidR="00FB0CEB" w:rsidRPr="003D1AE9" w:rsidRDefault="00FB0CEB" w:rsidP="00FB0CEB">
      <w:pPr>
        <w:pStyle w:val="Firstnumbering"/>
        <w:ind w:left="567" w:hanging="567"/>
      </w:pPr>
      <w:r w:rsidRPr="003D1AE9">
        <w:rPr>
          <w:rFonts w:cs="Arial"/>
        </w:rPr>
        <w:t xml:space="preserve">Toutes les propositions seront examinées lors de la </w:t>
      </w:r>
      <w:r w:rsidR="00C243A6">
        <w:rPr>
          <w:rFonts w:cs="Arial"/>
        </w:rPr>
        <w:t>6</w:t>
      </w:r>
      <w:r w:rsidRPr="003D1AE9">
        <w:rPr>
          <w:rFonts w:cs="Arial"/>
          <w:vertAlign w:val="superscript"/>
        </w:rPr>
        <w:t>e</w:t>
      </w:r>
      <w:r w:rsidRPr="003D1AE9">
        <w:rPr>
          <w:rFonts w:cs="Arial"/>
        </w:rPr>
        <w:t xml:space="preserve"> réunion du Comité de session du Conseil scientifique de la CMS (Bonn, </w:t>
      </w:r>
      <w:r w:rsidR="00C243A6">
        <w:rPr>
          <w:rFonts w:cs="Arial"/>
        </w:rPr>
        <w:t>18</w:t>
      </w:r>
      <w:r w:rsidRPr="003D1AE9">
        <w:rPr>
          <w:rFonts w:cs="Arial"/>
        </w:rPr>
        <w:t>-</w:t>
      </w:r>
      <w:r w:rsidR="00C243A6">
        <w:rPr>
          <w:rFonts w:cs="Arial"/>
        </w:rPr>
        <w:t>21</w:t>
      </w:r>
      <w:r w:rsidRPr="003D1AE9">
        <w:rPr>
          <w:rFonts w:cs="Arial"/>
        </w:rPr>
        <w:t xml:space="preserve"> </w:t>
      </w:r>
      <w:r w:rsidR="00C243A6">
        <w:rPr>
          <w:rFonts w:cs="Arial"/>
        </w:rPr>
        <w:t>juillet</w:t>
      </w:r>
      <w:r w:rsidRPr="003D1AE9">
        <w:rPr>
          <w:rFonts w:cs="Arial"/>
        </w:rPr>
        <w:t xml:space="preserve"> 20</w:t>
      </w:r>
      <w:r w:rsidR="00C243A6">
        <w:rPr>
          <w:rFonts w:cs="Arial"/>
        </w:rPr>
        <w:t>23</w:t>
      </w:r>
      <w:r w:rsidRPr="003D1AE9">
        <w:rPr>
          <w:rFonts w:cs="Arial"/>
        </w:rPr>
        <w:t>), qui les évaluera du point de vue scientifique et technique et fournira des conseils à la Conférence des Parties.</w:t>
      </w:r>
    </w:p>
    <w:p w14:paraId="1B2447C8" w14:textId="77777777" w:rsidR="00FB0CEB" w:rsidRDefault="00FB0CEB" w:rsidP="00FB0CEB">
      <w:pPr>
        <w:pStyle w:val="Level1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  <w:lang w:val="fr-FR"/>
        </w:rPr>
      </w:pPr>
    </w:p>
    <w:p w14:paraId="59E28DAF" w14:textId="77777777" w:rsidR="00FB0CEB" w:rsidRDefault="00FB0CEB" w:rsidP="00FB0CEB">
      <w:pPr>
        <w:pStyle w:val="Level1"/>
        <w:numPr>
          <w:ilvl w:val="0"/>
          <w:numId w:val="0"/>
        </w:numPr>
        <w:ind w:left="566" w:hanging="566"/>
        <w:jc w:val="both"/>
        <w:rPr>
          <w:rFonts w:ascii="Arial" w:hAnsi="Arial" w:cs="Arial"/>
          <w:sz w:val="22"/>
          <w:szCs w:val="22"/>
          <w:u w:val="single"/>
          <w:lang w:val="fr-FR"/>
        </w:rPr>
      </w:pPr>
      <w:r w:rsidRPr="00AD2733">
        <w:rPr>
          <w:rFonts w:ascii="Arial" w:hAnsi="Arial" w:cs="Arial"/>
          <w:sz w:val="22"/>
          <w:szCs w:val="22"/>
          <w:u w:val="single"/>
          <w:lang w:val="fr-FR"/>
        </w:rPr>
        <w:t>Actions recommandées :</w:t>
      </w:r>
    </w:p>
    <w:p w14:paraId="63625E18" w14:textId="77777777" w:rsidR="00FB0CEB" w:rsidRDefault="00FB0CEB" w:rsidP="00FB0CEB">
      <w:pPr>
        <w:pStyle w:val="Level1"/>
        <w:numPr>
          <w:ilvl w:val="0"/>
          <w:numId w:val="0"/>
        </w:numPr>
        <w:ind w:left="566" w:hanging="566"/>
        <w:jc w:val="both"/>
        <w:rPr>
          <w:rFonts w:ascii="Arial" w:hAnsi="Arial" w:cs="Arial"/>
          <w:sz w:val="22"/>
          <w:szCs w:val="22"/>
          <w:u w:val="single"/>
          <w:lang w:val="fr-FR"/>
        </w:rPr>
      </w:pPr>
    </w:p>
    <w:p w14:paraId="4FC0B1A8" w14:textId="77777777" w:rsidR="00FB0CEB" w:rsidRPr="00AD2733" w:rsidRDefault="00FB0CEB" w:rsidP="00FB0CEB">
      <w:pPr>
        <w:pStyle w:val="Firstnumbering"/>
        <w:ind w:left="567" w:hanging="567"/>
      </w:pPr>
      <w:r>
        <w:t>Il est recommandé à la Conférence des Parties :</w:t>
      </w:r>
    </w:p>
    <w:p w14:paraId="2E6C6C4C" w14:textId="77777777" w:rsidR="00FB0CEB" w:rsidRDefault="00FB0CEB" w:rsidP="00FB0CEB">
      <w:pPr>
        <w:pStyle w:val="Level1"/>
        <w:numPr>
          <w:ilvl w:val="0"/>
          <w:numId w:val="0"/>
        </w:numPr>
        <w:ind w:left="566" w:hanging="566"/>
        <w:jc w:val="both"/>
        <w:rPr>
          <w:rFonts w:ascii="Arial" w:hAnsi="Arial" w:cs="Arial"/>
          <w:sz w:val="22"/>
          <w:szCs w:val="22"/>
          <w:u w:val="single"/>
          <w:lang w:val="fr-FR"/>
        </w:rPr>
      </w:pPr>
    </w:p>
    <w:p w14:paraId="10837987" w14:textId="77777777" w:rsidR="00FB0CEB" w:rsidRDefault="00FB0CEB" w:rsidP="00FB0CEB">
      <w:pPr>
        <w:pStyle w:val="ListParagraph"/>
        <w:numPr>
          <w:ilvl w:val="0"/>
          <w:numId w:val="4"/>
        </w:numPr>
        <w:spacing w:after="0" w:line="240" w:lineRule="auto"/>
        <w:ind w:left="1134" w:hanging="567"/>
        <w:contextualSpacing w:val="0"/>
        <w:jc w:val="both"/>
        <w:rPr>
          <w:rFonts w:cs="Arial"/>
          <w:lang w:val="fr-FR"/>
        </w:rPr>
      </w:pPr>
      <w:r>
        <w:rPr>
          <w:rFonts w:cs="Arial"/>
          <w:lang w:val="fr-FR"/>
        </w:rPr>
        <w:t>d’e</w:t>
      </w:r>
      <w:r w:rsidRPr="00AD2733">
        <w:rPr>
          <w:rFonts w:cs="Arial"/>
          <w:lang w:val="fr-FR"/>
        </w:rPr>
        <w:t>xaminer les propositions d'amendements aux Annexes</w:t>
      </w:r>
      <w:r>
        <w:rPr>
          <w:rFonts w:cs="Arial"/>
          <w:lang w:val="fr-FR"/>
        </w:rPr>
        <w:t> ;</w:t>
      </w:r>
    </w:p>
    <w:p w14:paraId="1ED9E252" w14:textId="77777777" w:rsidR="00FB0CEB" w:rsidRDefault="00FB0CEB" w:rsidP="00FB0CEB">
      <w:pPr>
        <w:pStyle w:val="ListParagraph"/>
        <w:spacing w:after="0" w:line="240" w:lineRule="auto"/>
        <w:ind w:left="1134"/>
        <w:contextualSpacing w:val="0"/>
        <w:jc w:val="both"/>
        <w:rPr>
          <w:rFonts w:cs="Arial"/>
          <w:lang w:val="fr-FR"/>
        </w:rPr>
      </w:pPr>
    </w:p>
    <w:p w14:paraId="27CC390F" w14:textId="77777777" w:rsidR="00FB0CEB" w:rsidRPr="007E5AF7" w:rsidRDefault="00FB0CEB" w:rsidP="00FB0CEB">
      <w:pPr>
        <w:pStyle w:val="ListParagraph"/>
        <w:numPr>
          <w:ilvl w:val="0"/>
          <w:numId w:val="4"/>
        </w:numPr>
        <w:spacing w:after="0" w:line="240" w:lineRule="auto"/>
        <w:ind w:left="1134" w:hanging="567"/>
        <w:contextualSpacing w:val="0"/>
        <w:jc w:val="both"/>
        <w:rPr>
          <w:rFonts w:cs="Arial"/>
          <w:lang w:val="fr-FR"/>
        </w:rPr>
      </w:pPr>
      <w:r>
        <w:rPr>
          <w:rFonts w:cs="Arial"/>
          <w:lang w:val="fr-FR"/>
        </w:rPr>
        <w:t>d</w:t>
      </w:r>
      <w:r w:rsidRPr="007E5AF7">
        <w:rPr>
          <w:rFonts w:cs="Arial"/>
          <w:lang w:val="fr-FR"/>
        </w:rPr>
        <w:t>e prendre des décisions en ce qui concerne l'adoption ou le rejet de</w:t>
      </w:r>
      <w:r>
        <w:rPr>
          <w:rFonts w:cs="Arial"/>
          <w:lang w:val="fr-FR"/>
        </w:rPr>
        <w:t xml:space="preserve">s </w:t>
      </w:r>
      <w:r w:rsidRPr="007E5AF7">
        <w:rPr>
          <w:rFonts w:cs="Arial"/>
          <w:lang w:val="fr-FR"/>
        </w:rPr>
        <w:t>proposition</w:t>
      </w:r>
      <w:r>
        <w:rPr>
          <w:rFonts w:cs="Arial"/>
          <w:lang w:val="fr-FR"/>
        </w:rPr>
        <w:t>s</w:t>
      </w:r>
    </w:p>
    <w:p w14:paraId="2BB1F6F3" w14:textId="77777777" w:rsidR="0061248C" w:rsidRDefault="0061248C">
      <w:pPr>
        <w:rPr>
          <w:lang w:val="fr-FR"/>
        </w:rPr>
        <w:sectPr w:rsidR="0061248C" w:rsidSect="00B973C6">
          <w:headerReference w:type="first" r:id="rId19"/>
          <w:footerReference w:type="first" r:id="rId20"/>
          <w:pgSz w:w="11906" w:h="16838" w:code="9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9C97577" w14:textId="0637879B" w:rsidR="005C2513" w:rsidRPr="003E7E46" w:rsidRDefault="005C2513" w:rsidP="005C2513">
      <w:pPr>
        <w:pStyle w:val="Secondnumbering"/>
        <w:numPr>
          <w:ilvl w:val="0"/>
          <w:numId w:val="0"/>
        </w:numPr>
        <w:jc w:val="right"/>
        <w:rPr>
          <w:lang w:val="fr-FR"/>
        </w:rPr>
      </w:pPr>
      <w:r w:rsidRPr="003E7E46">
        <w:rPr>
          <w:rFonts w:cs="Arial"/>
          <w:b/>
          <w:caps/>
          <w:lang w:val="fr-FR"/>
        </w:rPr>
        <w:lastRenderedPageBreak/>
        <w:t>Annex</w:t>
      </w:r>
      <w:r w:rsidR="00414F1B" w:rsidRPr="003E7E46">
        <w:rPr>
          <w:rFonts w:cs="Arial"/>
          <w:b/>
          <w:caps/>
          <w:lang w:val="fr-FR"/>
        </w:rPr>
        <w:t>E</w:t>
      </w:r>
    </w:p>
    <w:p w14:paraId="70AC3696" w14:textId="77777777" w:rsidR="005C2513" w:rsidRPr="003E7E46" w:rsidRDefault="005C2513" w:rsidP="005C2513">
      <w:pPr>
        <w:pStyle w:val="Secondnumbering"/>
        <w:numPr>
          <w:ilvl w:val="0"/>
          <w:numId w:val="0"/>
        </w:numPr>
        <w:rPr>
          <w:lang w:val="fr-FR"/>
        </w:rPr>
      </w:pPr>
    </w:p>
    <w:p w14:paraId="2836470C" w14:textId="77777777" w:rsidR="003E7E46" w:rsidRDefault="003E7E46" w:rsidP="003E7E4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after="0" w:line="240" w:lineRule="auto"/>
        <w:jc w:val="center"/>
        <w:outlineLvl w:val="1"/>
        <w:rPr>
          <w:rFonts w:cs="Arial"/>
          <w:b/>
          <w:caps/>
          <w:lang w:val="fr-FR"/>
        </w:rPr>
      </w:pPr>
      <w:r w:rsidRPr="00C242E1">
        <w:rPr>
          <w:rFonts w:cs="Arial"/>
          <w:b/>
          <w:caps/>
          <w:lang w:val="fr-FR"/>
        </w:rPr>
        <w:t>RÉSUMÉ DES PROPOSITIONS D’AMENDEMENT</w:t>
      </w:r>
    </w:p>
    <w:p w14:paraId="1DDF9192" w14:textId="5E63051A" w:rsidR="005C2513" w:rsidRPr="003E7E46" w:rsidRDefault="003E7E46" w:rsidP="005C25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after="0" w:line="240" w:lineRule="auto"/>
        <w:jc w:val="center"/>
        <w:outlineLvl w:val="1"/>
        <w:rPr>
          <w:rFonts w:cs="Arial"/>
          <w:b/>
          <w:caps/>
          <w:lang w:val="fr-FR"/>
        </w:rPr>
      </w:pPr>
      <w:r>
        <w:rPr>
          <w:rFonts w:cs="Arial"/>
          <w:b/>
          <w:caps/>
          <w:lang w:val="fr-FR"/>
        </w:rPr>
        <w:t>AUX</w:t>
      </w:r>
      <w:r w:rsidRPr="00C242E1">
        <w:rPr>
          <w:rFonts w:cs="Arial"/>
          <w:b/>
          <w:caps/>
          <w:lang w:val="fr-FR"/>
        </w:rPr>
        <w:t xml:space="preserve"> ANNEXES I ET II DE LA CONVENTION</w:t>
      </w:r>
    </w:p>
    <w:p w14:paraId="24E05D77" w14:textId="77777777" w:rsidR="005C2513" w:rsidRPr="003E7E46" w:rsidRDefault="005C2513" w:rsidP="005C25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after="0" w:line="240" w:lineRule="auto"/>
        <w:jc w:val="center"/>
        <w:outlineLvl w:val="1"/>
        <w:rPr>
          <w:rFonts w:cs="Arial"/>
          <w:b/>
          <w:caps/>
          <w:lang w:val="fr-FR"/>
        </w:rPr>
      </w:pPr>
    </w:p>
    <w:p w14:paraId="4E6E6663" w14:textId="3D090F09" w:rsidR="005C2513" w:rsidRPr="005F6856" w:rsidRDefault="005C2513" w:rsidP="005C2513">
      <w:pPr>
        <w:tabs>
          <w:tab w:val="left" w:pos="5040"/>
          <w:tab w:val="left" w:pos="5760"/>
          <w:tab w:val="left" w:pos="6008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cs="Arial"/>
          <w:lang w:val="fr-FR"/>
        </w:rPr>
      </w:pPr>
      <w:r w:rsidRPr="005F6856">
        <w:rPr>
          <w:rFonts w:cs="Arial"/>
          <w:i/>
          <w:lang w:val="fr-FR"/>
        </w:rPr>
        <w:t>S</w:t>
      </w:r>
      <w:r w:rsidR="009203CC" w:rsidRPr="005F6856">
        <w:rPr>
          <w:rFonts w:cs="Arial"/>
          <w:i/>
          <w:lang w:val="fr-FR"/>
        </w:rPr>
        <w:t xml:space="preserve">oumis </w:t>
      </w:r>
      <w:r w:rsidR="00494129" w:rsidRPr="005F6856">
        <w:rPr>
          <w:rFonts w:cs="Arial"/>
          <w:i/>
          <w:lang w:val="fr-FR"/>
        </w:rPr>
        <w:t>par</w:t>
      </w:r>
    </w:p>
    <w:p w14:paraId="7C5ABABA" w14:textId="77777777" w:rsidR="005C2513" w:rsidRPr="005F6856" w:rsidRDefault="005C2513" w:rsidP="005C2513">
      <w:pPr>
        <w:tabs>
          <w:tab w:val="left" w:pos="5040"/>
          <w:tab w:val="left" w:pos="5760"/>
          <w:tab w:val="left" w:pos="6008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="Arial"/>
          <w:lang w:val="fr-FR"/>
        </w:rPr>
      </w:pPr>
    </w:p>
    <w:p w14:paraId="3FBA7ECF" w14:textId="77777777" w:rsidR="005C2513" w:rsidRPr="005F6856" w:rsidRDefault="005C2513" w:rsidP="005C2513">
      <w:pPr>
        <w:tabs>
          <w:tab w:val="left" w:pos="5040"/>
          <w:tab w:val="left" w:pos="5760"/>
          <w:tab w:val="left" w:pos="6008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cs="Arial"/>
          <w:lang w:val="fr-FR"/>
        </w:rPr>
      </w:pPr>
    </w:p>
    <w:p w14:paraId="709FB42C" w14:textId="3795C1C4" w:rsidR="005C2513" w:rsidRPr="005F6856" w:rsidRDefault="005C2513" w:rsidP="005C2513">
      <w:pPr>
        <w:tabs>
          <w:tab w:val="left" w:pos="5040"/>
          <w:tab w:val="left" w:pos="5760"/>
          <w:tab w:val="left" w:pos="6008"/>
          <w:tab w:val="left" w:pos="6480"/>
          <w:tab w:val="left" w:pos="7200"/>
          <w:tab w:val="left" w:pos="7920"/>
          <w:tab w:val="left" w:pos="8640"/>
        </w:tabs>
        <w:rPr>
          <w:rFonts w:cs="Arial"/>
          <w:color w:val="222222"/>
          <w:shd w:val="clear" w:color="auto" w:fill="FFFFFF"/>
          <w:lang w:val="fr-FR"/>
        </w:rPr>
      </w:pPr>
      <w:r w:rsidRPr="005F6856">
        <w:rPr>
          <w:rFonts w:cs="Arial"/>
          <w:color w:val="222222"/>
          <w:shd w:val="clear" w:color="auto" w:fill="FFFFFF"/>
          <w:lang w:val="fr-FR"/>
        </w:rPr>
        <w:t>Albani</w:t>
      </w:r>
      <w:r w:rsidR="005F6856" w:rsidRPr="005F6856">
        <w:rPr>
          <w:rFonts w:cs="Arial"/>
          <w:color w:val="222222"/>
          <w:shd w:val="clear" w:color="auto" w:fill="FFFFFF"/>
          <w:lang w:val="fr-FR"/>
        </w:rPr>
        <w:t>e</w:t>
      </w:r>
      <w:r w:rsidRPr="005F6856">
        <w:rPr>
          <w:rFonts w:cs="Arial"/>
          <w:color w:val="222222"/>
          <w:shd w:val="clear" w:color="auto" w:fill="FFFFFF"/>
          <w:lang w:val="fr-FR"/>
        </w:rPr>
        <w:tab/>
      </w:r>
      <w:r w:rsidRPr="005F6856">
        <w:rPr>
          <w:rFonts w:cs="Arial"/>
          <w:color w:val="222222"/>
          <w:shd w:val="clear" w:color="auto" w:fill="FFFFFF"/>
          <w:lang w:val="fr-FR"/>
        </w:rPr>
        <w:tab/>
        <w:t>(ALB)</w:t>
      </w:r>
    </w:p>
    <w:p w14:paraId="39CFE82E" w14:textId="724E45C2" w:rsidR="005C2513" w:rsidRPr="005F6856" w:rsidRDefault="005C2513" w:rsidP="005C2513">
      <w:pPr>
        <w:tabs>
          <w:tab w:val="left" w:pos="5040"/>
          <w:tab w:val="left" w:pos="5760"/>
          <w:tab w:val="left" w:pos="6008"/>
          <w:tab w:val="left" w:pos="6480"/>
          <w:tab w:val="left" w:pos="7200"/>
          <w:tab w:val="left" w:pos="7920"/>
          <w:tab w:val="left" w:pos="8640"/>
        </w:tabs>
        <w:rPr>
          <w:rFonts w:cs="Arial"/>
          <w:lang w:val="fr-FR"/>
        </w:rPr>
      </w:pPr>
      <w:r w:rsidRPr="005F6856">
        <w:rPr>
          <w:rFonts w:cs="Arial"/>
          <w:color w:val="222222"/>
          <w:shd w:val="clear" w:color="auto" w:fill="FFFFFF"/>
          <w:lang w:val="fr-FR"/>
        </w:rPr>
        <w:t>Argentin</w:t>
      </w:r>
      <w:r w:rsidR="005F6856" w:rsidRPr="005F6856">
        <w:rPr>
          <w:rFonts w:cs="Arial"/>
          <w:color w:val="222222"/>
          <w:shd w:val="clear" w:color="auto" w:fill="FFFFFF"/>
          <w:lang w:val="fr-FR"/>
        </w:rPr>
        <w:t>e</w:t>
      </w:r>
      <w:r w:rsidRPr="005F6856">
        <w:rPr>
          <w:rFonts w:cs="Arial"/>
          <w:color w:val="222222"/>
          <w:shd w:val="clear" w:color="auto" w:fill="FFFFFF"/>
          <w:lang w:val="fr-FR"/>
        </w:rPr>
        <w:tab/>
      </w:r>
      <w:r w:rsidRPr="005F6856">
        <w:rPr>
          <w:rFonts w:cs="Arial"/>
          <w:color w:val="222222"/>
          <w:shd w:val="clear" w:color="auto" w:fill="FFFFFF"/>
          <w:lang w:val="fr-FR"/>
        </w:rPr>
        <w:tab/>
        <w:t>(ARG)</w:t>
      </w:r>
    </w:p>
    <w:p w14:paraId="780B11A3" w14:textId="4FD584F5" w:rsidR="005C2513" w:rsidRPr="007C741E" w:rsidRDefault="007C741E" w:rsidP="005C2513">
      <w:pPr>
        <w:tabs>
          <w:tab w:val="left" w:pos="5040"/>
          <w:tab w:val="left" w:pos="5760"/>
          <w:tab w:val="left" w:pos="6008"/>
          <w:tab w:val="left" w:pos="6480"/>
          <w:tab w:val="left" w:pos="7200"/>
          <w:tab w:val="left" w:pos="7920"/>
          <w:tab w:val="left" w:pos="8640"/>
        </w:tabs>
        <w:rPr>
          <w:rFonts w:cs="Arial"/>
          <w:lang w:val="fr-FR"/>
        </w:rPr>
      </w:pPr>
      <w:r w:rsidRPr="0015748D">
        <w:rPr>
          <w:rFonts w:cs="Arial"/>
          <w:shd w:val="clear" w:color="auto" w:fill="FFFFFF"/>
          <w:lang w:val="fr-FR"/>
        </w:rPr>
        <w:t>Bolivie, État plurinational de</w:t>
      </w:r>
      <w:r w:rsidR="005C2513" w:rsidRPr="007C741E">
        <w:rPr>
          <w:rFonts w:cs="Arial"/>
          <w:lang w:val="fr-FR"/>
        </w:rPr>
        <w:tab/>
      </w:r>
      <w:r w:rsidR="005C2513" w:rsidRPr="007C741E">
        <w:rPr>
          <w:rFonts w:cs="Arial"/>
          <w:lang w:val="fr-FR"/>
        </w:rPr>
        <w:tab/>
        <w:t>(BOL)</w:t>
      </w:r>
    </w:p>
    <w:p w14:paraId="5BB08DC1" w14:textId="46AEFDC4" w:rsidR="005C2513" w:rsidRPr="006A7461" w:rsidRDefault="005C2513" w:rsidP="005C2513">
      <w:pPr>
        <w:tabs>
          <w:tab w:val="left" w:pos="5040"/>
          <w:tab w:val="left" w:pos="5760"/>
          <w:tab w:val="left" w:pos="6008"/>
          <w:tab w:val="left" w:pos="6480"/>
          <w:tab w:val="left" w:pos="7200"/>
          <w:tab w:val="left" w:pos="7920"/>
          <w:tab w:val="left" w:pos="8640"/>
        </w:tabs>
        <w:rPr>
          <w:rFonts w:cs="Arial"/>
          <w:lang w:val="it-IT"/>
        </w:rPr>
      </w:pPr>
      <w:r w:rsidRPr="006A7461">
        <w:rPr>
          <w:rFonts w:cs="Arial"/>
          <w:lang w:val="it-IT"/>
        </w:rPr>
        <w:t>Bosni</w:t>
      </w:r>
      <w:r w:rsidR="009A3F53">
        <w:rPr>
          <w:rFonts w:cs="Arial"/>
          <w:lang w:val="it-IT"/>
        </w:rPr>
        <w:t>e-</w:t>
      </w:r>
      <w:r w:rsidRPr="006A7461">
        <w:rPr>
          <w:rFonts w:cs="Arial"/>
          <w:lang w:val="it-IT"/>
        </w:rPr>
        <w:t>Herz</w:t>
      </w:r>
      <w:r w:rsidR="00621EF7">
        <w:rPr>
          <w:rFonts w:cs="Arial"/>
          <w:lang w:val="it-IT"/>
        </w:rPr>
        <w:t>é</w:t>
      </w:r>
      <w:r w:rsidRPr="006A7461">
        <w:rPr>
          <w:rFonts w:cs="Arial"/>
          <w:lang w:val="it-IT"/>
        </w:rPr>
        <w:t>govin</w:t>
      </w:r>
      <w:r w:rsidR="00621EF7">
        <w:rPr>
          <w:rFonts w:cs="Arial"/>
          <w:lang w:val="it-IT"/>
        </w:rPr>
        <w:t>e</w:t>
      </w:r>
      <w:r w:rsidRPr="006A7461">
        <w:rPr>
          <w:rFonts w:cs="Arial"/>
          <w:lang w:val="it-IT"/>
        </w:rPr>
        <w:tab/>
      </w:r>
      <w:r w:rsidRPr="006A7461">
        <w:rPr>
          <w:rFonts w:cs="Arial"/>
          <w:lang w:val="it-IT"/>
        </w:rPr>
        <w:tab/>
        <w:t>(BIH)</w:t>
      </w:r>
    </w:p>
    <w:p w14:paraId="1F3B028D" w14:textId="6B890676" w:rsidR="005C2513" w:rsidRPr="006A7461" w:rsidRDefault="008E5A04" w:rsidP="005C2513">
      <w:pPr>
        <w:tabs>
          <w:tab w:val="left" w:pos="5040"/>
          <w:tab w:val="left" w:pos="5760"/>
          <w:tab w:val="left" w:pos="6008"/>
          <w:tab w:val="left" w:pos="6480"/>
          <w:tab w:val="left" w:pos="7200"/>
          <w:tab w:val="left" w:pos="7920"/>
          <w:tab w:val="left" w:pos="8640"/>
        </w:tabs>
        <w:rPr>
          <w:rFonts w:cs="Arial"/>
          <w:lang w:val="it-IT"/>
        </w:rPr>
      </w:pPr>
      <w:r w:rsidRPr="00233DC0">
        <w:rPr>
          <w:rFonts w:cs="Arial"/>
          <w:lang w:val="it-IT"/>
        </w:rPr>
        <w:t>Brésil</w:t>
      </w:r>
      <w:r w:rsidR="005C2513" w:rsidRPr="006A7461">
        <w:rPr>
          <w:rFonts w:cs="Arial"/>
          <w:lang w:val="it-IT"/>
        </w:rPr>
        <w:tab/>
      </w:r>
      <w:r w:rsidR="005C2513" w:rsidRPr="006A7461">
        <w:rPr>
          <w:rFonts w:cs="Arial"/>
          <w:lang w:val="it-IT"/>
        </w:rPr>
        <w:tab/>
        <w:t>(BRA)</w:t>
      </w:r>
    </w:p>
    <w:p w14:paraId="35DDA21B" w14:textId="3EC829FE" w:rsidR="005C2513" w:rsidRPr="00233DC0" w:rsidRDefault="00F32BB3" w:rsidP="005C2513">
      <w:pPr>
        <w:tabs>
          <w:tab w:val="left" w:pos="5040"/>
          <w:tab w:val="left" w:pos="5760"/>
          <w:tab w:val="left" w:pos="6008"/>
          <w:tab w:val="left" w:pos="6480"/>
          <w:tab w:val="left" w:pos="7200"/>
          <w:tab w:val="left" w:pos="7920"/>
          <w:tab w:val="left" w:pos="8640"/>
        </w:tabs>
        <w:rPr>
          <w:rFonts w:cs="Arial"/>
          <w:lang w:val="it-IT"/>
        </w:rPr>
      </w:pPr>
      <w:r w:rsidRPr="00233DC0">
        <w:rPr>
          <w:rFonts w:cs="Arial"/>
          <w:lang w:val="it-IT"/>
        </w:rPr>
        <w:t>Chili</w:t>
      </w:r>
      <w:r w:rsidR="005C2513" w:rsidRPr="00233DC0">
        <w:rPr>
          <w:rFonts w:cs="Arial"/>
          <w:lang w:val="it-IT"/>
        </w:rPr>
        <w:tab/>
      </w:r>
      <w:r w:rsidR="005C2513" w:rsidRPr="00233DC0">
        <w:rPr>
          <w:rFonts w:cs="Arial"/>
          <w:lang w:val="it-IT"/>
        </w:rPr>
        <w:tab/>
        <w:t>(CHL)</w:t>
      </w:r>
    </w:p>
    <w:p w14:paraId="12A0B935" w14:textId="6F735ABE" w:rsidR="005C2513" w:rsidRPr="00233DC0" w:rsidRDefault="005C2513" w:rsidP="005C2513">
      <w:pPr>
        <w:tabs>
          <w:tab w:val="left" w:pos="5040"/>
          <w:tab w:val="left" w:pos="5760"/>
          <w:tab w:val="left" w:pos="6008"/>
          <w:tab w:val="left" w:pos="6480"/>
          <w:tab w:val="left" w:pos="7200"/>
          <w:tab w:val="left" w:pos="7920"/>
          <w:tab w:val="left" w:pos="8640"/>
        </w:tabs>
        <w:rPr>
          <w:rFonts w:cs="Arial"/>
          <w:lang w:val="fr-FR"/>
        </w:rPr>
      </w:pPr>
      <w:r w:rsidRPr="00233DC0">
        <w:rPr>
          <w:rFonts w:cs="Arial"/>
          <w:lang w:val="fr-FR"/>
        </w:rPr>
        <w:t>E</w:t>
      </w:r>
      <w:r w:rsidR="0003072E" w:rsidRPr="00233DC0">
        <w:rPr>
          <w:rFonts w:cs="Arial"/>
          <w:lang w:val="fr-FR"/>
        </w:rPr>
        <w:t>quateur</w:t>
      </w:r>
      <w:r w:rsidRPr="00233DC0">
        <w:rPr>
          <w:rFonts w:cs="Arial"/>
          <w:lang w:val="fr-FR"/>
        </w:rPr>
        <w:tab/>
      </w:r>
      <w:r w:rsidRPr="00233DC0">
        <w:rPr>
          <w:rFonts w:cs="Arial"/>
          <w:lang w:val="fr-FR"/>
        </w:rPr>
        <w:tab/>
        <w:t>(ECU)</w:t>
      </w:r>
    </w:p>
    <w:p w14:paraId="3AEDE019" w14:textId="0D5B5746" w:rsidR="005C2513" w:rsidRPr="009A67D4" w:rsidRDefault="009A67D4" w:rsidP="005C2513">
      <w:pPr>
        <w:tabs>
          <w:tab w:val="left" w:pos="5040"/>
          <w:tab w:val="left" w:pos="5760"/>
          <w:tab w:val="left" w:pos="6008"/>
          <w:tab w:val="left" w:pos="6480"/>
          <w:tab w:val="left" w:pos="7200"/>
          <w:tab w:val="left" w:pos="7920"/>
          <w:tab w:val="left" w:pos="8640"/>
        </w:tabs>
        <w:rPr>
          <w:rFonts w:cs="Arial"/>
          <w:lang w:val="fr-FR"/>
        </w:rPr>
      </w:pPr>
      <w:r w:rsidRPr="005E681E">
        <w:rPr>
          <w:rFonts w:cs="Arial"/>
          <w:lang w:val="fr-FR"/>
        </w:rPr>
        <w:t>Union européenne et ses États</w:t>
      </w:r>
      <w:r>
        <w:rPr>
          <w:rFonts w:cs="Arial"/>
          <w:lang w:val="fr-FR"/>
        </w:rPr>
        <w:t xml:space="preserve"> membres</w:t>
      </w:r>
      <w:r w:rsidR="005C2513" w:rsidRPr="009A67D4">
        <w:rPr>
          <w:rFonts w:cs="Arial"/>
          <w:lang w:val="fr-FR"/>
        </w:rPr>
        <w:tab/>
      </w:r>
      <w:r w:rsidR="005C2513" w:rsidRPr="009A67D4">
        <w:rPr>
          <w:rFonts w:cs="Arial"/>
          <w:lang w:val="fr-FR"/>
        </w:rPr>
        <w:tab/>
        <w:t>(EU)</w:t>
      </w:r>
    </w:p>
    <w:p w14:paraId="52BB019D" w14:textId="132F0EA9" w:rsidR="005C2513" w:rsidRPr="00233DC0" w:rsidRDefault="005C2513" w:rsidP="005C2513">
      <w:pPr>
        <w:tabs>
          <w:tab w:val="left" w:pos="5040"/>
          <w:tab w:val="left" w:pos="5760"/>
          <w:tab w:val="left" w:pos="6008"/>
          <w:tab w:val="left" w:pos="6480"/>
          <w:tab w:val="left" w:pos="7200"/>
          <w:tab w:val="left" w:pos="7920"/>
          <w:tab w:val="left" w:pos="8640"/>
        </w:tabs>
        <w:rPr>
          <w:rFonts w:cs="Arial"/>
          <w:shd w:val="clear" w:color="auto" w:fill="FFFFFF"/>
          <w:lang w:val="fr-FR"/>
        </w:rPr>
      </w:pPr>
      <w:r w:rsidRPr="00233DC0">
        <w:rPr>
          <w:rFonts w:cs="Arial"/>
          <w:shd w:val="clear" w:color="auto" w:fill="FFFFFF"/>
          <w:lang w:val="fr-FR"/>
        </w:rPr>
        <w:t>Isra</w:t>
      </w:r>
      <w:r w:rsidR="00DC3800" w:rsidRPr="00233DC0">
        <w:rPr>
          <w:rFonts w:cs="Arial"/>
          <w:shd w:val="clear" w:color="auto" w:fill="FFFFFF"/>
          <w:lang w:val="fr-FR"/>
        </w:rPr>
        <w:t>ë</w:t>
      </w:r>
      <w:r w:rsidRPr="00233DC0">
        <w:rPr>
          <w:rFonts w:cs="Arial"/>
          <w:shd w:val="clear" w:color="auto" w:fill="FFFFFF"/>
          <w:lang w:val="fr-FR"/>
        </w:rPr>
        <w:t>l</w:t>
      </w:r>
      <w:r w:rsidRPr="00233DC0">
        <w:rPr>
          <w:rFonts w:cs="Arial"/>
          <w:shd w:val="clear" w:color="auto" w:fill="FFFFFF"/>
          <w:lang w:val="fr-FR"/>
        </w:rPr>
        <w:tab/>
      </w:r>
      <w:r w:rsidRPr="00233DC0">
        <w:rPr>
          <w:rFonts w:cs="Arial"/>
          <w:shd w:val="clear" w:color="auto" w:fill="FFFFFF"/>
          <w:lang w:val="fr-FR"/>
        </w:rPr>
        <w:tab/>
        <w:t>(ISR)</w:t>
      </w:r>
    </w:p>
    <w:p w14:paraId="6B39B867" w14:textId="77777777" w:rsidR="005C2513" w:rsidRPr="00233DC0" w:rsidRDefault="005C2513" w:rsidP="005C2513">
      <w:pPr>
        <w:tabs>
          <w:tab w:val="left" w:pos="5040"/>
          <w:tab w:val="left" w:pos="5760"/>
          <w:tab w:val="left" w:pos="6008"/>
          <w:tab w:val="left" w:pos="6480"/>
          <w:tab w:val="left" w:pos="7200"/>
          <w:tab w:val="left" w:pos="7920"/>
          <w:tab w:val="left" w:pos="8640"/>
        </w:tabs>
        <w:rPr>
          <w:rFonts w:cs="Arial"/>
          <w:shd w:val="clear" w:color="auto" w:fill="FFFFFF"/>
          <w:lang w:val="fr-FR"/>
        </w:rPr>
      </w:pPr>
      <w:r w:rsidRPr="00233DC0">
        <w:rPr>
          <w:rFonts w:cs="Arial"/>
          <w:shd w:val="clear" w:color="auto" w:fill="FFFFFF"/>
          <w:lang w:val="fr-FR"/>
        </w:rPr>
        <w:t>Kazakhstan</w:t>
      </w:r>
      <w:r w:rsidRPr="00233DC0">
        <w:rPr>
          <w:rFonts w:cs="Arial"/>
          <w:shd w:val="clear" w:color="auto" w:fill="FFFFFF"/>
          <w:lang w:val="fr-FR"/>
        </w:rPr>
        <w:tab/>
      </w:r>
      <w:r w:rsidRPr="00233DC0">
        <w:rPr>
          <w:rFonts w:cs="Arial"/>
          <w:shd w:val="clear" w:color="auto" w:fill="FFFFFF"/>
          <w:lang w:val="fr-FR"/>
        </w:rPr>
        <w:tab/>
        <w:t>(KAZ)</w:t>
      </w:r>
    </w:p>
    <w:p w14:paraId="2064357D" w14:textId="007B33F5" w:rsidR="005C2513" w:rsidRPr="00233DC0" w:rsidRDefault="005C2513" w:rsidP="005C2513">
      <w:pPr>
        <w:tabs>
          <w:tab w:val="left" w:pos="5040"/>
          <w:tab w:val="left" w:pos="5760"/>
          <w:tab w:val="left" w:pos="6008"/>
          <w:tab w:val="left" w:pos="6480"/>
          <w:tab w:val="left" w:pos="7200"/>
          <w:tab w:val="left" w:pos="7920"/>
          <w:tab w:val="left" w:pos="8640"/>
        </w:tabs>
        <w:rPr>
          <w:rFonts w:cs="Arial"/>
          <w:shd w:val="clear" w:color="auto" w:fill="FFFFFF"/>
          <w:lang w:val="fr-FR"/>
        </w:rPr>
      </w:pPr>
      <w:r w:rsidRPr="00233DC0">
        <w:rPr>
          <w:rFonts w:cs="Arial"/>
          <w:shd w:val="clear" w:color="auto" w:fill="FFFFFF"/>
          <w:lang w:val="fr-FR"/>
        </w:rPr>
        <w:t>Mac</w:t>
      </w:r>
      <w:r w:rsidR="000F7C00" w:rsidRPr="00233DC0">
        <w:rPr>
          <w:rFonts w:cs="Arial"/>
          <w:shd w:val="clear" w:color="auto" w:fill="FFFFFF"/>
          <w:lang w:val="fr-FR"/>
        </w:rPr>
        <w:t>é</w:t>
      </w:r>
      <w:r w:rsidRPr="00233DC0">
        <w:rPr>
          <w:rFonts w:cs="Arial"/>
          <w:shd w:val="clear" w:color="auto" w:fill="FFFFFF"/>
          <w:lang w:val="fr-FR"/>
        </w:rPr>
        <w:t>do</w:t>
      </w:r>
      <w:r w:rsidR="000F7C00" w:rsidRPr="00233DC0">
        <w:rPr>
          <w:rFonts w:cs="Arial"/>
          <w:shd w:val="clear" w:color="auto" w:fill="FFFFFF"/>
          <w:lang w:val="fr-FR"/>
        </w:rPr>
        <w:t>i</w:t>
      </w:r>
      <w:r w:rsidRPr="00233DC0">
        <w:rPr>
          <w:rFonts w:cs="Arial"/>
          <w:shd w:val="clear" w:color="auto" w:fill="FFFFFF"/>
          <w:lang w:val="fr-FR"/>
        </w:rPr>
        <w:t>n</w:t>
      </w:r>
      <w:r w:rsidR="000F7C00" w:rsidRPr="00233DC0">
        <w:rPr>
          <w:rFonts w:cs="Arial"/>
          <w:shd w:val="clear" w:color="auto" w:fill="FFFFFF"/>
          <w:lang w:val="fr-FR"/>
        </w:rPr>
        <w:t>e du Nord</w:t>
      </w:r>
      <w:r w:rsidRPr="00233DC0">
        <w:rPr>
          <w:rFonts w:cs="Arial"/>
          <w:shd w:val="clear" w:color="auto" w:fill="FFFFFF"/>
          <w:lang w:val="fr-FR"/>
        </w:rPr>
        <w:tab/>
      </w:r>
      <w:r w:rsidRPr="00233DC0">
        <w:rPr>
          <w:rFonts w:cs="Arial"/>
          <w:shd w:val="clear" w:color="auto" w:fill="FFFFFF"/>
          <w:lang w:val="fr-FR"/>
        </w:rPr>
        <w:tab/>
        <w:t>(MKD)</w:t>
      </w:r>
    </w:p>
    <w:p w14:paraId="3F64CFCE" w14:textId="77777777" w:rsidR="005C2513" w:rsidRPr="00F27935" w:rsidRDefault="005C2513" w:rsidP="005C2513">
      <w:pPr>
        <w:tabs>
          <w:tab w:val="left" w:pos="5040"/>
          <w:tab w:val="left" w:pos="5760"/>
          <w:tab w:val="left" w:pos="6008"/>
          <w:tab w:val="left" w:pos="6480"/>
          <w:tab w:val="left" w:pos="7200"/>
          <w:tab w:val="left" w:pos="7920"/>
          <w:tab w:val="left" w:pos="8640"/>
        </w:tabs>
        <w:rPr>
          <w:rFonts w:cs="Arial"/>
          <w:shd w:val="clear" w:color="auto" w:fill="FFFFFF"/>
          <w:lang w:val="es-ES"/>
        </w:rPr>
      </w:pPr>
      <w:r w:rsidRPr="00F27935">
        <w:rPr>
          <w:rFonts w:cs="Arial"/>
          <w:shd w:val="clear" w:color="auto" w:fill="FFFFFF"/>
          <w:lang w:val="es-ES"/>
        </w:rPr>
        <w:t>Panama</w:t>
      </w:r>
      <w:r w:rsidRPr="00F27935">
        <w:rPr>
          <w:rFonts w:cs="Arial"/>
          <w:shd w:val="clear" w:color="auto" w:fill="FFFFFF"/>
          <w:lang w:val="es-ES"/>
        </w:rPr>
        <w:tab/>
      </w:r>
      <w:r w:rsidRPr="00F27935">
        <w:rPr>
          <w:rFonts w:cs="Arial"/>
          <w:shd w:val="clear" w:color="auto" w:fill="FFFFFF"/>
          <w:lang w:val="es-ES"/>
        </w:rPr>
        <w:tab/>
        <w:t>(PAN)</w:t>
      </w:r>
    </w:p>
    <w:p w14:paraId="1984F20C" w14:textId="77777777" w:rsidR="005C2513" w:rsidRPr="00233DC0" w:rsidRDefault="005C2513" w:rsidP="005C2513">
      <w:pPr>
        <w:tabs>
          <w:tab w:val="left" w:pos="5040"/>
          <w:tab w:val="left" w:pos="5760"/>
          <w:tab w:val="left" w:pos="6008"/>
          <w:tab w:val="left" w:pos="6480"/>
          <w:tab w:val="left" w:pos="7200"/>
          <w:tab w:val="left" w:pos="7920"/>
          <w:tab w:val="left" w:pos="8640"/>
        </w:tabs>
        <w:rPr>
          <w:rFonts w:cs="Arial"/>
          <w:lang w:val="es-ES"/>
        </w:rPr>
      </w:pPr>
      <w:r w:rsidRPr="00233DC0">
        <w:rPr>
          <w:rFonts w:cs="Arial"/>
          <w:shd w:val="clear" w:color="auto" w:fill="FFFFFF"/>
          <w:lang w:val="es-ES"/>
        </w:rPr>
        <w:t>Paraguay</w:t>
      </w:r>
      <w:r w:rsidRPr="00233DC0">
        <w:rPr>
          <w:rFonts w:cs="Arial"/>
          <w:lang w:val="es-ES"/>
        </w:rPr>
        <w:tab/>
      </w:r>
      <w:r w:rsidRPr="00233DC0">
        <w:rPr>
          <w:rFonts w:cs="Arial"/>
          <w:lang w:val="es-ES"/>
        </w:rPr>
        <w:tab/>
        <w:t>(PRY)</w:t>
      </w:r>
    </w:p>
    <w:p w14:paraId="1C467288" w14:textId="44691B18" w:rsidR="005C2513" w:rsidRPr="00233DC0" w:rsidRDefault="005C2513" w:rsidP="005C2513">
      <w:pPr>
        <w:tabs>
          <w:tab w:val="left" w:pos="5040"/>
          <w:tab w:val="left" w:pos="5760"/>
          <w:tab w:val="left" w:pos="6008"/>
          <w:tab w:val="left" w:pos="6480"/>
          <w:tab w:val="left" w:pos="7200"/>
          <w:tab w:val="left" w:pos="7920"/>
          <w:tab w:val="left" w:pos="8640"/>
        </w:tabs>
        <w:rPr>
          <w:rFonts w:cs="Arial"/>
          <w:lang w:val="es-ES"/>
        </w:rPr>
      </w:pPr>
      <w:r w:rsidRPr="00233DC0">
        <w:rPr>
          <w:rFonts w:cs="Arial"/>
          <w:lang w:val="es-ES"/>
        </w:rPr>
        <w:t>P</w:t>
      </w:r>
      <w:r w:rsidR="00AD37C2" w:rsidRPr="00233DC0">
        <w:rPr>
          <w:rFonts w:cs="Arial"/>
          <w:lang w:val="es-ES"/>
        </w:rPr>
        <w:t>é</w:t>
      </w:r>
      <w:r w:rsidRPr="00233DC0">
        <w:rPr>
          <w:rFonts w:cs="Arial"/>
          <w:lang w:val="es-ES"/>
        </w:rPr>
        <w:t>r</w:t>
      </w:r>
      <w:r w:rsidR="00AD37C2" w:rsidRPr="00233DC0">
        <w:rPr>
          <w:rFonts w:cs="Arial"/>
          <w:lang w:val="es-ES"/>
        </w:rPr>
        <w:t>o</w:t>
      </w:r>
      <w:r w:rsidRPr="00233DC0">
        <w:rPr>
          <w:rFonts w:cs="Arial"/>
          <w:lang w:val="es-ES"/>
        </w:rPr>
        <w:t>u</w:t>
      </w:r>
      <w:r w:rsidRPr="00233DC0">
        <w:rPr>
          <w:rFonts w:cs="Arial"/>
          <w:lang w:val="es-ES"/>
        </w:rPr>
        <w:tab/>
      </w:r>
      <w:r w:rsidRPr="00233DC0">
        <w:rPr>
          <w:rFonts w:cs="Arial"/>
          <w:lang w:val="es-ES"/>
        </w:rPr>
        <w:tab/>
        <w:t>(PER)</w:t>
      </w:r>
    </w:p>
    <w:p w14:paraId="55A47969" w14:textId="7003C0EA" w:rsidR="005C2513" w:rsidRPr="00233DC0" w:rsidRDefault="005C2513" w:rsidP="005C2513">
      <w:pPr>
        <w:tabs>
          <w:tab w:val="left" w:pos="5040"/>
          <w:tab w:val="left" w:pos="5760"/>
          <w:tab w:val="left" w:pos="6008"/>
          <w:tab w:val="left" w:pos="6480"/>
          <w:tab w:val="left" w:pos="7200"/>
          <w:tab w:val="left" w:pos="7920"/>
          <w:tab w:val="left" w:pos="8640"/>
        </w:tabs>
        <w:rPr>
          <w:rFonts w:cs="Arial"/>
          <w:shd w:val="clear" w:color="auto" w:fill="FFFFFF"/>
          <w:lang w:val="fr-FR"/>
        </w:rPr>
      </w:pPr>
      <w:r w:rsidRPr="00233DC0">
        <w:rPr>
          <w:rFonts w:cs="Arial"/>
          <w:shd w:val="clear" w:color="auto" w:fill="FFFFFF"/>
          <w:lang w:val="fr-FR"/>
        </w:rPr>
        <w:t>Afri</w:t>
      </w:r>
      <w:r w:rsidR="00CA48C0" w:rsidRPr="00233DC0">
        <w:rPr>
          <w:rFonts w:cs="Arial"/>
          <w:shd w:val="clear" w:color="auto" w:fill="FFFFFF"/>
          <w:lang w:val="fr-FR"/>
        </w:rPr>
        <w:t>que du Sud</w:t>
      </w:r>
      <w:r w:rsidRPr="00233DC0">
        <w:rPr>
          <w:rFonts w:cs="Arial"/>
          <w:shd w:val="clear" w:color="auto" w:fill="FFFFFF"/>
          <w:lang w:val="fr-FR"/>
        </w:rPr>
        <w:tab/>
      </w:r>
      <w:r w:rsidRPr="00233DC0">
        <w:rPr>
          <w:rFonts w:cs="Arial"/>
          <w:shd w:val="clear" w:color="auto" w:fill="FFFFFF"/>
          <w:lang w:val="fr-FR"/>
        </w:rPr>
        <w:tab/>
        <w:t>(ZAF)</w:t>
      </w:r>
    </w:p>
    <w:p w14:paraId="21D29F37" w14:textId="77777777" w:rsidR="005C2513" w:rsidRPr="00233DC0" w:rsidRDefault="005C2513" w:rsidP="005C2513">
      <w:pPr>
        <w:tabs>
          <w:tab w:val="left" w:pos="5040"/>
          <w:tab w:val="left" w:pos="5760"/>
          <w:tab w:val="left" w:pos="6008"/>
          <w:tab w:val="left" w:pos="6480"/>
          <w:tab w:val="left" w:pos="7200"/>
          <w:tab w:val="left" w:pos="7920"/>
          <w:tab w:val="left" w:pos="8640"/>
        </w:tabs>
        <w:rPr>
          <w:rFonts w:cs="Arial"/>
          <w:lang w:val="fr-FR"/>
        </w:rPr>
      </w:pPr>
      <w:r w:rsidRPr="00233DC0">
        <w:rPr>
          <w:rFonts w:cs="Arial"/>
          <w:shd w:val="clear" w:color="auto" w:fill="FFFFFF"/>
          <w:lang w:val="fr-FR"/>
        </w:rPr>
        <w:t>Uruguay</w:t>
      </w:r>
      <w:r w:rsidRPr="00233DC0">
        <w:rPr>
          <w:rFonts w:cs="Arial"/>
          <w:lang w:val="fr-FR"/>
        </w:rPr>
        <w:tab/>
      </w:r>
      <w:r w:rsidRPr="00233DC0">
        <w:rPr>
          <w:rFonts w:cs="Arial"/>
          <w:lang w:val="fr-FR"/>
        </w:rPr>
        <w:tab/>
        <w:t>(URY)</w:t>
      </w:r>
    </w:p>
    <w:p w14:paraId="2832D44D" w14:textId="5309980F" w:rsidR="005C2513" w:rsidRPr="00E23916" w:rsidRDefault="0078559D" w:rsidP="005C2513">
      <w:pPr>
        <w:tabs>
          <w:tab w:val="left" w:pos="5040"/>
          <w:tab w:val="left" w:pos="5760"/>
          <w:tab w:val="left" w:pos="6008"/>
          <w:tab w:val="left" w:pos="6480"/>
          <w:tab w:val="left" w:pos="7200"/>
          <w:tab w:val="left" w:pos="7920"/>
          <w:tab w:val="left" w:pos="8640"/>
        </w:tabs>
        <w:rPr>
          <w:rFonts w:cs="Arial"/>
        </w:rPr>
      </w:pPr>
      <w:r>
        <w:rPr>
          <w:rFonts w:cs="Arial"/>
          <w:shd w:val="clear" w:color="auto" w:fill="FFFFFF"/>
        </w:rPr>
        <w:t>Ou</w:t>
      </w:r>
      <w:r w:rsidR="005C2513" w:rsidRPr="00D9745C">
        <w:rPr>
          <w:rFonts w:cs="Arial"/>
          <w:shd w:val="clear" w:color="auto" w:fill="FFFFFF"/>
        </w:rPr>
        <w:t>zb</w:t>
      </w:r>
      <w:r>
        <w:rPr>
          <w:rFonts w:cs="Arial"/>
          <w:shd w:val="clear" w:color="auto" w:fill="FFFFFF"/>
        </w:rPr>
        <w:t>é</w:t>
      </w:r>
      <w:r w:rsidR="005C2513" w:rsidRPr="00D9745C">
        <w:rPr>
          <w:rFonts w:cs="Arial"/>
          <w:shd w:val="clear" w:color="auto" w:fill="FFFFFF"/>
        </w:rPr>
        <w:t>kistan</w:t>
      </w:r>
      <w:r w:rsidR="005C2513" w:rsidRPr="00E23916">
        <w:rPr>
          <w:rFonts w:cs="Arial"/>
        </w:rPr>
        <w:t xml:space="preserve"> </w:t>
      </w:r>
      <w:r w:rsidR="005C2513" w:rsidRPr="00E23916">
        <w:rPr>
          <w:rFonts w:cs="Arial"/>
        </w:rPr>
        <w:tab/>
      </w:r>
      <w:r w:rsidR="005C2513" w:rsidRPr="00E23916">
        <w:rPr>
          <w:rFonts w:cs="Arial"/>
        </w:rPr>
        <w:tab/>
        <w:t>(UZB)</w:t>
      </w:r>
    </w:p>
    <w:p w14:paraId="41076736" w14:textId="77777777" w:rsidR="005C2513" w:rsidRDefault="005C2513" w:rsidP="005C2513">
      <w:pPr>
        <w:spacing w:after="0" w:line="240" w:lineRule="auto"/>
        <w:sectPr w:rsidR="005C2513" w:rsidSect="0078559D">
          <w:footerReference w:type="default" r:id="rId21"/>
          <w:pgSz w:w="11906" w:h="16838" w:code="9"/>
          <w:pgMar w:top="1134" w:right="1440" w:bottom="1440" w:left="1440" w:header="720" w:footer="720" w:gutter="0"/>
          <w:cols w:space="720"/>
          <w:docGrid w:linePitch="360"/>
        </w:sectPr>
      </w:pPr>
    </w:p>
    <w:p w14:paraId="540F6945" w14:textId="77777777" w:rsidR="005C2513" w:rsidRDefault="005C2513" w:rsidP="005C2513">
      <w:pPr>
        <w:spacing w:after="0" w:line="240" w:lineRule="auto"/>
      </w:pPr>
    </w:p>
    <w:tbl>
      <w:tblPr>
        <w:tblW w:w="14476" w:type="dxa"/>
        <w:tblLook w:val="04A0" w:firstRow="1" w:lastRow="0" w:firstColumn="1" w:lastColumn="0" w:noHBand="0" w:noVBand="1"/>
      </w:tblPr>
      <w:tblGrid>
        <w:gridCol w:w="982"/>
        <w:gridCol w:w="2835"/>
        <w:gridCol w:w="3118"/>
        <w:gridCol w:w="2835"/>
        <w:gridCol w:w="2411"/>
        <w:gridCol w:w="2295"/>
      </w:tblGrid>
      <w:tr w:rsidR="005C2513" w:rsidRPr="00FC3F24" w14:paraId="17B35FDB" w14:textId="77777777" w:rsidTr="00723966">
        <w:trPr>
          <w:trHeight w:val="315"/>
          <w:tblHeader/>
        </w:trPr>
        <w:tc>
          <w:tcPr>
            <w:tcW w:w="98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nil"/>
            </w:tcBorders>
            <w:shd w:val="clear" w:color="auto" w:fill="A5A5A5"/>
            <w:vAlign w:val="center"/>
            <w:hideMark/>
          </w:tcPr>
          <w:p w14:paraId="6E46500F" w14:textId="77777777" w:rsidR="005C2513" w:rsidRPr="00FC3F24" w:rsidRDefault="005C2513" w:rsidP="00723966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FC3F24">
              <w:rPr>
                <w:rFonts w:eastAsia="Times New Roman" w:cs="Arial"/>
                <w:b/>
                <w:bCs/>
                <w:sz w:val="18"/>
                <w:szCs w:val="18"/>
              </w:rPr>
              <w:t>Doc. No.</w:t>
            </w:r>
          </w:p>
        </w:tc>
        <w:tc>
          <w:tcPr>
            <w:tcW w:w="2835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shd w:val="clear" w:color="auto" w:fill="A5A5A5"/>
            <w:vAlign w:val="center"/>
            <w:hideMark/>
          </w:tcPr>
          <w:p w14:paraId="1A7A410B" w14:textId="42101C6A" w:rsidR="005C2513" w:rsidRPr="00FC3F24" w:rsidRDefault="00DB7774" w:rsidP="00723966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val="en-GB"/>
              </w:rPr>
              <w:t>Nom scientifique</w:t>
            </w:r>
          </w:p>
        </w:tc>
        <w:tc>
          <w:tcPr>
            <w:tcW w:w="3118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shd w:val="clear" w:color="auto" w:fill="A5A5A5"/>
            <w:vAlign w:val="center"/>
            <w:hideMark/>
          </w:tcPr>
          <w:p w14:paraId="5F1E048F" w14:textId="77777777" w:rsidR="005C2513" w:rsidRPr="00FC3F24" w:rsidRDefault="005C2513" w:rsidP="00723966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FC3F24">
              <w:rPr>
                <w:rFonts w:eastAsia="Times New Roman" w:cs="Arial"/>
                <w:b/>
                <w:bCs/>
                <w:sz w:val="18"/>
                <w:szCs w:val="18"/>
              </w:rPr>
              <w:t>Annotations</w:t>
            </w:r>
          </w:p>
        </w:tc>
        <w:tc>
          <w:tcPr>
            <w:tcW w:w="2835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shd w:val="clear" w:color="auto" w:fill="A5A5A5"/>
            <w:vAlign w:val="center"/>
            <w:hideMark/>
          </w:tcPr>
          <w:p w14:paraId="1DA1B951" w14:textId="0E0BF7BF" w:rsidR="005C2513" w:rsidRPr="00FC3F24" w:rsidRDefault="000812B3" w:rsidP="00723966">
            <w:pPr>
              <w:rPr>
                <w:rFonts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val="en-GB"/>
              </w:rPr>
              <w:t>Nom c</w:t>
            </w:r>
            <w:r w:rsidRPr="00F82B6A">
              <w:rPr>
                <w:rFonts w:eastAsia="Times New Roman" w:cs="Arial"/>
                <w:b/>
                <w:bCs/>
                <w:sz w:val="18"/>
                <w:szCs w:val="18"/>
                <w:lang w:val="en-GB"/>
              </w:rPr>
              <w:t>omm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val="en-GB"/>
              </w:rPr>
              <w:t>u</w:t>
            </w:r>
            <w:r w:rsidRPr="00F82B6A">
              <w:rPr>
                <w:rFonts w:eastAsia="Times New Roman" w:cs="Arial"/>
                <w:b/>
                <w:bCs/>
                <w:sz w:val="18"/>
                <w:szCs w:val="18"/>
                <w:lang w:val="en-GB"/>
              </w:rPr>
              <w:t>n</w:t>
            </w:r>
          </w:p>
        </w:tc>
        <w:tc>
          <w:tcPr>
            <w:tcW w:w="2411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shd w:val="clear" w:color="auto" w:fill="A5A5A5"/>
            <w:vAlign w:val="center"/>
            <w:hideMark/>
          </w:tcPr>
          <w:p w14:paraId="604F2A52" w14:textId="0CF811A7" w:rsidR="005C2513" w:rsidRPr="00FC3F24" w:rsidRDefault="006E13D3" w:rsidP="00723966">
            <w:pPr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F82B6A">
              <w:rPr>
                <w:rFonts w:eastAsia="Times New Roman" w:cs="Arial"/>
                <w:b/>
                <w:bCs/>
                <w:sz w:val="18"/>
                <w:szCs w:val="18"/>
                <w:lang w:val="en-GB"/>
              </w:rPr>
              <w:t>Amend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val="en-GB"/>
              </w:rPr>
              <w:t>e</w:t>
            </w:r>
            <w:r w:rsidRPr="00F82B6A">
              <w:rPr>
                <w:rFonts w:eastAsia="Times New Roman" w:cs="Arial"/>
                <w:b/>
                <w:bCs/>
                <w:sz w:val="18"/>
                <w:szCs w:val="18"/>
                <w:lang w:val="en-GB"/>
              </w:rPr>
              <w:t>ment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val="en-GB"/>
              </w:rPr>
              <w:t xml:space="preserve"> proposé</w:t>
            </w:r>
          </w:p>
        </w:tc>
        <w:tc>
          <w:tcPr>
            <w:tcW w:w="2295" w:type="dxa"/>
            <w:tcBorders>
              <w:top w:val="single" w:sz="8" w:space="0" w:color="A5A5A5"/>
              <w:left w:val="nil"/>
              <w:bottom w:val="single" w:sz="8" w:space="0" w:color="A5A5A5"/>
              <w:right w:val="nil"/>
            </w:tcBorders>
            <w:shd w:val="clear" w:color="auto" w:fill="A5A5A5"/>
            <w:vAlign w:val="center"/>
            <w:hideMark/>
          </w:tcPr>
          <w:p w14:paraId="58177A15" w14:textId="2CBD9C17" w:rsidR="005C2513" w:rsidRPr="00FC3F24" w:rsidRDefault="00A225CE" w:rsidP="00723966">
            <w:pPr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F82B6A">
              <w:rPr>
                <w:rFonts w:eastAsia="Times New Roman" w:cs="Arial"/>
                <w:b/>
                <w:bCs/>
                <w:sz w:val="18"/>
                <w:szCs w:val="18"/>
                <w:lang w:val="en-GB"/>
              </w:rPr>
              <w:t>P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val="en-GB"/>
              </w:rPr>
              <w:t>artie qui propose</w:t>
            </w:r>
          </w:p>
        </w:tc>
      </w:tr>
      <w:tr w:rsidR="005C2513" w:rsidRPr="00FC3F24" w14:paraId="618B957C" w14:textId="77777777" w:rsidTr="00723966">
        <w:trPr>
          <w:trHeight w:val="345"/>
        </w:trPr>
        <w:tc>
          <w:tcPr>
            <w:tcW w:w="982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5771216F" w14:textId="77777777" w:rsidR="005C2513" w:rsidRPr="00FC3F24" w:rsidRDefault="005C2513" w:rsidP="00723966">
            <w:pPr>
              <w:spacing w:after="0"/>
              <w:jc w:val="center"/>
              <w:rPr>
                <w:rFonts w:eastAsia="Times New Roman" w:cs="Arial"/>
                <w:szCs w:val="18"/>
              </w:rPr>
            </w:pPr>
            <w:r w:rsidRPr="00FC3F24">
              <w:rPr>
                <w:rFonts w:eastAsia="Times New Roman" w:cs="Arial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2A1C871A" w14:textId="77777777" w:rsidR="005C2513" w:rsidRPr="00FC3F24" w:rsidRDefault="005C2513" w:rsidP="00723966">
            <w:pPr>
              <w:spacing w:after="0"/>
              <w:jc w:val="center"/>
              <w:rPr>
                <w:rFonts w:eastAsia="Times New Roman" w:cs="Arial"/>
                <w:b/>
                <w:bCs/>
                <w:szCs w:val="18"/>
              </w:rPr>
            </w:pPr>
            <w:r w:rsidRPr="00FC3F24">
              <w:rPr>
                <w:rFonts w:eastAsia="Times New Roman" w:cs="Arial"/>
                <w:b/>
                <w:bCs/>
                <w:sz w:val="18"/>
                <w:szCs w:val="18"/>
              </w:rPr>
              <w:t>MAMMALIA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2377B9E1" w14:textId="77777777" w:rsidR="005C2513" w:rsidRPr="00FC3F24" w:rsidRDefault="005C2513" w:rsidP="00723966">
            <w:pPr>
              <w:spacing w:after="0"/>
              <w:rPr>
                <w:rFonts w:eastAsia="Times New Roman" w:cs="Arial"/>
                <w:szCs w:val="18"/>
              </w:rPr>
            </w:pPr>
            <w:r w:rsidRPr="00FC3F24">
              <w:rPr>
                <w:rFonts w:eastAsia="Times New Roman" w:cs="Arial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4322A084" w14:textId="77777777" w:rsidR="005C2513" w:rsidRPr="00FC3F24" w:rsidRDefault="005C2513" w:rsidP="00723966">
            <w:pPr>
              <w:spacing w:after="0"/>
              <w:rPr>
                <w:rFonts w:eastAsia="Times New Roman" w:cs="Arial"/>
                <w:szCs w:val="18"/>
              </w:rPr>
            </w:pPr>
            <w:r w:rsidRPr="00FC3F24">
              <w:rPr>
                <w:rFonts w:eastAsia="Times New Roman" w:cs="Arial"/>
                <w:szCs w:val="18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2274AF23" w14:textId="77777777" w:rsidR="005C2513" w:rsidRPr="00FC3F24" w:rsidRDefault="005C2513" w:rsidP="00723966">
            <w:pPr>
              <w:spacing w:after="0"/>
              <w:rPr>
                <w:rFonts w:eastAsia="Times New Roman" w:cs="Arial"/>
                <w:szCs w:val="18"/>
              </w:rPr>
            </w:pPr>
            <w:r w:rsidRPr="00FC3F24">
              <w:rPr>
                <w:rFonts w:eastAsia="Times New Roman" w:cs="Arial"/>
                <w:szCs w:val="18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716F9A9E" w14:textId="77777777" w:rsidR="005C2513" w:rsidRPr="00FC3F24" w:rsidRDefault="005C2513" w:rsidP="00723966">
            <w:pPr>
              <w:spacing w:after="0"/>
              <w:rPr>
                <w:rFonts w:eastAsia="Times New Roman" w:cs="Arial"/>
                <w:szCs w:val="18"/>
              </w:rPr>
            </w:pPr>
            <w:r w:rsidRPr="00FC3F24">
              <w:rPr>
                <w:rFonts w:eastAsia="Times New Roman" w:cs="Arial"/>
                <w:szCs w:val="18"/>
              </w:rPr>
              <w:t> </w:t>
            </w:r>
          </w:p>
        </w:tc>
      </w:tr>
      <w:tr w:rsidR="005C2513" w:rsidRPr="00FC3F24" w14:paraId="55ACEA9F" w14:textId="77777777" w:rsidTr="00723966">
        <w:trPr>
          <w:trHeight w:val="413"/>
        </w:trPr>
        <w:tc>
          <w:tcPr>
            <w:tcW w:w="982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42F29A14" w14:textId="77777777" w:rsidR="005C2513" w:rsidRPr="00FC3F24" w:rsidRDefault="005C2513" w:rsidP="00723966">
            <w:pPr>
              <w:spacing w:after="0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>31</w:t>
            </w:r>
            <w:r w:rsidRPr="00FC3F24">
              <w:rPr>
                <w:rFonts w:eastAsia="Times New Roman" w:cs="Arial"/>
                <w:sz w:val="18"/>
                <w:szCs w:val="18"/>
                <w:lang w:val="it-IT"/>
              </w:rPr>
              <w:t>.</w:t>
            </w:r>
            <w:r>
              <w:rPr>
                <w:rFonts w:eastAsia="Times New Roman" w:cs="Arial"/>
                <w:sz w:val="18"/>
                <w:szCs w:val="18"/>
                <w:lang w:val="it-IT"/>
              </w:rPr>
              <w:t>4</w:t>
            </w:r>
            <w:r w:rsidRPr="00FC3F24">
              <w:rPr>
                <w:rFonts w:eastAsia="Times New Roman" w:cs="Arial"/>
                <w:sz w:val="18"/>
                <w:szCs w:val="18"/>
                <w:lang w:val="it-IT"/>
              </w:rPr>
              <w:t>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700DB78C" w14:textId="77777777" w:rsidR="005C2513" w:rsidRPr="00FC3F24" w:rsidRDefault="005C2513" w:rsidP="00723966">
            <w:pPr>
              <w:spacing w:after="0"/>
              <w:rPr>
                <w:rFonts w:eastAsia="Times New Roman" w:cs="Arial"/>
                <w:i/>
                <w:iCs/>
                <w:sz w:val="18"/>
                <w:szCs w:val="18"/>
              </w:rPr>
            </w:pPr>
            <w:r>
              <w:rPr>
                <w:rFonts w:eastAsia="Times New Roman" w:cs="Arial"/>
                <w:i/>
                <w:iCs/>
                <w:sz w:val="18"/>
                <w:szCs w:val="18"/>
              </w:rPr>
              <w:t>Lynx lynx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59475E3C" w14:textId="77777777" w:rsidR="005C2513" w:rsidRPr="00FC3F24" w:rsidRDefault="005C2513" w:rsidP="00723966">
            <w:pPr>
              <w:spacing w:after="0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21F6FEB0" w14:textId="51EEB693" w:rsidR="005C2513" w:rsidRPr="00FC3F24" w:rsidRDefault="005C2513" w:rsidP="00723966">
            <w:pPr>
              <w:spacing w:after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Lynx</w:t>
            </w:r>
            <w:r w:rsidR="006B4D7E">
              <w:rPr>
                <w:rFonts w:eastAsia="Times New Roman" w:cs="Arial"/>
                <w:sz w:val="18"/>
                <w:szCs w:val="18"/>
              </w:rPr>
              <w:t xml:space="preserve"> d’Eurasie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1B956614" w14:textId="711682F8" w:rsidR="005C2513" w:rsidRPr="00FC3F24" w:rsidRDefault="00033A3C" w:rsidP="00723966">
            <w:pPr>
              <w:spacing w:after="0"/>
              <w:rPr>
                <w:rFonts w:eastAsia="Times New Roman" w:cs="Arial"/>
                <w:sz w:val="18"/>
                <w:szCs w:val="18"/>
              </w:rPr>
            </w:pPr>
            <w:r w:rsidRPr="00F82B6A">
              <w:rPr>
                <w:rFonts w:eastAsia="Times New Roman" w:cs="Arial"/>
                <w:sz w:val="18"/>
                <w:szCs w:val="18"/>
                <w:lang w:val="en-GB"/>
              </w:rPr>
              <w:t>In</w:t>
            </w:r>
            <w:r>
              <w:rPr>
                <w:rFonts w:eastAsia="Times New Roman" w:cs="Arial"/>
                <w:sz w:val="18"/>
                <w:szCs w:val="18"/>
                <w:lang w:val="en-GB"/>
              </w:rPr>
              <w:t>scription à l’Annexe II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4D79D353" w14:textId="77777777" w:rsidR="005C2513" w:rsidRPr="00FC3F24" w:rsidRDefault="005C2513" w:rsidP="00723966">
            <w:pPr>
              <w:spacing w:after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MKD, ALB, BIH, UZB</w:t>
            </w:r>
          </w:p>
        </w:tc>
      </w:tr>
      <w:tr w:rsidR="005C2513" w:rsidRPr="00FC3F24" w14:paraId="03963A0F" w14:textId="77777777" w:rsidTr="00723966">
        <w:trPr>
          <w:trHeight w:val="392"/>
        </w:trPr>
        <w:tc>
          <w:tcPr>
            <w:tcW w:w="982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65B1BCF0" w14:textId="77777777" w:rsidR="005C2513" w:rsidRPr="00FC3F24" w:rsidRDefault="005C2513" w:rsidP="00723966">
            <w:pPr>
              <w:spacing w:after="0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>31</w:t>
            </w:r>
            <w:r w:rsidRPr="00FC3F24">
              <w:rPr>
                <w:rFonts w:eastAsia="Times New Roman" w:cs="Arial"/>
                <w:sz w:val="18"/>
                <w:szCs w:val="18"/>
                <w:lang w:val="it-IT"/>
              </w:rPr>
              <w:t>.</w:t>
            </w:r>
            <w:r>
              <w:rPr>
                <w:rFonts w:eastAsia="Times New Roman" w:cs="Arial"/>
                <w:sz w:val="18"/>
                <w:szCs w:val="18"/>
                <w:lang w:val="it-IT"/>
              </w:rPr>
              <w:t>4</w:t>
            </w:r>
            <w:r w:rsidRPr="00FC3F24">
              <w:rPr>
                <w:rFonts w:eastAsia="Times New Roman" w:cs="Arial"/>
                <w:sz w:val="18"/>
                <w:szCs w:val="18"/>
                <w:lang w:val="it-IT"/>
              </w:rPr>
              <w:t>.</w:t>
            </w:r>
            <w:r>
              <w:rPr>
                <w:rFonts w:eastAsia="Times New Roman" w:cs="Arial"/>
                <w:sz w:val="18"/>
                <w:szCs w:val="18"/>
                <w:lang w:val="it-IT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6EAA2198" w14:textId="77777777" w:rsidR="005C2513" w:rsidRPr="00FC3F24" w:rsidRDefault="005C2513" w:rsidP="00723966">
            <w:pPr>
              <w:spacing w:after="0"/>
              <w:rPr>
                <w:rFonts w:eastAsia="Times New Roman" w:cs="Arial"/>
                <w:i/>
                <w:iCs/>
                <w:sz w:val="18"/>
                <w:szCs w:val="18"/>
              </w:rPr>
            </w:pPr>
            <w:r>
              <w:rPr>
                <w:rFonts w:eastAsia="Times New Roman" w:cs="Arial"/>
                <w:i/>
                <w:iCs/>
                <w:sz w:val="18"/>
                <w:szCs w:val="18"/>
              </w:rPr>
              <w:t>Lynx lynx balcanicus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0FD7BF54" w14:textId="7699812B" w:rsidR="005C2513" w:rsidRPr="00EC22C7" w:rsidRDefault="00EC22C7" w:rsidP="00723966">
            <w:pPr>
              <w:spacing w:after="0"/>
              <w:rPr>
                <w:rFonts w:eastAsia="Times New Roman" w:cs="Arial"/>
                <w:sz w:val="18"/>
                <w:szCs w:val="18"/>
                <w:lang w:val="fr-FR"/>
              </w:rPr>
            </w:pPr>
            <w:r w:rsidRPr="00EC22C7">
              <w:rPr>
                <w:rFonts w:eastAsia="Times New Roman" w:cs="Arial"/>
                <w:sz w:val="18"/>
                <w:szCs w:val="18"/>
                <w:lang w:val="fr-FR"/>
              </w:rPr>
              <w:t xml:space="preserve">Sous-espèces non reconnues par la </w:t>
            </w:r>
            <w:r w:rsidR="00DD3B8A" w:rsidRPr="0096521D">
              <w:rPr>
                <w:rFonts w:eastAsia="Times New Roman" w:cs="Arial"/>
                <w:sz w:val="18"/>
                <w:szCs w:val="18"/>
                <w:lang w:val="fr-FR"/>
              </w:rPr>
              <w:t xml:space="preserve">référence actuelle de la CMS </w:t>
            </w:r>
            <w:r w:rsidR="007A6414">
              <w:rPr>
                <w:rFonts w:eastAsia="Times New Roman" w:cs="Arial"/>
                <w:sz w:val="18"/>
                <w:szCs w:val="18"/>
                <w:lang w:val="fr-FR"/>
              </w:rPr>
              <w:t xml:space="preserve">en matière de </w:t>
            </w:r>
            <w:r w:rsidRPr="00EC22C7">
              <w:rPr>
                <w:rFonts w:eastAsia="Times New Roman" w:cs="Arial"/>
                <w:sz w:val="18"/>
                <w:szCs w:val="18"/>
                <w:lang w:val="fr-FR"/>
              </w:rPr>
              <w:t xml:space="preserve">taxonomie et </w:t>
            </w:r>
            <w:r w:rsidR="007A6414">
              <w:rPr>
                <w:rFonts w:eastAsia="Times New Roman" w:cs="Arial"/>
                <w:sz w:val="18"/>
                <w:szCs w:val="18"/>
                <w:lang w:val="fr-FR"/>
              </w:rPr>
              <w:t>de</w:t>
            </w:r>
            <w:r w:rsidRPr="00EC22C7">
              <w:rPr>
                <w:rFonts w:eastAsia="Times New Roman" w:cs="Arial"/>
                <w:sz w:val="18"/>
                <w:szCs w:val="18"/>
                <w:lang w:val="fr-FR"/>
              </w:rPr>
              <w:t xml:space="preserve"> nomenclature </w:t>
            </w:r>
            <w:r w:rsidR="006003A2">
              <w:rPr>
                <w:rFonts w:eastAsia="Times New Roman" w:cs="Arial"/>
                <w:sz w:val="18"/>
                <w:szCs w:val="18"/>
                <w:lang w:val="fr-FR"/>
              </w:rPr>
              <w:t>p</w:t>
            </w:r>
            <w:r w:rsidRPr="00EC22C7">
              <w:rPr>
                <w:rFonts w:eastAsia="Times New Roman" w:cs="Arial"/>
                <w:sz w:val="18"/>
                <w:szCs w:val="18"/>
                <w:lang w:val="fr-FR"/>
              </w:rPr>
              <w:t>our les mammifères terrestres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62D3BDC6" w14:textId="3E983524" w:rsidR="005C2513" w:rsidRPr="00FC3F24" w:rsidRDefault="00ED0849" w:rsidP="00723966">
            <w:pPr>
              <w:spacing w:after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L</w:t>
            </w:r>
            <w:r w:rsidR="005C2513">
              <w:rPr>
                <w:rFonts w:eastAsia="Times New Roman" w:cs="Arial"/>
                <w:sz w:val="18"/>
                <w:szCs w:val="18"/>
              </w:rPr>
              <w:t>ynx</w:t>
            </w:r>
            <w:r w:rsidR="00664223">
              <w:rPr>
                <w:rFonts w:eastAsia="Times New Roman" w:cs="Arial"/>
                <w:sz w:val="18"/>
                <w:szCs w:val="18"/>
              </w:rPr>
              <w:t xml:space="preserve"> de Balkans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702440F9" w14:textId="0DF3D310" w:rsidR="005C2513" w:rsidRPr="00FC3F24" w:rsidRDefault="00664223" w:rsidP="00723966">
            <w:pPr>
              <w:spacing w:after="0"/>
              <w:rPr>
                <w:rFonts w:eastAsia="Times New Roman" w:cs="Arial"/>
                <w:sz w:val="18"/>
                <w:szCs w:val="18"/>
              </w:rPr>
            </w:pPr>
            <w:r w:rsidRPr="00F82B6A">
              <w:rPr>
                <w:rFonts w:eastAsia="Times New Roman" w:cs="Arial"/>
                <w:sz w:val="18"/>
                <w:szCs w:val="18"/>
                <w:lang w:val="en-GB"/>
              </w:rPr>
              <w:t>In</w:t>
            </w:r>
            <w:r>
              <w:rPr>
                <w:rFonts w:eastAsia="Times New Roman" w:cs="Arial"/>
                <w:sz w:val="18"/>
                <w:szCs w:val="18"/>
                <w:lang w:val="en-GB"/>
              </w:rPr>
              <w:t>scription à l’Annexe I</w:t>
            </w:r>
            <w:r w:rsidR="005C2513" w:rsidRPr="00FC3F24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39DD8DD0" w14:textId="77777777" w:rsidR="005C2513" w:rsidRPr="00FC3F24" w:rsidRDefault="005C2513" w:rsidP="00723966">
            <w:pPr>
              <w:spacing w:after="0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</w:rPr>
              <w:t>MKD, ALB, BIH, UZB</w:t>
            </w:r>
          </w:p>
        </w:tc>
      </w:tr>
      <w:tr w:rsidR="005C2513" w:rsidRPr="00FC3F24" w14:paraId="3377E751" w14:textId="77777777" w:rsidTr="00723966">
        <w:trPr>
          <w:trHeight w:val="498"/>
        </w:trPr>
        <w:tc>
          <w:tcPr>
            <w:tcW w:w="982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353E0E97" w14:textId="77777777" w:rsidR="005C2513" w:rsidRPr="00FC3F24" w:rsidRDefault="005C2513" w:rsidP="00723966">
            <w:pPr>
              <w:spacing w:after="0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>31</w:t>
            </w:r>
            <w:r w:rsidRPr="00FC3F24">
              <w:rPr>
                <w:rFonts w:eastAsia="Times New Roman" w:cs="Arial"/>
                <w:sz w:val="18"/>
                <w:szCs w:val="18"/>
                <w:lang w:val="it-IT"/>
              </w:rPr>
              <w:t>.</w:t>
            </w:r>
            <w:r>
              <w:rPr>
                <w:rFonts w:eastAsia="Times New Roman" w:cs="Arial"/>
                <w:sz w:val="18"/>
                <w:szCs w:val="18"/>
                <w:lang w:val="it-IT"/>
              </w:rPr>
              <w:t>4</w:t>
            </w:r>
            <w:r w:rsidRPr="00FC3F24">
              <w:rPr>
                <w:rFonts w:eastAsia="Times New Roman" w:cs="Arial"/>
                <w:sz w:val="18"/>
                <w:szCs w:val="18"/>
                <w:lang w:val="it-IT"/>
              </w:rPr>
              <w:t>.</w:t>
            </w:r>
            <w:r>
              <w:rPr>
                <w:rFonts w:eastAsia="Times New Roman" w:cs="Arial"/>
                <w:sz w:val="18"/>
                <w:szCs w:val="18"/>
                <w:lang w:val="it-IT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28C29917" w14:textId="77777777" w:rsidR="005C2513" w:rsidRPr="00FC3F24" w:rsidRDefault="005C2513" w:rsidP="00723966">
            <w:pPr>
              <w:spacing w:after="0"/>
              <w:rPr>
                <w:rFonts w:eastAsia="Times New Roman" w:cs="Arial"/>
                <w:i/>
                <w:iCs/>
                <w:sz w:val="18"/>
                <w:szCs w:val="18"/>
              </w:rPr>
            </w:pPr>
            <w:r>
              <w:rPr>
                <w:rFonts w:eastAsia="Times New Roman" w:cs="Arial"/>
                <w:i/>
                <w:iCs/>
                <w:sz w:val="18"/>
                <w:szCs w:val="18"/>
                <w:lang w:val="it-IT"/>
              </w:rPr>
              <w:t>Felis manul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4C77BFDA" w14:textId="77777777" w:rsidR="005C2513" w:rsidRPr="00FC3F24" w:rsidRDefault="005C2513" w:rsidP="00723966">
            <w:pPr>
              <w:spacing w:after="0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2907E663" w14:textId="4263E924" w:rsidR="005C2513" w:rsidRPr="00EE75DA" w:rsidRDefault="00D24224" w:rsidP="00723966">
            <w:pPr>
              <w:spacing w:after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Manul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2F1E35CA" w14:textId="153D9823" w:rsidR="005C2513" w:rsidRPr="00FC3F24" w:rsidRDefault="00D24224" w:rsidP="00723966">
            <w:pPr>
              <w:spacing w:after="0"/>
              <w:rPr>
                <w:rFonts w:eastAsia="Times New Roman" w:cs="Arial"/>
                <w:sz w:val="18"/>
                <w:szCs w:val="18"/>
              </w:rPr>
            </w:pPr>
            <w:r w:rsidRPr="00F82B6A">
              <w:rPr>
                <w:rFonts w:eastAsia="Times New Roman" w:cs="Arial"/>
                <w:sz w:val="18"/>
                <w:szCs w:val="18"/>
                <w:lang w:val="en-GB"/>
              </w:rPr>
              <w:t>In</w:t>
            </w:r>
            <w:r>
              <w:rPr>
                <w:rFonts w:eastAsia="Times New Roman" w:cs="Arial"/>
                <w:sz w:val="18"/>
                <w:szCs w:val="18"/>
                <w:lang w:val="en-GB"/>
              </w:rPr>
              <w:t>scription à l’Annexe II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35024759" w14:textId="77777777" w:rsidR="005C2513" w:rsidRPr="00FC3F24" w:rsidRDefault="005C2513" w:rsidP="00723966">
            <w:pPr>
              <w:spacing w:after="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>KAZ</w:t>
            </w:r>
            <w:r w:rsidRPr="00FC3F24">
              <w:rPr>
                <w:rFonts w:eastAsia="Times New Roman" w:cs="Arial"/>
                <w:sz w:val="18"/>
                <w:szCs w:val="18"/>
                <w:lang w:val="it-IT"/>
              </w:rPr>
              <w:t>, UZB</w:t>
            </w:r>
          </w:p>
        </w:tc>
      </w:tr>
      <w:tr w:rsidR="005C2513" w:rsidRPr="00FC3F24" w14:paraId="0B5CAB99" w14:textId="77777777" w:rsidTr="00723966">
        <w:trPr>
          <w:trHeight w:val="498"/>
        </w:trPr>
        <w:tc>
          <w:tcPr>
            <w:tcW w:w="982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19F1DAEE" w14:textId="77777777" w:rsidR="005C2513" w:rsidRDefault="005C2513" w:rsidP="00723966">
            <w:pPr>
              <w:spacing w:after="0"/>
              <w:jc w:val="center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>31.4.3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</w:tcPr>
          <w:p w14:paraId="6E68A164" w14:textId="77777777" w:rsidR="005C2513" w:rsidRPr="00B46809" w:rsidRDefault="005C2513" w:rsidP="00723966">
            <w:pPr>
              <w:spacing w:after="0"/>
              <w:rPr>
                <w:rFonts w:eastAsia="Times New Roman" w:cs="Arial"/>
                <w:i/>
                <w:iCs/>
                <w:sz w:val="18"/>
                <w:szCs w:val="18"/>
                <w:lang w:val="it-IT"/>
              </w:rPr>
            </w:pPr>
            <w:r w:rsidRPr="00B46809">
              <w:rPr>
                <w:i/>
                <w:iCs/>
                <w:sz w:val="18"/>
                <w:szCs w:val="18"/>
              </w:rPr>
              <w:t>Lama guanicoe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</w:tcPr>
          <w:p w14:paraId="3F047DBA" w14:textId="0F67F17C" w:rsidR="005C2513" w:rsidRPr="0096521D" w:rsidRDefault="0096521D" w:rsidP="00723966">
            <w:pPr>
              <w:spacing w:after="0"/>
              <w:rPr>
                <w:rFonts w:eastAsia="Times New Roman" w:cs="Arial"/>
                <w:sz w:val="18"/>
                <w:szCs w:val="18"/>
                <w:lang w:val="fr-FR"/>
              </w:rPr>
            </w:pPr>
            <w:r w:rsidRPr="0096521D">
              <w:rPr>
                <w:rFonts w:eastAsia="Times New Roman" w:cs="Arial"/>
                <w:sz w:val="18"/>
                <w:szCs w:val="18"/>
                <w:lang w:val="fr-FR"/>
              </w:rPr>
              <w:t xml:space="preserve">Considéré comme une sous-espèce de </w:t>
            </w:r>
            <w:r w:rsidRPr="0096521D">
              <w:rPr>
                <w:rFonts w:eastAsia="Times New Roman" w:cs="Arial"/>
                <w:i/>
                <w:iCs/>
                <w:sz w:val="18"/>
                <w:szCs w:val="18"/>
                <w:lang w:val="fr-FR"/>
              </w:rPr>
              <w:t>Lama glama</w:t>
            </w:r>
            <w:r w:rsidRPr="0096521D">
              <w:rPr>
                <w:rFonts w:eastAsia="Times New Roman" w:cs="Arial"/>
                <w:sz w:val="18"/>
                <w:szCs w:val="18"/>
                <w:lang w:val="fr-FR"/>
              </w:rPr>
              <w:t xml:space="preserve"> (</w:t>
            </w:r>
            <w:r w:rsidRPr="0096521D">
              <w:rPr>
                <w:rFonts w:eastAsia="Times New Roman" w:cs="Arial"/>
                <w:i/>
                <w:iCs/>
                <w:sz w:val="18"/>
                <w:szCs w:val="18"/>
                <w:lang w:val="fr-FR"/>
              </w:rPr>
              <w:t>L. g. guanicoe</w:t>
            </w:r>
            <w:r w:rsidRPr="0096521D">
              <w:rPr>
                <w:rFonts w:eastAsia="Times New Roman" w:cs="Arial"/>
                <w:sz w:val="18"/>
                <w:szCs w:val="18"/>
                <w:lang w:val="fr-FR"/>
              </w:rPr>
              <w:t>) par la référence actuelle de la CMS en matière de taxonomie et de nomenclature pour les mammifères terrestres.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</w:tcPr>
          <w:p w14:paraId="2A5820EA" w14:textId="77777777" w:rsidR="005C2513" w:rsidRPr="00EE75DA" w:rsidRDefault="005C2513" w:rsidP="0072396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Guanaco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</w:tcPr>
          <w:p w14:paraId="11F36A68" w14:textId="74C3614A" w:rsidR="005C2513" w:rsidRPr="00FC3F24" w:rsidRDefault="00BC6317" w:rsidP="00723966">
            <w:pPr>
              <w:spacing w:after="0"/>
              <w:rPr>
                <w:rFonts w:eastAsia="Times New Roman" w:cs="Arial"/>
                <w:sz w:val="18"/>
                <w:szCs w:val="18"/>
                <w:lang w:val="it-IT"/>
              </w:rPr>
            </w:pPr>
            <w:r w:rsidRPr="00F82B6A">
              <w:rPr>
                <w:rFonts w:eastAsia="Times New Roman" w:cs="Arial"/>
                <w:sz w:val="18"/>
                <w:szCs w:val="18"/>
                <w:lang w:val="en-GB"/>
              </w:rPr>
              <w:t>In</w:t>
            </w:r>
            <w:r>
              <w:rPr>
                <w:rFonts w:eastAsia="Times New Roman" w:cs="Arial"/>
                <w:sz w:val="18"/>
                <w:szCs w:val="18"/>
                <w:lang w:val="en-GB"/>
              </w:rPr>
              <w:t>scription à l’Annexe II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</w:tcPr>
          <w:p w14:paraId="4245D081" w14:textId="77777777" w:rsidR="005C2513" w:rsidRDefault="005C2513" w:rsidP="00723966">
            <w:pPr>
              <w:spacing w:after="0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>BOL, CHL, PRY, PER</w:t>
            </w:r>
          </w:p>
        </w:tc>
      </w:tr>
      <w:tr w:rsidR="005C2513" w:rsidRPr="00FC3F24" w14:paraId="5E09CD84" w14:textId="77777777" w:rsidTr="00723966">
        <w:trPr>
          <w:trHeight w:val="498"/>
        </w:trPr>
        <w:tc>
          <w:tcPr>
            <w:tcW w:w="982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7D2FD20A" w14:textId="77777777" w:rsidR="005C2513" w:rsidRDefault="005C2513" w:rsidP="00723966">
            <w:pPr>
              <w:spacing w:after="0"/>
              <w:jc w:val="center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>31.4.4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</w:tcPr>
          <w:p w14:paraId="2E99B216" w14:textId="77777777" w:rsidR="005C2513" w:rsidRPr="001844A2" w:rsidRDefault="005C2513" w:rsidP="00723966">
            <w:pPr>
              <w:spacing w:after="0"/>
              <w:rPr>
                <w:i/>
                <w:iCs/>
                <w:sz w:val="18"/>
                <w:szCs w:val="18"/>
              </w:rPr>
            </w:pPr>
            <w:r w:rsidRPr="001844A2">
              <w:rPr>
                <w:i/>
                <w:iCs/>
                <w:sz w:val="18"/>
                <w:szCs w:val="18"/>
              </w:rPr>
              <w:t>Tursiops truncat</w:t>
            </w:r>
            <w:r>
              <w:rPr>
                <w:i/>
                <w:iCs/>
                <w:sz w:val="18"/>
                <w:szCs w:val="18"/>
              </w:rPr>
              <w:t>u</w:t>
            </w:r>
            <w:r w:rsidRPr="001844A2">
              <w:rPr>
                <w:i/>
                <w:iCs/>
                <w:sz w:val="18"/>
                <w:szCs w:val="18"/>
              </w:rPr>
              <w:t>s gephyreus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</w:tcPr>
          <w:p w14:paraId="5951B18F" w14:textId="363768A9" w:rsidR="005C2513" w:rsidRPr="00BE501C" w:rsidRDefault="00BE501C" w:rsidP="00723966">
            <w:pPr>
              <w:spacing w:after="0"/>
              <w:rPr>
                <w:rFonts w:eastAsia="Times New Roman" w:cs="Arial"/>
                <w:sz w:val="18"/>
                <w:szCs w:val="18"/>
                <w:lang w:val="fr-FR"/>
              </w:rPr>
            </w:pPr>
            <w:r w:rsidRPr="00BE501C">
              <w:rPr>
                <w:rFonts w:eastAsia="Times New Roman" w:cs="Arial"/>
                <w:sz w:val="18"/>
                <w:szCs w:val="18"/>
                <w:lang w:val="fr-FR"/>
              </w:rPr>
              <w:t xml:space="preserve">Sous-espèces non reconnues par la </w:t>
            </w:r>
            <w:r w:rsidR="00D6179E" w:rsidRPr="0096521D">
              <w:rPr>
                <w:rFonts w:eastAsia="Times New Roman" w:cs="Arial"/>
                <w:sz w:val="18"/>
                <w:szCs w:val="18"/>
                <w:lang w:val="fr-FR"/>
              </w:rPr>
              <w:t xml:space="preserve">par la référence actuelle de la CMS en matière de taxonomie et de nomenclature pour les mammifères </w:t>
            </w:r>
            <w:r w:rsidRPr="00BE501C">
              <w:rPr>
                <w:rFonts w:eastAsia="Times New Roman" w:cs="Arial"/>
                <w:sz w:val="18"/>
                <w:szCs w:val="18"/>
                <w:lang w:val="fr-FR"/>
              </w:rPr>
              <w:t>marins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</w:tcPr>
          <w:p w14:paraId="2E15A44D" w14:textId="16E36CB9" w:rsidR="005C2513" w:rsidRPr="000C1BA7" w:rsidRDefault="001E7B30" w:rsidP="00723966">
            <w:pPr>
              <w:spacing w:after="0"/>
              <w:rPr>
                <w:sz w:val="18"/>
                <w:szCs w:val="18"/>
              </w:rPr>
            </w:pPr>
            <w:r w:rsidRPr="000C1BA7">
              <w:rPr>
                <w:sz w:val="18"/>
                <w:szCs w:val="18"/>
              </w:rPr>
              <w:t>Grand dauphin de Lahille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</w:tcPr>
          <w:p w14:paraId="0F4CE04A" w14:textId="654AADDD" w:rsidR="005C2513" w:rsidRPr="00576C2A" w:rsidRDefault="005C2513" w:rsidP="00723966">
            <w:pPr>
              <w:spacing w:after="0"/>
              <w:rPr>
                <w:rFonts w:eastAsia="Times New Roman" w:cs="Arial"/>
                <w:sz w:val="18"/>
                <w:szCs w:val="18"/>
                <w:lang w:val="fr-FR"/>
              </w:rPr>
            </w:pPr>
            <w:r w:rsidRPr="00576C2A">
              <w:rPr>
                <w:rFonts w:eastAsia="Times New Roman" w:cs="Arial"/>
                <w:sz w:val="18"/>
                <w:szCs w:val="18"/>
                <w:lang w:val="fr-FR"/>
              </w:rPr>
              <w:t xml:space="preserve"> </w:t>
            </w:r>
            <w:r w:rsidR="00576C2A" w:rsidRPr="00F82B6A">
              <w:rPr>
                <w:rFonts w:eastAsia="Times New Roman" w:cs="Arial"/>
                <w:sz w:val="18"/>
                <w:szCs w:val="18"/>
                <w:lang w:val="fr-FR"/>
              </w:rPr>
              <w:t>Inscription à l’Annexe I &amp; II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</w:tcPr>
          <w:p w14:paraId="134520D9" w14:textId="77777777" w:rsidR="005C2513" w:rsidRDefault="005C2513" w:rsidP="00723966">
            <w:pPr>
              <w:spacing w:after="0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>ARG, BRA, URY</w:t>
            </w:r>
          </w:p>
        </w:tc>
      </w:tr>
      <w:tr w:rsidR="00D161AC" w:rsidRPr="00FC3F24" w14:paraId="1E7471DB" w14:textId="77777777" w:rsidTr="00723966">
        <w:trPr>
          <w:trHeight w:val="498"/>
        </w:trPr>
        <w:tc>
          <w:tcPr>
            <w:tcW w:w="982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391E32FF" w14:textId="77777777" w:rsidR="00D161AC" w:rsidRDefault="00D161AC" w:rsidP="00D161AC">
            <w:pPr>
              <w:spacing w:after="0"/>
              <w:jc w:val="center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>31.4.5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</w:tcPr>
          <w:p w14:paraId="569725A5" w14:textId="77777777" w:rsidR="00D161AC" w:rsidRPr="004D3C05" w:rsidRDefault="00D161AC" w:rsidP="00D161AC">
            <w:pPr>
              <w:spacing w:after="0"/>
              <w:rPr>
                <w:i/>
                <w:iCs/>
                <w:sz w:val="18"/>
                <w:szCs w:val="18"/>
              </w:rPr>
            </w:pPr>
            <w:r w:rsidRPr="004D3C05">
              <w:rPr>
                <w:rFonts w:cs="Arial"/>
                <w:i/>
                <w:iCs/>
                <w:color w:val="000000"/>
                <w:sz w:val="18"/>
                <w:szCs w:val="18"/>
              </w:rPr>
              <w:t>Phocoena phocoena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</w:tcPr>
          <w:p w14:paraId="7F8C0FF1" w14:textId="5F7C643C" w:rsidR="00D161AC" w:rsidRPr="00D161AC" w:rsidRDefault="00D161AC" w:rsidP="00D161AC">
            <w:pPr>
              <w:spacing w:after="0"/>
              <w:rPr>
                <w:rFonts w:eastAsia="Times New Roman" w:cs="Arial"/>
                <w:sz w:val="18"/>
                <w:szCs w:val="18"/>
                <w:lang w:val="fr-FR"/>
              </w:rPr>
            </w:pPr>
            <w:r w:rsidRPr="00D161AC">
              <w:rPr>
                <w:rFonts w:eastAsia="Times New Roman" w:cs="Arial"/>
                <w:sz w:val="18"/>
                <w:szCs w:val="18"/>
                <w:lang w:val="fr-FR"/>
              </w:rPr>
              <w:t>Population de la Baltique proprement dite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</w:tcPr>
          <w:p w14:paraId="3B4C8B0F" w14:textId="05CEA92B" w:rsidR="00D161AC" w:rsidRPr="00B67AFE" w:rsidRDefault="00D161AC" w:rsidP="00D161AC">
            <w:pPr>
              <w:spacing w:after="0"/>
              <w:rPr>
                <w:sz w:val="18"/>
                <w:szCs w:val="18"/>
                <w:lang w:val="fr-FR"/>
              </w:rPr>
            </w:pPr>
            <w:r w:rsidRPr="00B67AFE">
              <w:rPr>
                <w:sz w:val="18"/>
                <w:szCs w:val="18"/>
                <w:lang w:val="fr-FR"/>
              </w:rPr>
              <w:t>Marsouin commun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</w:tcPr>
          <w:p w14:paraId="027F97B1" w14:textId="5D52D3DF" w:rsidR="00D161AC" w:rsidRPr="00FC3F24" w:rsidRDefault="00D161AC" w:rsidP="00D161AC">
            <w:pPr>
              <w:spacing w:after="0"/>
              <w:rPr>
                <w:rFonts w:eastAsia="Times New Roman" w:cs="Arial"/>
                <w:sz w:val="18"/>
                <w:szCs w:val="18"/>
              </w:rPr>
            </w:pPr>
            <w:r w:rsidRPr="00F82B6A">
              <w:rPr>
                <w:rFonts w:eastAsia="Times New Roman" w:cs="Arial"/>
                <w:sz w:val="18"/>
                <w:szCs w:val="18"/>
                <w:lang w:val="en-GB"/>
              </w:rPr>
              <w:t>In</w:t>
            </w:r>
            <w:r>
              <w:rPr>
                <w:rFonts w:eastAsia="Times New Roman" w:cs="Arial"/>
                <w:sz w:val="18"/>
                <w:szCs w:val="18"/>
                <w:lang w:val="en-GB"/>
              </w:rPr>
              <w:t>scription à l’Annexe I</w:t>
            </w:r>
            <w:r w:rsidRPr="00FC3F24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</w:tcPr>
          <w:p w14:paraId="73EB2196" w14:textId="77777777" w:rsidR="00D161AC" w:rsidRDefault="00D161AC" w:rsidP="00D161AC">
            <w:pPr>
              <w:spacing w:after="0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>EU</w:t>
            </w:r>
          </w:p>
        </w:tc>
      </w:tr>
      <w:tr w:rsidR="00D161AC" w:rsidRPr="00FC3F24" w14:paraId="7117AB5D" w14:textId="77777777" w:rsidTr="00723966">
        <w:trPr>
          <w:trHeight w:val="315"/>
        </w:trPr>
        <w:tc>
          <w:tcPr>
            <w:tcW w:w="982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74409A6C" w14:textId="77777777" w:rsidR="00D161AC" w:rsidRPr="00FC3F24" w:rsidRDefault="00D161AC" w:rsidP="00D161AC">
            <w:pPr>
              <w:spacing w:after="0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6D712674" w14:textId="77777777" w:rsidR="00D161AC" w:rsidRPr="00FC3F24" w:rsidRDefault="00D161AC" w:rsidP="00D161AC">
            <w:pPr>
              <w:spacing w:after="0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FC3F24">
              <w:rPr>
                <w:rFonts w:eastAsia="Times New Roman" w:cs="Arial"/>
                <w:b/>
                <w:bCs/>
                <w:sz w:val="18"/>
                <w:szCs w:val="18"/>
              </w:rPr>
              <w:t>AVES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28DD2ED9" w14:textId="054DEFD1" w:rsidR="00D161AC" w:rsidRPr="00FC3F24" w:rsidRDefault="00D161AC" w:rsidP="00D161AC">
            <w:pPr>
              <w:spacing w:after="0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485AF44D" w14:textId="77777777" w:rsidR="00D161AC" w:rsidRPr="00FC3F24" w:rsidRDefault="00D161AC" w:rsidP="00D161AC">
            <w:pPr>
              <w:spacing w:after="0"/>
              <w:rPr>
                <w:rFonts w:eastAsia="Times New Roman" w:cs="Arial"/>
                <w:sz w:val="18"/>
                <w:szCs w:val="18"/>
              </w:rPr>
            </w:pPr>
            <w:r w:rsidRPr="00FC3F24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645B1406" w14:textId="77777777" w:rsidR="00D161AC" w:rsidRPr="00FC3F24" w:rsidRDefault="00D161AC" w:rsidP="00D161AC">
            <w:pPr>
              <w:spacing w:after="0"/>
              <w:rPr>
                <w:rFonts w:eastAsia="Times New Roman" w:cs="Arial"/>
                <w:sz w:val="18"/>
                <w:szCs w:val="18"/>
              </w:rPr>
            </w:pPr>
            <w:r w:rsidRPr="00FC3F24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151C1328" w14:textId="77777777" w:rsidR="00D161AC" w:rsidRPr="00FC3F24" w:rsidRDefault="00D161AC" w:rsidP="00D161AC">
            <w:pPr>
              <w:spacing w:after="0"/>
              <w:rPr>
                <w:rFonts w:eastAsia="Times New Roman" w:cs="Arial"/>
                <w:sz w:val="18"/>
                <w:szCs w:val="18"/>
              </w:rPr>
            </w:pPr>
            <w:r w:rsidRPr="00FC3F24">
              <w:rPr>
                <w:rFonts w:eastAsia="Times New Roman" w:cs="Arial"/>
                <w:sz w:val="18"/>
                <w:szCs w:val="18"/>
              </w:rPr>
              <w:t> </w:t>
            </w:r>
          </w:p>
        </w:tc>
      </w:tr>
      <w:tr w:rsidR="00D161AC" w:rsidRPr="00FC3F24" w14:paraId="5A7E19A3" w14:textId="77777777" w:rsidTr="00723966">
        <w:trPr>
          <w:trHeight w:val="327"/>
        </w:trPr>
        <w:tc>
          <w:tcPr>
            <w:tcW w:w="982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3415F3B7" w14:textId="77777777" w:rsidR="00D161AC" w:rsidRPr="00FC3F24" w:rsidRDefault="00D161AC" w:rsidP="00D161AC">
            <w:pPr>
              <w:spacing w:after="0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>31</w:t>
            </w:r>
            <w:r w:rsidRPr="00FC3F24">
              <w:rPr>
                <w:rFonts w:eastAsia="Times New Roman" w:cs="Arial"/>
                <w:sz w:val="18"/>
                <w:szCs w:val="18"/>
                <w:lang w:val="it-IT"/>
              </w:rPr>
              <w:t>.</w:t>
            </w:r>
            <w:r>
              <w:rPr>
                <w:rFonts w:eastAsia="Times New Roman" w:cs="Arial"/>
                <w:sz w:val="18"/>
                <w:szCs w:val="18"/>
                <w:lang w:val="it-IT"/>
              </w:rPr>
              <w:t>4</w:t>
            </w:r>
            <w:r w:rsidRPr="00FC3F24">
              <w:rPr>
                <w:rFonts w:eastAsia="Times New Roman" w:cs="Arial"/>
                <w:sz w:val="18"/>
                <w:szCs w:val="18"/>
                <w:lang w:val="it-IT"/>
              </w:rPr>
              <w:t>.</w:t>
            </w:r>
            <w:r>
              <w:rPr>
                <w:rFonts w:eastAsia="Times New Roman" w:cs="Arial"/>
                <w:sz w:val="18"/>
                <w:szCs w:val="18"/>
                <w:lang w:val="it-IT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493380BB" w14:textId="77777777" w:rsidR="00D161AC" w:rsidRPr="00375BC7" w:rsidRDefault="00D161AC" w:rsidP="00D161AC">
            <w:pPr>
              <w:spacing w:after="0"/>
              <w:rPr>
                <w:rFonts w:eastAsia="Times New Roman" w:cs="Arial"/>
                <w:i/>
                <w:iCs/>
                <w:sz w:val="18"/>
                <w:szCs w:val="18"/>
              </w:rPr>
            </w:pPr>
            <w:r w:rsidRPr="00375BC7">
              <w:rPr>
                <w:rFonts w:cs="Arial"/>
                <w:i/>
                <w:iCs/>
                <w:color w:val="000000"/>
                <w:sz w:val="18"/>
                <w:szCs w:val="18"/>
              </w:rPr>
              <w:t>Pelecanus thagus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57DE6A30" w14:textId="77777777" w:rsidR="00D161AC" w:rsidRPr="00375BC7" w:rsidRDefault="00D161AC" w:rsidP="00D161AC">
            <w:pPr>
              <w:spacing w:after="0"/>
              <w:rPr>
                <w:rFonts w:eastAsia="Times New Roman" w:cs="Arial"/>
                <w:sz w:val="18"/>
                <w:szCs w:val="18"/>
              </w:rPr>
            </w:pPr>
            <w:r w:rsidRPr="00375BC7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0A9C8EA1" w14:textId="53BCB4D8" w:rsidR="00D161AC" w:rsidRPr="00375BC7" w:rsidRDefault="00D161AC" w:rsidP="00D161AC">
            <w:pPr>
              <w:spacing w:after="0"/>
              <w:rPr>
                <w:rFonts w:eastAsia="Times New Roman" w:cs="Arial"/>
                <w:sz w:val="18"/>
                <w:szCs w:val="18"/>
              </w:rPr>
            </w:pPr>
            <w:r w:rsidRPr="00375BC7">
              <w:rPr>
                <w:rFonts w:cs="Arial"/>
                <w:color w:val="000000"/>
                <w:sz w:val="18"/>
                <w:szCs w:val="18"/>
              </w:rPr>
              <w:t>P</w:t>
            </w:r>
            <w:r w:rsidR="00E33BFB">
              <w:rPr>
                <w:rFonts w:cs="Arial"/>
                <w:color w:val="000000"/>
                <w:sz w:val="18"/>
                <w:szCs w:val="18"/>
              </w:rPr>
              <w:t>é</w:t>
            </w:r>
            <w:r w:rsidRPr="00375BC7">
              <w:rPr>
                <w:rFonts w:cs="Arial"/>
                <w:color w:val="000000"/>
                <w:sz w:val="18"/>
                <w:szCs w:val="18"/>
              </w:rPr>
              <w:t>lican</w:t>
            </w:r>
            <w:r w:rsidR="00E33BFB">
              <w:rPr>
                <w:rFonts w:cs="Arial"/>
                <w:color w:val="000000"/>
                <w:sz w:val="18"/>
                <w:szCs w:val="18"/>
              </w:rPr>
              <w:t xml:space="preserve"> thage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33186C23" w14:textId="303C3B2E" w:rsidR="00D161AC" w:rsidRPr="00B462E6" w:rsidRDefault="00B462E6" w:rsidP="00D161AC">
            <w:pPr>
              <w:spacing w:after="0"/>
              <w:rPr>
                <w:rFonts w:eastAsia="Times New Roman" w:cs="Arial"/>
                <w:sz w:val="18"/>
                <w:szCs w:val="18"/>
                <w:lang w:val="fr-FR"/>
              </w:rPr>
            </w:pPr>
            <w:r w:rsidRPr="00F82B6A">
              <w:rPr>
                <w:rFonts w:eastAsia="Times New Roman" w:cs="Arial"/>
                <w:sz w:val="18"/>
                <w:szCs w:val="18"/>
                <w:lang w:val="fr-FR"/>
              </w:rPr>
              <w:t>Inscription à l’Annexe I &amp; II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4AF956A7" w14:textId="77777777" w:rsidR="00D161AC" w:rsidRPr="00375BC7" w:rsidRDefault="00D161AC" w:rsidP="00D161AC">
            <w:pPr>
              <w:spacing w:after="0"/>
              <w:rPr>
                <w:rFonts w:eastAsia="Times New Roman" w:cs="Arial"/>
                <w:sz w:val="18"/>
                <w:szCs w:val="18"/>
              </w:rPr>
            </w:pPr>
            <w:r w:rsidRPr="00375BC7">
              <w:rPr>
                <w:rFonts w:eastAsia="Times New Roman" w:cs="Arial"/>
                <w:sz w:val="18"/>
                <w:szCs w:val="18"/>
              </w:rPr>
              <w:t>CHL, ECU, PAN, PER</w:t>
            </w:r>
          </w:p>
        </w:tc>
      </w:tr>
      <w:tr w:rsidR="00D161AC" w:rsidRPr="00FC3F24" w14:paraId="35B7E412" w14:textId="77777777" w:rsidTr="00723966">
        <w:trPr>
          <w:trHeight w:val="403"/>
        </w:trPr>
        <w:tc>
          <w:tcPr>
            <w:tcW w:w="982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32AA5B4E" w14:textId="77777777" w:rsidR="00D161AC" w:rsidRPr="00FC3F24" w:rsidRDefault="00D161AC" w:rsidP="00D161AC">
            <w:pPr>
              <w:spacing w:after="0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>31</w:t>
            </w:r>
            <w:r w:rsidRPr="00FC3F24">
              <w:rPr>
                <w:rFonts w:eastAsia="Times New Roman" w:cs="Arial"/>
                <w:sz w:val="18"/>
                <w:szCs w:val="18"/>
                <w:lang w:val="it-IT"/>
              </w:rPr>
              <w:t>.</w:t>
            </w:r>
            <w:r>
              <w:rPr>
                <w:rFonts w:eastAsia="Times New Roman" w:cs="Arial"/>
                <w:sz w:val="18"/>
                <w:szCs w:val="18"/>
                <w:lang w:val="it-IT"/>
              </w:rPr>
              <w:t>4</w:t>
            </w:r>
            <w:r w:rsidRPr="00FC3F24">
              <w:rPr>
                <w:rFonts w:eastAsia="Times New Roman" w:cs="Arial"/>
                <w:sz w:val="18"/>
                <w:szCs w:val="18"/>
                <w:lang w:val="it-IT"/>
              </w:rPr>
              <w:t>.</w:t>
            </w:r>
            <w:r>
              <w:rPr>
                <w:rFonts w:eastAsia="Times New Roman" w:cs="Arial"/>
                <w:sz w:val="18"/>
                <w:szCs w:val="18"/>
                <w:lang w:val="it-IT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4C7D980D" w14:textId="77777777" w:rsidR="00D161AC" w:rsidRPr="00866DEF" w:rsidRDefault="00D161AC" w:rsidP="00D161AC">
            <w:pPr>
              <w:spacing w:after="0"/>
              <w:rPr>
                <w:rFonts w:eastAsia="Times New Roman" w:cs="Arial"/>
                <w:i/>
                <w:iCs/>
                <w:sz w:val="18"/>
                <w:szCs w:val="18"/>
              </w:rPr>
            </w:pPr>
            <w:r w:rsidRPr="00866DEF">
              <w:rPr>
                <w:rFonts w:cs="Arial"/>
                <w:i/>
                <w:iCs/>
                <w:color w:val="000000"/>
                <w:sz w:val="18"/>
                <w:szCs w:val="18"/>
              </w:rPr>
              <w:t>Pluvianellus socialis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093F06F7" w14:textId="77777777" w:rsidR="00D161AC" w:rsidRPr="00866DEF" w:rsidRDefault="00D161AC" w:rsidP="00D161AC">
            <w:pPr>
              <w:spacing w:after="0"/>
              <w:rPr>
                <w:rFonts w:eastAsia="Times New Roman" w:cs="Arial"/>
                <w:sz w:val="18"/>
                <w:szCs w:val="18"/>
              </w:rPr>
            </w:pPr>
            <w:r w:rsidRPr="00866DEF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51FAD5D8" w14:textId="58262785" w:rsidR="00D161AC" w:rsidRPr="00ED1BD5" w:rsidRDefault="00ED1BD5" w:rsidP="00D161AC">
            <w:pPr>
              <w:spacing w:after="0"/>
              <w:rPr>
                <w:rFonts w:eastAsia="Times New Roman" w:cs="Arial"/>
                <w:sz w:val="18"/>
                <w:szCs w:val="18"/>
              </w:rPr>
            </w:pPr>
            <w:r w:rsidRPr="00ED1BD5">
              <w:rPr>
                <w:sz w:val="18"/>
                <w:szCs w:val="18"/>
              </w:rPr>
              <w:t>Pluvianelle magellanique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1EEAAE71" w14:textId="2AA6C9C2" w:rsidR="00D161AC" w:rsidRPr="00866DEF" w:rsidRDefault="00B462E6" w:rsidP="00D161AC">
            <w:pPr>
              <w:spacing w:after="0"/>
              <w:rPr>
                <w:rFonts w:eastAsia="Times New Roman" w:cs="Arial"/>
                <w:sz w:val="18"/>
                <w:szCs w:val="18"/>
              </w:rPr>
            </w:pPr>
            <w:r w:rsidRPr="00F82B6A">
              <w:rPr>
                <w:rFonts w:eastAsia="Times New Roman" w:cs="Arial"/>
                <w:sz w:val="18"/>
                <w:szCs w:val="18"/>
                <w:lang w:val="fr-FR"/>
              </w:rPr>
              <w:t>Inscription à l’Annexe 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2C32D8E7" w14:textId="77777777" w:rsidR="00D161AC" w:rsidRPr="00866DEF" w:rsidRDefault="00D161AC" w:rsidP="00D161AC">
            <w:pPr>
              <w:spacing w:after="0"/>
              <w:rPr>
                <w:rFonts w:eastAsia="Times New Roman" w:cs="Arial"/>
                <w:sz w:val="18"/>
                <w:szCs w:val="18"/>
              </w:rPr>
            </w:pPr>
            <w:r w:rsidRPr="00866DEF">
              <w:rPr>
                <w:rFonts w:eastAsia="Times New Roman" w:cs="Arial"/>
                <w:sz w:val="18"/>
                <w:szCs w:val="18"/>
              </w:rPr>
              <w:t>CHL, ARG</w:t>
            </w:r>
          </w:p>
        </w:tc>
      </w:tr>
      <w:tr w:rsidR="00D161AC" w:rsidRPr="00FC3F24" w14:paraId="3A7C160F" w14:textId="77777777" w:rsidTr="00723966">
        <w:trPr>
          <w:trHeight w:val="226"/>
        </w:trPr>
        <w:tc>
          <w:tcPr>
            <w:tcW w:w="982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6AB54B52" w14:textId="77777777" w:rsidR="00D161AC" w:rsidRPr="00FC3F24" w:rsidRDefault="00D161AC" w:rsidP="00D161AC">
            <w:pPr>
              <w:spacing w:after="0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>31</w:t>
            </w:r>
            <w:r w:rsidRPr="00FC3F24">
              <w:rPr>
                <w:rFonts w:eastAsia="Times New Roman" w:cs="Arial"/>
                <w:sz w:val="18"/>
                <w:szCs w:val="18"/>
                <w:lang w:val="it-IT"/>
              </w:rPr>
              <w:t>.</w:t>
            </w:r>
            <w:r>
              <w:rPr>
                <w:rFonts w:eastAsia="Times New Roman" w:cs="Arial"/>
                <w:sz w:val="18"/>
                <w:szCs w:val="18"/>
                <w:lang w:val="it-IT"/>
              </w:rPr>
              <w:t>4</w:t>
            </w:r>
            <w:r w:rsidRPr="00FC3F24">
              <w:rPr>
                <w:rFonts w:eastAsia="Times New Roman" w:cs="Arial"/>
                <w:sz w:val="18"/>
                <w:szCs w:val="18"/>
                <w:lang w:val="it-IT"/>
              </w:rPr>
              <w:t>.</w:t>
            </w:r>
            <w:r>
              <w:rPr>
                <w:rFonts w:eastAsia="Times New Roman" w:cs="Arial"/>
                <w:sz w:val="18"/>
                <w:szCs w:val="18"/>
                <w:lang w:val="it-IT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48177F40" w14:textId="77777777" w:rsidR="00D161AC" w:rsidRPr="00B368FD" w:rsidRDefault="00D161AC" w:rsidP="00D161AC">
            <w:pPr>
              <w:spacing w:after="0"/>
              <w:rPr>
                <w:rFonts w:eastAsia="Times New Roman" w:cs="Arial"/>
                <w:i/>
                <w:iCs/>
                <w:sz w:val="18"/>
                <w:szCs w:val="18"/>
              </w:rPr>
            </w:pPr>
            <w:r w:rsidRPr="00B368FD">
              <w:rPr>
                <w:rFonts w:cs="Arial"/>
                <w:i/>
                <w:iCs/>
                <w:color w:val="000000"/>
                <w:sz w:val="18"/>
                <w:szCs w:val="18"/>
              </w:rPr>
              <w:t>Gypaetus barbatus meridionalis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48799AC2" w14:textId="0857E830" w:rsidR="00D161AC" w:rsidRPr="00B368FD" w:rsidRDefault="00121D23" w:rsidP="00D161AC">
            <w:pPr>
              <w:spacing w:after="0"/>
              <w:rPr>
                <w:rFonts w:eastAsia="Times New Roman" w:cs="Arial"/>
                <w:sz w:val="18"/>
                <w:szCs w:val="18"/>
              </w:rPr>
            </w:pPr>
            <w:r w:rsidRPr="00121D23">
              <w:rPr>
                <w:rFonts w:eastAsia="Times New Roman" w:cs="Arial"/>
                <w:sz w:val="18"/>
                <w:szCs w:val="18"/>
              </w:rPr>
              <w:t>Population d'Afrique australe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7C32DC84" w14:textId="6ACCD8DD" w:rsidR="00D161AC" w:rsidRPr="00EB43ED" w:rsidRDefault="00EB43ED" w:rsidP="00D161AC">
            <w:pPr>
              <w:spacing w:after="0"/>
              <w:rPr>
                <w:rFonts w:eastAsia="Times New Roman" w:cs="Arial"/>
                <w:sz w:val="18"/>
                <w:szCs w:val="18"/>
              </w:rPr>
            </w:pPr>
            <w:r w:rsidRPr="00EB43ED">
              <w:rPr>
                <w:sz w:val="18"/>
                <w:szCs w:val="18"/>
              </w:rPr>
              <w:t>Gypaète barbu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46429E34" w14:textId="7A235EA6" w:rsidR="00D161AC" w:rsidRPr="00B368FD" w:rsidRDefault="00003234" w:rsidP="00D161AC">
            <w:pPr>
              <w:spacing w:after="0"/>
              <w:rPr>
                <w:rFonts w:eastAsia="Times New Roman" w:cs="Arial"/>
                <w:sz w:val="18"/>
                <w:szCs w:val="18"/>
              </w:rPr>
            </w:pPr>
            <w:r w:rsidRPr="00F82B6A">
              <w:rPr>
                <w:rFonts w:eastAsia="Times New Roman" w:cs="Arial"/>
                <w:sz w:val="18"/>
                <w:szCs w:val="18"/>
                <w:lang w:val="fr-FR"/>
              </w:rPr>
              <w:t>Inscription à l’Annexe 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04BBFA40" w14:textId="77777777" w:rsidR="00D161AC" w:rsidRPr="00B368FD" w:rsidRDefault="00D161AC" w:rsidP="00D161AC">
            <w:pPr>
              <w:spacing w:after="0"/>
              <w:rPr>
                <w:rFonts w:eastAsia="Times New Roman" w:cs="Arial"/>
                <w:sz w:val="18"/>
                <w:szCs w:val="18"/>
              </w:rPr>
            </w:pPr>
            <w:r w:rsidRPr="00B368FD">
              <w:rPr>
                <w:rFonts w:eastAsia="Times New Roman" w:cs="Arial"/>
                <w:sz w:val="18"/>
                <w:szCs w:val="18"/>
              </w:rPr>
              <w:t>ZAF</w:t>
            </w:r>
          </w:p>
        </w:tc>
      </w:tr>
      <w:tr w:rsidR="00D161AC" w:rsidRPr="00FC3F24" w14:paraId="0188D083" w14:textId="77777777" w:rsidTr="00723966">
        <w:trPr>
          <w:trHeight w:val="345"/>
        </w:trPr>
        <w:tc>
          <w:tcPr>
            <w:tcW w:w="982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456708C1" w14:textId="77777777" w:rsidR="00D161AC" w:rsidRPr="00FC3F24" w:rsidRDefault="00D161AC" w:rsidP="00D161AC">
            <w:pPr>
              <w:spacing w:after="0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1CC79CA5" w14:textId="77777777" w:rsidR="00D161AC" w:rsidRPr="00FC3F24" w:rsidRDefault="00D161AC" w:rsidP="00D161AC">
            <w:pPr>
              <w:spacing w:after="0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FC3F24">
              <w:rPr>
                <w:rFonts w:eastAsia="Times New Roman" w:cs="Arial"/>
                <w:b/>
                <w:bCs/>
                <w:sz w:val="18"/>
                <w:szCs w:val="18"/>
              </w:rPr>
              <w:t>PISCES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30D13930" w14:textId="77777777" w:rsidR="00D161AC" w:rsidRPr="00FC3F24" w:rsidRDefault="00D161AC" w:rsidP="00D161AC">
            <w:pPr>
              <w:spacing w:after="0"/>
              <w:rPr>
                <w:rFonts w:eastAsia="Times New Roman" w:cs="Arial"/>
                <w:i/>
                <w:iCs/>
                <w:sz w:val="18"/>
                <w:szCs w:val="18"/>
              </w:rPr>
            </w:pPr>
            <w:r w:rsidRPr="00FC3F24">
              <w:rPr>
                <w:rFonts w:eastAsia="Times New Roman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658BB8B5" w14:textId="77777777" w:rsidR="00D161AC" w:rsidRPr="00FC3F24" w:rsidRDefault="00D161AC" w:rsidP="00D161AC">
            <w:pPr>
              <w:spacing w:after="0"/>
              <w:rPr>
                <w:rFonts w:eastAsia="Times New Roman" w:cs="Arial"/>
                <w:sz w:val="18"/>
                <w:szCs w:val="18"/>
              </w:rPr>
            </w:pPr>
            <w:r w:rsidRPr="00FC3F24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3C39E287" w14:textId="77777777" w:rsidR="00D161AC" w:rsidRPr="00FC3F24" w:rsidRDefault="00D161AC" w:rsidP="00D161AC">
            <w:pPr>
              <w:spacing w:after="0"/>
              <w:rPr>
                <w:rFonts w:eastAsia="Times New Roman" w:cs="Arial"/>
                <w:sz w:val="18"/>
                <w:szCs w:val="18"/>
              </w:rPr>
            </w:pPr>
            <w:r w:rsidRPr="00FC3F24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13B428AA" w14:textId="77777777" w:rsidR="00D161AC" w:rsidRPr="00FC3F24" w:rsidRDefault="00D161AC" w:rsidP="00D161AC">
            <w:pPr>
              <w:spacing w:after="0"/>
              <w:rPr>
                <w:rFonts w:eastAsia="Times New Roman" w:cs="Arial"/>
                <w:sz w:val="18"/>
                <w:szCs w:val="18"/>
              </w:rPr>
            </w:pPr>
            <w:r w:rsidRPr="00FC3F24">
              <w:rPr>
                <w:rFonts w:eastAsia="Times New Roman" w:cs="Arial"/>
                <w:sz w:val="18"/>
                <w:szCs w:val="18"/>
              </w:rPr>
              <w:t> </w:t>
            </w:r>
          </w:p>
        </w:tc>
      </w:tr>
      <w:tr w:rsidR="00D161AC" w:rsidRPr="00FC3F24" w14:paraId="21C0D589" w14:textId="77777777" w:rsidTr="00723966">
        <w:trPr>
          <w:trHeight w:val="315"/>
        </w:trPr>
        <w:tc>
          <w:tcPr>
            <w:tcW w:w="982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78B3E164" w14:textId="77777777" w:rsidR="00D161AC" w:rsidRPr="00FC3F24" w:rsidRDefault="00D161AC" w:rsidP="00D161AC">
            <w:pPr>
              <w:spacing w:after="0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>31</w:t>
            </w:r>
            <w:r w:rsidRPr="00FC3F24">
              <w:rPr>
                <w:rFonts w:eastAsia="Times New Roman" w:cs="Arial"/>
                <w:sz w:val="18"/>
                <w:szCs w:val="18"/>
                <w:lang w:val="it-IT"/>
              </w:rPr>
              <w:t>.</w:t>
            </w:r>
            <w:r>
              <w:rPr>
                <w:rFonts w:eastAsia="Times New Roman" w:cs="Arial"/>
                <w:sz w:val="18"/>
                <w:szCs w:val="18"/>
                <w:lang w:val="it-IT"/>
              </w:rPr>
              <w:t>4</w:t>
            </w:r>
            <w:r w:rsidRPr="00FC3F24">
              <w:rPr>
                <w:rFonts w:eastAsia="Times New Roman" w:cs="Arial"/>
                <w:sz w:val="18"/>
                <w:szCs w:val="18"/>
                <w:lang w:val="it-IT"/>
              </w:rPr>
              <w:t>.</w:t>
            </w:r>
            <w:r>
              <w:rPr>
                <w:rFonts w:eastAsia="Times New Roman" w:cs="Arial"/>
                <w:sz w:val="18"/>
                <w:szCs w:val="18"/>
                <w:lang w:val="it-IT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27DAB530" w14:textId="77777777" w:rsidR="00D161AC" w:rsidRPr="00B45B27" w:rsidRDefault="00D161AC" w:rsidP="00D161AC">
            <w:pPr>
              <w:spacing w:after="0"/>
              <w:rPr>
                <w:rFonts w:eastAsia="Times New Roman" w:cs="Arial"/>
                <w:i/>
                <w:iCs/>
                <w:sz w:val="18"/>
                <w:szCs w:val="18"/>
              </w:rPr>
            </w:pPr>
            <w:r w:rsidRPr="00B45B27">
              <w:rPr>
                <w:rFonts w:cs="Arial"/>
                <w:i/>
                <w:iCs/>
                <w:color w:val="000000"/>
                <w:sz w:val="18"/>
                <w:szCs w:val="18"/>
              </w:rPr>
              <w:t>Carcharias taurus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0C65BB32" w14:textId="77777777" w:rsidR="00D161AC" w:rsidRPr="00B45B27" w:rsidRDefault="00D161AC" w:rsidP="00D161AC">
            <w:pPr>
              <w:spacing w:after="0"/>
              <w:rPr>
                <w:rFonts w:eastAsia="Times New Roman" w:cs="Arial"/>
                <w:sz w:val="18"/>
                <w:szCs w:val="18"/>
              </w:rPr>
            </w:pPr>
            <w:r w:rsidRPr="00B45B27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35CB2EF4" w14:textId="1D9AE389" w:rsidR="00D161AC" w:rsidRPr="00602EFE" w:rsidRDefault="005A2719" w:rsidP="00D161AC">
            <w:pPr>
              <w:spacing w:after="0"/>
              <w:rPr>
                <w:rFonts w:eastAsia="Times New Roman" w:cs="Arial"/>
                <w:sz w:val="18"/>
                <w:szCs w:val="18"/>
              </w:rPr>
            </w:pPr>
            <w:r w:rsidRPr="00602EFE">
              <w:rPr>
                <w:sz w:val="18"/>
                <w:szCs w:val="18"/>
              </w:rPr>
              <w:t xml:space="preserve">Requin </w:t>
            </w:r>
            <w:r w:rsidR="0091131F" w:rsidRPr="00602EFE">
              <w:rPr>
                <w:sz w:val="18"/>
                <w:szCs w:val="18"/>
              </w:rPr>
              <w:t>t</w:t>
            </w:r>
            <w:r w:rsidRPr="00602EFE">
              <w:rPr>
                <w:sz w:val="18"/>
                <w:szCs w:val="18"/>
              </w:rPr>
              <w:t>aureau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4ED50C8C" w14:textId="1DBF0DFF" w:rsidR="00D161AC" w:rsidRPr="008D690D" w:rsidRDefault="008D690D" w:rsidP="00D161AC">
            <w:pPr>
              <w:spacing w:after="0"/>
              <w:rPr>
                <w:rFonts w:eastAsia="Times New Roman" w:cs="Arial"/>
                <w:sz w:val="18"/>
                <w:szCs w:val="18"/>
                <w:lang w:val="fr-FR"/>
              </w:rPr>
            </w:pPr>
            <w:r w:rsidRPr="00F82B6A">
              <w:rPr>
                <w:rFonts w:eastAsia="Times New Roman" w:cs="Arial"/>
                <w:sz w:val="18"/>
                <w:szCs w:val="18"/>
                <w:lang w:val="fr-FR"/>
              </w:rPr>
              <w:t>Inscription à l’Annexe I &amp; II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5E4F42C1" w14:textId="77777777" w:rsidR="00D161AC" w:rsidRPr="00B45B27" w:rsidRDefault="00D161AC" w:rsidP="00D161AC">
            <w:pPr>
              <w:spacing w:after="0"/>
              <w:rPr>
                <w:rFonts w:eastAsia="Times New Roman" w:cs="Arial"/>
                <w:sz w:val="18"/>
                <w:szCs w:val="18"/>
              </w:rPr>
            </w:pPr>
            <w:r w:rsidRPr="00B45B27">
              <w:rPr>
                <w:rFonts w:eastAsia="Times New Roman" w:cs="Arial"/>
                <w:sz w:val="18"/>
                <w:szCs w:val="18"/>
              </w:rPr>
              <w:t>BRA, PAN</w:t>
            </w:r>
          </w:p>
        </w:tc>
      </w:tr>
      <w:tr w:rsidR="00D161AC" w:rsidRPr="00FC3F24" w14:paraId="203F99CC" w14:textId="77777777" w:rsidTr="00723966">
        <w:trPr>
          <w:trHeight w:val="336"/>
        </w:trPr>
        <w:tc>
          <w:tcPr>
            <w:tcW w:w="982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7DCCA010" w14:textId="77777777" w:rsidR="00D161AC" w:rsidRPr="00FC3F24" w:rsidRDefault="00D161AC" w:rsidP="00D161AC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>31</w:t>
            </w:r>
            <w:r w:rsidRPr="00FC3F24">
              <w:rPr>
                <w:rFonts w:eastAsia="Times New Roman" w:cs="Arial"/>
                <w:sz w:val="18"/>
                <w:szCs w:val="18"/>
                <w:lang w:val="it-IT"/>
              </w:rPr>
              <w:t>.</w:t>
            </w:r>
            <w:r>
              <w:rPr>
                <w:rFonts w:eastAsia="Times New Roman" w:cs="Arial"/>
                <w:sz w:val="18"/>
                <w:szCs w:val="18"/>
                <w:lang w:val="it-IT"/>
              </w:rPr>
              <w:t>4</w:t>
            </w:r>
            <w:r w:rsidRPr="00FC3F24">
              <w:rPr>
                <w:rFonts w:eastAsia="Times New Roman" w:cs="Arial"/>
                <w:sz w:val="18"/>
                <w:szCs w:val="18"/>
                <w:lang w:val="it-IT"/>
              </w:rPr>
              <w:t>.</w:t>
            </w:r>
            <w:r>
              <w:rPr>
                <w:rFonts w:eastAsia="Times New Roman" w:cs="Arial"/>
                <w:sz w:val="18"/>
                <w:szCs w:val="18"/>
                <w:lang w:val="it-IT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2E2587F7" w14:textId="77777777" w:rsidR="00D161AC" w:rsidRPr="00B45B27" w:rsidRDefault="00D161AC" w:rsidP="00D161AC">
            <w:pPr>
              <w:rPr>
                <w:rFonts w:eastAsia="Times New Roman" w:cs="Arial"/>
                <w:i/>
                <w:iCs/>
                <w:sz w:val="18"/>
                <w:szCs w:val="18"/>
              </w:rPr>
            </w:pPr>
            <w:r w:rsidRPr="00B45B27">
              <w:rPr>
                <w:rFonts w:cs="Arial"/>
                <w:i/>
                <w:iCs/>
                <w:color w:val="000000"/>
                <w:sz w:val="18"/>
                <w:szCs w:val="18"/>
              </w:rPr>
              <w:t>Glaucostegus cemiculus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70DDD5D6" w14:textId="77777777" w:rsidR="00D161AC" w:rsidRPr="00B45B27" w:rsidRDefault="00D161AC" w:rsidP="00D161AC">
            <w:pPr>
              <w:rPr>
                <w:rFonts w:eastAsia="Times New Roman" w:cs="Arial"/>
                <w:sz w:val="18"/>
                <w:szCs w:val="18"/>
              </w:rPr>
            </w:pPr>
            <w:r w:rsidRPr="00B45B27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09615B0C" w14:textId="3131789F" w:rsidR="00D161AC" w:rsidRPr="00602EFE" w:rsidRDefault="0091131F" w:rsidP="00D161AC">
            <w:pPr>
              <w:rPr>
                <w:rFonts w:eastAsia="Times New Roman" w:cs="Arial"/>
                <w:sz w:val="18"/>
                <w:szCs w:val="18"/>
                <w:lang w:val="fr-FR"/>
              </w:rPr>
            </w:pPr>
            <w:r w:rsidRPr="00602EFE">
              <w:rPr>
                <w:sz w:val="18"/>
                <w:szCs w:val="18"/>
                <w:lang w:val="fr-FR"/>
              </w:rPr>
              <w:t>Guitare de mer fouisseuse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76EE88D6" w14:textId="163F85B4" w:rsidR="00D161AC" w:rsidRPr="00B45B27" w:rsidRDefault="00067494" w:rsidP="00D161AC">
            <w:pPr>
              <w:rPr>
                <w:rFonts w:eastAsia="Times New Roman" w:cs="Arial"/>
                <w:sz w:val="18"/>
                <w:szCs w:val="18"/>
              </w:rPr>
            </w:pPr>
            <w:r w:rsidRPr="00F82B6A">
              <w:rPr>
                <w:rFonts w:eastAsia="Times New Roman" w:cs="Arial"/>
                <w:sz w:val="18"/>
                <w:szCs w:val="18"/>
                <w:lang w:val="fr-FR"/>
              </w:rPr>
              <w:t>Inscription à l’Annexe</w:t>
            </w:r>
            <w:r>
              <w:rPr>
                <w:rFonts w:eastAsia="Times New Roman" w:cs="Arial"/>
                <w:sz w:val="18"/>
                <w:szCs w:val="18"/>
                <w:lang w:val="fr-FR"/>
              </w:rPr>
              <w:t xml:space="preserve"> </w:t>
            </w:r>
            <w:r w:rsidRPr="00F82B6A">
              <w:rPr>
                <w:rFonts w:eastAsia="Times New Roman" w:cs="Arial"/>
                <w:sz w:val="18"/>
                <w:szCs w:val="18"/>
                <w:lang w:val="fr-FR"/>
              </w:rPr>
              <w:t>II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380483C3" w14:textId="77777777" w:rsidR="00D161AC" w:rsidRPr="00B45B27" w:rsidRDefault="00D161AC" w:rsidP="00D161AC">
            <w:pPr>
              <w:rPr>
                <w:rFonts w:eastAsia="Times New Roman" w:cs="Arial"/>
                <w:sz w:val="18"/>
                <w:szCs w:val="18"/>
              </w:rPr>
            </w:pPr>
            <w:r w:rsidRPr="00B45B27">
              <w:rPr>
                <w:rFonts w:eastAsia="Times New Roman" w:cs="Arial"/>
                <w:sz w:val="18"/>
                <w:szCs w:val="18"/>
              </w:rPr>
              <w:t>ISR</w:t>
            </w:r>
          </w:p>
        </w:tc>
      </w:tr>
      <w:tr w:rsidR="00D161AC" w:rsidRPr="00FC3F24" w14:paraId="1ED3E0BF" w14:textId="77777777" w:rsidTr="00723966">
        <w:trPr>
          <w:trHeight w:val="316"/>
        </w:trPr>
        <w:tc>
          <w:tcPr>
            <w:tcW w:w="982" w:type="dxa"/>
            <w:tcBorders>
              <w:top w:val="nil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42FBE54D" w14:textId="77777777" w:rsidR="00D161AC" w:rsidRPr="00FC3F24" w:rsidRDefault="00D161AC" w:rsidP="00D161AC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31.4.10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54988BAB" w14:textId="77777777" w:rsidR="00D161AC" w:rsidRPr="00B45B27" w:rsidRDefault="00D161AC" w:rsidP="00D161AC">
            <w:pPr>
              <w:rPr>
                <w:rFonts w:eastAsia="Times New Roman" w:cs="Arial"/>
                <w:i/>
                <w:iCs/>
                <w:sz w:val="18"/>
                <w:szCs w:val="18"/>
              </w:rPr>
            </w:pPr>
            <w:r w:rsidRPr="00B45B27">
              <w:rPr>
                <w:rFonts w:cs="Arial"/>
                <w:i/>
                <w:iCs/>
                <w:color w:val="000000"/>
                <w:sz w:val="18"/>
                <w:szCs w:val="18"/>
              </w:rPr>
              <w:t>Glaucostegus cemiculus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7B331102" w14:textId="030C9E89" w:rsidR="00D161AC" w:rsidRPr="00071102" w:rsidRDefault="00D161AC" w:rsidP="00D161AC">
            <w:pPr>
              <w:rPr>
                <w:rFonts w:eastAsia="Times New Roman" w:cs="Arial"/>
                <w:sz w:val="18"/>
                <w:szCs w:val="18"/>
                <w:lang w:val="fr-FR"/>
              </w:rPr>
            </w:pPr>
            <w:r w:rsidRPr="00071102">
              <w:rPr>
                <w:rFonts w:eastAsia="Times New Roman" w:cs="Arial"/>
                <w:sz w:val="18"/>
                <w:szCs w:val="18"/>
                <w:lang w:val="fr-FR"/>
              </w:rPr>
              <w:t> </w:t>
            </w:r>
            <w:r w:rsidR="00071102" w:rsidRPr="00071102">
              <w:rPr>
                <w:rFonts w:eastAsia="Times New Roman" w:cs="Arial"/>
                <w:sz w:val="18"/>
                <w:szCs w:val="18"/>
                <w:lang w:val="fr-FR"/>
              </w:rPr>
              <w:t>Population de la mer Méditerranée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</w:tcPr>
          <w:p w14:paraId="71207D86" w14:textId="1577636C" w:rsidR="00D161AC" w:rsidRPr="00602EFE" w:rsidRDefault="0091131F" w:rsidP="00D161AC">
            <w:pPr>
              <w:rPr>
                <w:rFonts w:eastAsia="Times New Roman" w:cs="Arial"/>
                <w:sz w:val="18"/>
                <w:szCs w:val="18"/>
              </w:rPr>
            </w:pPr>
            <w:r w:rsidRPr="00602EFE">
              <w:rPr>
                <w:sz w:val="18"/>
                <w:szCs w:val="18"/>
              </w:rPr>
              <w:t>Guitare de mer fouisseuse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067C6B01" w14:textId="19B24C3C" w:rsidR="00D161AC" w:rsidRPr="00B45B27" w:rsidRDefault="008965C2" w:rsidP="00D161AC">
            <w:pPr>
              <w:rPr>
                <w:rFonts w:eastAsia="Times New Roman" w:cs="Arial"/>
                <w:sz w:val="18"/>
                <w:szCs w:val="18"/>
              </w:rPr>
            </w:pPr>
            <w:r w:rsidRPr="00F82B6A">
              <w:rPr>
                <w:rFonts w:eastAsia="Times New Roman" w:cs="Arial"/>
                <w:sz w:val="18"/>
                <w:szCs w:val="18"/>
                <w:lang w:val="fr-FR"/>
              </w:rPr>
              <w:t>Inscription à l’Annexe I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6E21B970" w14:textId="77777777" w:rsidR="00D161AC" w:rsidRPr="00B45B27" w:rsidRDefault="00D161AC" w:rsidP="00D161AC">
            <w:pPr>
              <w:rPr>
                <w:rFonts w:eastAsia="Times New Roman" w:cs="Arial"/>
                <w:sz w:val="18"/>
                <w:szCs w:val="18"/>
              </w:rPr>
            </w:pPr>
            <w:r w:rsidRPr="00B45B27">
              <w:rPr>
                <w:rFonts w:eastAsia="Times New Roman" w:cs="Arial"/>
                <w:sz w:val="18"/>
                <w:szCs w:val="18"/>
              </w:rPr>
              <w:t>ISR</w:t>
            </w:r>
          </w:p>
        </w:tc>
      </w:tr>
      <w:tr w:rsidR="00D161AC" w:rsidRPr="00FC3F24" w14:paraId="2A051A55" w14:textId="77777777" w:rsidTr="00723966">
        <w:trPr>
          <w:trHeight w:val="194"/>
        </w:trPr>
        <w:tc>
          <w:tcPr>
            <w:tcW w:w="982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4161B7F5" w14:textId="77777777" w:rsidR="00D161AC" w:rsidRPr="00FC3F24" w:rsidRDefault="00D161AC" w:rsidP="00D161AC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lastRenderedPageBreak/>
              <w:t>31.4.11</w:t>
            </w:r>
          </w:p>
        </w:tc>
        <w:tc>
          <w:tcPr>
            <w:tcW w:w="2835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5CDB1129" w14:textId="77777777" w:rsidR="00D161AC" w:rsidRPr="00A46FC9" w:rsidRDefault="00D161AC" w:rsidP="00D161AC">
            <w:pPr>
              <w:rPr>
                <w:rFonts w:eastAsia="Times New Roman" w:cs="Arial"/>
                <w:i/>
                <w:iCs/>
                <w:sz w:val="18"/>
                <w:szCs w:val="18"/>
              </w:rPr>
            </w:pPr>
            <w:r w:rsidRPr="00A46FC9">
              <w:rPr>
                <w:rFonts w:cs="Arial"/>
                <w:i/>
                <w:iCs/>
                <w:sz w:val="18"/>
                <w:szCs w:val="18"/>
              </w:rPr>
              <w:t>Aetomylaeus bovinus</w:t>
            </w:r>
          </w:p>
        </w:tc>
        <w:tc>
          <w:tcPr>
            <w:tcW w:w="3118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5B2E45F5" w14:textId="77777777" w:rsidR="00D161AC" w:rsidRPr="00A46FC9" w:rsidRDefault="00D161AC" w:rsidP="00D161AC">
            <w:pPr>
              <w:rPr>
                <w:rFonts w:eastAsia="Times New Roman" w:cs="Arial"/>
                <w:sz w:val="18"/>
                <w:szCs w:val="18"/>
              </w:rPr>
            </w:pPr>
            <w:r w:rsidRPr="00A46FC9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193EAFB5" w14:textId="387C11ED" w:rsidR="00D161AC" w:rsidRPr="00602EFE" w:rsidRDefault="002570EC" w:rsidP="00D161AC">
            <w:pPr>
              <w:rPr>
                <w:rFonts w:eastAsia="Times New Roman" w:cs="Arial"/>
                <w:sz w:val="18"/>
                <w:szCs w:val="18"/>
              </w:rPr>
            </w:pPr>
            <w:r w:rsidRPr="00602EFE">
              <w:rPr>
                <w:sz w:val="18"/>
                <w:szCs w:val="18"/>
              </w:rPr>
              <w:t>Raie-aigle vachette</w:t>
            </w:r>
          </w:p>
        </w:tc>
        <w:tc>
          <w:tcPr>
            <w:tcW w:w="2411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14E77538" w14:textId="773B3A16" w:rsidR="00D161AC" w:rsidRPr="00A46FC9" w:rsidRDefault="008965C2" w:rsidP="00D161AC">
            <w:pPr>
              <w:rPr>
                <w:rFonts w:eastAsia="Times New Roman" w:cs="Arial"/>
                <w:sz w:val="18"/>
                <w:szCs w:val="18"/>
              </w:rPr>
            </w:pPr>
            <w:r w:rsidRPr="00F82B6A">
              <w:rPr>
                <w:rFonts w:eastAsia="Times New Roman" w:cs="Arial"/>
                <w:sz w:val="18"/>
                <w:szCs w:val="18"/>
                <w:lang w:val="fr-FR"/>
              </w:rPr>
              <w:t>Inscription à l’Annexe II</w:t>
            </w:r>
          </w:p>
        </w:tc>
        <w:tc>
          <w:tcPr>
            <w:tcW w:w="2295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0E889D3E" w14:textId="77777777" w:rsidR="00D161AC" w:rsidRPr="00A46FC9" w:rsidRDefault="00D161AC" w:rsidP="00D161AC">
            <w:pPr>
              <w:rPr>
                <w:rFonts w:eastAsia="Times New Roman" w:cs="Arial"/>
                <w:sz w:val="18"/>
                <w:szCs w:val="18"/>
              </w:rPr>
            </w:pPr>
            <w:r w:rsidRPr="00A46FC9">
              <w:rPr>
                <w:rFonts w:eastAsia="Times New Roman" w:cs="Arial"/>
                <w:sz w:val="18"/>
                <w:szCs w:val="18"/>
              </w:rPr>
              <w:t>ISR</w:t>
            </w:r>
          </w:p>
        </w:tc>
      </w:tr>
      <w:tr w:rsidR="00D161AC" w:rsidRPr="00FC3F24" w14:paraId="7F4F1D91" w14:textId="77777777" w:rsidTr="00723966">
        <w:trPr>
          <w:trHeight w:val="194"/>
        </w:trPr>
        <w:tc>
          <w:tcPr>
            <w:tcW w:w="982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20CFFB4F" w14:textId="77777777" w:rsidR="00D161AC" w:rsidRDefault="00D161AC" w:rsidP="00D161AC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31.4.11</w:t>
            </w:r>
          </w:p>
        </w:tc>
        <w:tc>
          <w:tcPr>
            <w:tcW w:w="2835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vAlign w:val="center"/>
          </w:tcPr>
          <w:p w14:paraId="65E8C3AA" w14:textId="77777777" w:rsidR="00D161AC" w:rsidRPr="00A46FC9" w:rsidRDefault="00D161AC" w:rsidP="00D161AC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A46FC9">
              <w:rPr>
                <w:rFonts w:cs="Arial"/>
                <w:i/>
                <w:iCs/>
                <w:sz w:val="18"/>
                <w:szCs w:val="18"/>
              </w:rPr>
              <w:t>Aetomylaeus bovinus</w:t>
            </w:r>
          </w:p>
        </w:tc>
        <w:tc>
          <w:tcPr>
            <w:tcW w:w="3118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vAlign w:val="center"/>
          </w:tcPr>
          <w:p w14:paraId="2DA732EA" w14:textId="2C950A4E" w:rsidR="00D161AC" w:rsidRPr="00071102" w:rsidRDefault="00071102" w:rsidP="00D161AC">
            <w:pPr>
              <w:rPr>
                <w:rFonts w:eastAsia="Times New Roman" w:cs="Arial"/>
                <w:sz w:val="18"/>
                <w:szCs w:val="18"/>
                <w:lang w:val="fr-FR"/>
              </w:rPr>
            </w:pPr>
            <w:r w:rsidRPr="00071102">
              <w:rPr>
                <w:rFonts w:eastAsia="Times New Roman" w:cs="Arial"/>
                <w:sz w:val="18"/>
                <w:szCs w:val="18"/>
                <w:lang w:val="fr-FR"/>
              </w:rPr>
              <w:t>Population de la mer Méditerranée</w:t>
            </w:r>
          </w:p>
        </w:tc>
        <w:tc>
          <w:tcPr>
            <w:tcW w:w="2835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vAlign w:val="center"/>
          </w:tcPr>
          <w:p w14:paraId="025912E7" w14:textId="16BE6D99" w:rsidR="00D161AC" w:rsidRPr="00602EFE" w:rsidRDefault="002570EC" w:rsidP="00D161AC">
            <w:pPr>
              <w:rPr>
                <w:rFonts w:cs="Arial"/>
                <w:color w:val="000000"/>
                <w:sz w:val="18"/>
                <w:szCs w:val="18"/>
              </w:rPr>
            </w:pPr>
            <w:r w:rsidRPr="00602EFE">
              <w:rPr>
                <w:sz w:val="18"/>
                <w:szCs w:val="18"/>
              </w:rPr>
              <w:t>Raie-aigle vachette</w:t>
            </w:r>
          </w:p>
        </w:tc>
        <w:tc>
          <w:tcPr>
            <w:tcW w:w="2411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vAlign w:val="center"/>
          </w:tcPr>
          <w:p w14:paraId="2E36DDDE" w14:textId="541A1711" w:rsidR="00D161AC" w:rsidRPr="00A46FC9" w:rsidRDefault="008965C2" w:rsidP="00D161AC">
            <w:pPr>
              <w:rPr>
                <w:rFonts w:eastAsia="Times New Roman" w:cs="Arial"/>
                <w:sz w:val="18"/>
                <w:szCs w:val="18"/>
              </w:rPr>
            </w:pPr>
            <w:r w:rsidRPr="00F82B6A">
              <w:rPr>
                <w:rFonts w:eastAsia="Times New Roman" w:cs="Arial"/>
                <w:sz w:val="18"/>
                <w:szCs w:val="18"/>
                <w:lang w:val="fr-FR"/>
              </w:rPr>
              <w:t>Inscription à l’Annexe I</w:t>
            </w:r>
          </w:p>
        </w:tc>
        <w:tc>
          <w:tcPr>
            <w:tcW w:w="2295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vAlign w:val="center"/>
          </w:tcPr>
          <w:p w14:paraId="09EA5F1A" w14:textId="77777777" w:rsidR="00D161AC" w:rsidRPr="00A46FC9" w:rsidRDefault="00D161AC" w:rsidP="00D161AC">
            <w:pPr>
              <w:rPr>
                <w:rFonts w:eastAsia="Times New Roman" w:cs="Arial"/>
                <w:sz w:val="18"/>
                <w:szCs w:val="18"/>
              </w:rPr>
            </w:pPr>
            <w:r w:rsidRPr="00A46FC9">
              <w:rPr>
                <w:rFonts w:eastAsia="Times New Roman" w:cs="Arial"/>
                <w:sz w:val="18"/>
                <w:szCs w:val="18"/>
              </w:rPr>
              <w:t>ISR</w:t>
            </w:r>
          </w:p>
        </w:tc>
      </w:tr>
      <w:tr w:rsidR="00D161AC" w:rsidRPr="00FC3F24" w14:paraId="58AA91F7" w14:textId="77777777" w:rsidTr="00723966">
        <w:trPr>
          <w:trHeight w:val="194"/>
        </w:trPr>
        <w:tc>
          <w:tcPr>
            <w:tcW w:w="982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192E3B90" w14:textId="77777777" w:rsidR="00D161AC" w:rsidRDefault="00D161AC" w:rsidP="00D161AC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31.4.12</w:t>
            </w:r>
          </w:p>
        </w:tc>
        <w:tc>
          <w:tcPr>
            <w:tcW w:w="2835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vAlign w:val="center"/>
          </w:tcPr>
          <w:p w14:paraId="1DAFCEC5" w14:textId="77777777" w:rsidR="00D161AC" w:rsidRPr="00681B69" w:rsidRDefault="00D161AC" w:rsidP="00D161AC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681B69">
              <w:rPr>
                <w:rFonts w:cs="Arial"/>
                <w:i/>
                <w:iCs/>
                <w:sz w:val="18"/>
                <w:szCs w:val="18"/>
              </w:rPr>
              <w:t>Rhinoptera marginata</w:t>
            </w:r>
          </w:p>
        </w:tc>
        <w:tc>
          <w:tcPr>
            <w:tcW w:w="3118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vAlign w:val="center"/>
          </w:tcPr>
          <w:p w14:paraId="7C9C0BAB" w14:textId="77777777" w:rsidR="00D161AC" w:rsidRPr="00681B69" w:rsidRDefault="00D161AC" w:rsidP="00D161AC">
            <w:pPr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vAlign w:val="center"/>
          </w:tcPr>
          <w:p w14:paraId="0978907E" w14:textId="7FF451DB" w:rsidR="00D161AC" w:rsidRPr="00602EFE" w:rsidRDefault="00934970" w:rsidP="00D161AC">
            <w:pPr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602EFE">
              <w:rPr>
                <w:sz w:val="18"/>
                <w:szCs w:val="18"/>
                <w:lang w:val="fr-FR"/>
              </w:rPr>
              <w:t>Mourine lusitanienne</w:t>
            </w:r>
            <w:r w:rsidRPr="00602EFE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411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vAlign w:val="center"/>
          </w:tcPr>
          <w:p w14:paraId="714BDE81" w14:textId="5DB871B7" w:rsidR="00D161AC" w:rsidRPr="00681B69" w:rsidRDefault="008965C2" w:rsidP="00D161AC">
            <w:pPr>
              <w:rPr>
                <w:rFonts w:eastAsia="Times New Roman" w:cs="Arial"/>
                <w:sz w:val="18"/>
                <w:szCs w:val="18"/>
              </w:rPr>
            </w:pPr>
            <w:r w:rsidRPr="00F82B6A">
              <w:rPr>
                <w:rFonts w:eastAsia="Times New Roman" w:cs="Arial"/>
                <w:sz w:val="18"/>
                <w:szCs w:val="18"/>
                <w:lang w:val="fr-FR"/>
              </w:rPr>
              <w:t>Inscription à l’Annexe II</w:t>
            </w:r>
          </w:p>
        </w:tc>
        <w:tc>
          <w:tcPr>
            <w:tcW w:w="2295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vAlign w:val="center"/>
          </w:tcPr>
          <w:p w14:paraId="06A3E591" w14:textId="77777777" w:rsidR="00D161AC" w:rsidRPr="00681B69" w:rsidRDefault="00D161AC" w:rsidP="00D161AC">
            <w:pPr>
              <w:rPr>
                <w:rFonts w:eastAsia="Times New Roman" w:cs="Arial"/>
                <w:sz w:val="18"/>
                <w:szCs w:val="18"/>
              </w:rPr>
            </w:pPr>
            <w:r w:rsidRPr="00681B69">
              <w:rPr>
                <w:rFonts w:eastAsia="Times New Roman" w:cs="Arial"/>
                <w:sz w:val="18"/>
                <w:szCs w:val="18"/>
              </w:rPr>
              <w:t>ISR</w:t>
            </w:r>
          </w:p>
        </w:tc>
      </w:tr>
      <w:tr w:rsidR="00D161AC" w:rsidRPr="00FC3F24" w14:paraId="7EC56223" w14:textId="77777777" w:rsidTr="00723966">
        <w:trPr>
          <w:trHeight w:val="194"/>
        </w:trPr>
        <w:tc>
          <w:tcPr>
            <w:tcW w:w="982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22AE839A" w14:textId="77777777" w:rsidR="00D161AC" w:rsidRDefault="00D161AC" w:rsidP="00D161AC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31.4.12</w:t>
            </w:r>
          </w:p>
        </w:tc>
        <w:tc>
          <w:tcPr>
            <w:tcW w:w="2835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vAlign w:val="center"/>
          </w:tcPr>
          <w:p w14:paraId="1BFB80BE" w14:textId="77777777" w:rsidR="00D161AC" w:rsidRPr="00681B69" w:rsidRDefault="00D161AC" w:rsidP="00D161AC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681B69">
              <w:rPr>
                <w:rFonts w:cs="Arial"/>
                <w:i/>
                <w:iCs/>
                <w:sz w:val="18"/>
                <w:szCs w:val="18"/>
              </w:rPr>
              <w:t>Rhinoptera marginata</w:t>
            </w:r>
          </w:p>
        </w:tc>
        <w:tc>
          <w:tcPr>
            <w:tcW w:w="3118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vAlign w:val="center"/>
          </w:tcPr>
          <w:p w14:paraId="1A86ABAD" w14:textId="098B72C9" w:rsidR="00D161AC" w:rsidRPr="00826EA7" w:rsidRDefault="00071102" w:rsidP="00D161AC">
            <w:pPr>
              <w:rPr>
                <w:rFonts w:eastAsia="Times New Roman" w:cs="Arial"/>
                <w:sz w:val="18"/>
                <w:szCs w:val="18"/>
                <w:lang w:val="fr-FR"/>
              </w:rPr>
            </w:pPr>
            <w:r w:rsidRPr="00826EA7">
              <w:rPr>
                <w:rFonts w:eastAsia="Times New Roman" w:cs="Arial"/>
                <w:sz w:val="18"/>
                <w:szCs w:val="18"/>
                <w:lang w:val="fr-FR"/>
              </w:rPr>
              <w:t>Population de la mer Méditerranée</w:t>
            </w:r>
          </w:p>
        </w:tc>
        <w:tc>
          <w:tcPr>
            <w:tcW w:w="2835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vAlign w:val="center"/>
          </w:tcPr>
          <w:p w14:paraId="3B74DD98" w14:textId="5AF54607" w:rsidR="00D161AC" w:rsidRPr="00602EFE" w:rsidRDefault="00934970" w:rsidP="00D161AC">
            <w:pPr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602EFE">
              <w:rPr>
                <w:sz w:val="18"/>
                <w:szCs w:val="18"/>
                <w:lang w:val="fr-FR"/>
              </w:rPr>
              <w:t>Mourine lusitanienne</w:t>
            </w:r>
            <w:r w:rsidRPr="00602EFE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411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vAlign w:val="center"/>
          </w:tcPr>
          <w:p w14:paraId="0D65F094" w14:textId="348116EC" w:rsidR="00D161AC" w:rsidRPr="00681B69" w:rsidRDefault="00CB6553" w:rsidP="00D161AC">
            <w:pPr>
              <w:rPr>
                <w:rFonts w:eastAsia="Times New Roman" w:cs="Arial"/>
                <w:sz w:val="18"/>
                <w:szCs w:val="18"/>
              </w:rPr>
            </w:pPr>
            <w:r w:rsidRPr="00F82B6A">
              <w:rPr>
                <w:rFonts w:eastAsia="Times New Roman" w:cs="Arial"/>
                <w:sz w:val="18"/>
                <w:szCs w:val="18"/>
                <w:lang w:val="fr-FR"/>
              </w:rPr>
              <w:t>Inscription à l’Annexe I</w:t>
            </w:r>
          </w:p>
        </w:tc>
        <w:tc>
          <w:tcPr>
            <w:tcW w:w="2295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vAlign w:val="center"/>
          </w:tcPr>
          <w:p w14:paraId="1ACB27DF" w14:textId="77777777" w:rsidR="00D161AC" w:rsidRPr="00681B69" w:rsidRDefault="00D161AC" w:rsidP="00D161AC">
            <w:pPr>
              <w:rPr>
                <w:rFonts w:eastAsia="Times New Roman" w:cs="Arial"/>
                <w:sz w:val="18"/>
                <w:szCs w:val="18"/>
              </w:rPr>
            </w:pPr>
            <w:r w:rsidRPr="00681B69">
              <w:rPr>
                <w:rFonts w:eastAsia="Times New Roman" w:cs="Arial"/>
                <w:sz w:val="18"/>
                <w:szCs w:val="18"/>
              </w:rPr>
              <w:t>ISR</w:t>
            </w:r>
          </w:p>
        </w:tc>
      </w:tr>
      <w:tr w:rsidR="00D161AC" w:rsidRPr="00FC3F24" w14:paraId="2B791DA3" w14:textId="77777777" w:rsidTr="00723966">
        <w:trPr>
          <w:trHeight w:val="194"/>
        </w:trPr>
        <w:tc>
          <w:tcPr>
            <w:tcW w:w="982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7552C788" w14:textId="77777777" w:rsidR="00D161AC" w:rsidRDefault="00D161AC" w:rsidP="00D161AC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31.4.13</w:t>
            </w:r>
          </w:p>
        </w:tc>
        <w:tc>
          <w:tcPr>
            <w:tcW w:w="2835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vAlign w:val="center"/>
          </w:tcPr>
          <w:p w14:paraId="03BD9F20" w14:textId="77777777" w:rsidR="00D161AC" w:rsidRPr="00E2619D" w:rsidRDefault="00D161AC" w:rsidP="00D161AC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E2619D">
              <w:rPr>
                <w:rFonts w:cs="Arial"/>
                <w:i/>
                <w:sz w:val="18"/>
                <w:szCs w:val="18"/>
              </w:rPr>
              <w:t>Brachyplatystoma rousseauxii</w:t>
            </w:r>
          </w:p>
        </w:tc>
        <w:tc>
          <w:tcPr>
            <w:tcW w:w="3118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vAlign w:val="center"/>
          </w:tcPr>
          <w:p w14:paraId="1C8E45B3" w14:textId="77777777" w:rsidR="00D161AC" w:rsidRPr="00E2619D" w:rsidRDefault="00D161AC" w:rsidP="00D161AC">
            <w:pPr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vAlign w:val="center"/>
          </w:tcPr>
          <w:p w14:paraId="1914AAEA" w14:textId="26D75E35" w:rsidR="00D161AC" w:rsidRPr="00602EFE" w:rsidRDefault="00D47A20" w:rsidP="00D161AC">
            <w:pPr>
              <w:rPr>
                <w:rFonts w:cs="Arial"/>
                <w:sz w:val="18"/>
                <w:szCs w:val="18"/>
              </w:rPr>
            </w:pPr>
            <w:r w:rsidRPr="00602EFE">
              <w:rPr>
                <w:sz w:val="18"/>
                <w:szCs w:val="18"/>
              </w:rPr>
              <w:t>Dourada</w:t>
            </w:r>
          </w:p>
        </w:tc>
        <w:tc>
          <w:tcPr>
            <w:tcW w:w="2411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vAlign w:val="center"/>
          </w:tcPr>
          <w:p w14:paraId="48ED800A" w14:textId="0E100B15" w:rsidR="00D161AC" w:rsidRPr="00E2619D" w:rsidRDefault="00CB6553" w:rsidP="00D161AC">
            <w:pPr>
              <w:rPr>
                <w:rFonts w:eastAsia="Times New Roman" w:cs="Arial"/>
                <w:sz w:val="18"/>
                <w:szCs w:val="18"/>
              </w:rPr>
            </w:pPr>
            <w:r w:rsidRPr="00F82B6A">
              <w:rPr>
                <w:rFonts w:eastAsia="Times New Roman" w:cs="Arial"/>
                <w:sz w:val="18"/>
                <w:szCs w:val="18"/>
                <w:lang w:val="fr-FR"/>
              </w:rPr>
              <w:t>Inscription à l’Annexe II</w:t>
            </w:r>
          </w:p>
        </w:tc>
        <w:tc>
          <w:tcPr>
            <w:tcW w:w="2295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vAlign w:val="center"/>
          </w:tcPr>
          <w:p w14:paraId="5A55DFD7" w14:textId="77777777" w:rsidR="00D161AC" w:rsidRPr="00E2619D" w:rsidRDefault="00D161AC" w:rsidP="00D161AC">
            <w:pPr>
              <w:rPr>
                <w:rFonts w:eastAsia="Times New Roman" w:cs="Arial"/>
                <w:sz w:val="18"/>
                <w:szCs w:val="18"/>
              </w:rPr>
            </w:pPr>
            <w:r w:rsidRPr="00E2619D">
              <w:rPr>
                <w:rFonts w:eastAsia="Times New Roman" w:cs="Arial"/>
                <w:sz w:val="18"/>
                <w:szCs w:val="18"/>
              </w:rPr>
              <w:t>BRA, PAN</w:t>
            </w:r>
          </w:p>
        </w:tc>
      </w:tr>
      <w:tr w:rsidR="00D161AC" w:rsidRPr="00FC3F24" w14:paraId="066FEE57" w14:textId="77777777" w:rsidTr="00723966">
        <w:trPr>
          <w:trHeight w:val="194"/>
        </w:trPr>
        <w:tc>
          <w:tcPr>
            <w:tcW w:w="982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6072CA95" w14:textId="77777777" w:rsidR="00D161AC" w:rsidRDefault="00D161AC" w:rsidP="00D161AC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31.4.14</w:t>
            </w:r>
          </w:p>
        </w:tc>
        <w:tc>
          <w:tcPr>
            <w:tcW w:w="2835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vAlign w:val="center"/>
          </w:tcPr>
          <w:p w14:paraId="2ED2A433" w14:textId="77777777" w:rsidR="00D161AC" w:rsidRPr="00E2619D" w:rsidRDefault="00D161AC" w:rsidP="00D161AC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E2619D">
              <w:rPr>
                <w:rFonts w:cs="Arial"/>
                <w:i/>
                <w:sz w:val="18"/>
                <w:szCs w:val="18"/>
              </w:rPr>
              <w:t>Brachyplatystoma vaillantii</w:t>
            </w:r>
          </w:p>
        </w:tc>
        <w:tc>
          <w:tcPr>
            <w:tcW w:w="3118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vAlign w:val="center"/>
          </w:tcPr>
          <w:p w14:paraId="61F20BD9" w14:textId="77777777" w:rsidR="00D161AC" w:rsidRPr="00E2619D" w:rsidRDefault="00D161AC" w:rsidP="00D161AC">
            <w:pPr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vAlign w:val="center"/>
          </w:tcPr>
          <w:p w14:paraId="1DBD5D13" w14:textId="04C5389A" w:rsidR="00D161AC" w:rsidRPr="00602EFE" w:rsidRDefault="00602EFE" w:rsidP="00D161AC">
            <w:pPr>
              <w:rPr>
                <w:rFonts w:cs="Arial"/>
                <w:sz w:val="18"/>
                <w:szCs w:val="18"/>
              </w:rPr>
            </w:pPr>
            <w:r w:rsidRPr="00602EFE">
              <w:rPr>
                <w:sz w:val="18"/>
                <w:szCs w:val="18"/>
              </w:rPr>
              <w:t>Piramutaba</w:t>
            </w:r>
          </w:p>
        </w:tc>
        <w:tc>
          <w:tcPr>
            <w:tcW w:w="2411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vAlign w:val="center"/>
          </w:tcPr>
          <w:p w14:paraId="04A86232" w14:textId="1C00E4E7" w:rsidR="00D161AC" w:rsidRPr="00E2619D" w:rsidRDefault="00CB6553" w:rsidP="00D161AC">
            <w:pPr>
              <w:rPr>
                <w:rFonts w:eastAsia="Times New Roman" w:cs="Arial"/>
                <w:sz w:val="18"/>
                <w:szCs w:val="18"/>
              </w:rPr>
            </w:pPr>
            <w:r w:rsidRPr="00F82B6A">
              <w:rPr>
                <w:rFonts w:eastAsia="Times New Roman" w:cs="Arial"/>
                <w:sz w:val="18"/>
                <w:szCs w:val="18"/>
                <w:lang w:val="fr-FR"/>
              </w:rPr>
              <w:t>Inscription à l’Annexe I</w:t>
            </w:r>
            <w:r>
              <w:rPr>
                <w:rFonts w:eastAsia="Times New Roman" w:cs="Arial"/>
                <w:sz w:val="18"/>
                <w:szCs w:val="18"/>
                <w:lang w:val="fr-FR"/>
              </w:rPr>
              <w:t>I</w:t>
            </w:r>
          </w:p>
        </w:tc>
        <w:tc>
          <w:tcPr>
            <w:tcW w:w="2295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vAlign w:val="center"/>
          </w:tcPr>
          <w:p w14:paraId="4ACBC5CC" w14:textId="77777777" w:rsidR="00D161AC" w:rsidRPr="00E2619D" w:rsidRDefault="00D161AC" w:rsidP="00D161AC">
            <w:pPr>
              <w:rPr>
                <w:rFonts w:eastAsia="Times New Roman" w:cs="Arial"/>
                <w:sz w:val="18"/>
                <w:szCs w:val="18"/>
              </w:rPr>
            </w:pPr>
            <w:r w:rsidRPr="00E2619D">
              <w:rPr>
                <w:rFonts w:eastAsia="Times New Roman" w:cs="Arial"/>
                <w:sz w:val="18"/>
                <w:szCs w:val="18"/>
              </w:rPr>
              <w:t>BRA</w:t>
            </w:r>
            <w:r>
              <w:rPr>
                <w:rFonts w:eastAsia="Times New Roman" w:cs="Arial"/>
                <w:sz w:val="18"/>
                <w:szCs w:val="18"/>
              </w:rPr>
              <w:t>, PAN</w:t>
            </w:r>
          </w:p>
        </w:tc>
      </w:tr>
    </w:tbl>
    <w:p w14:paraId="0F17412C" w14:textId="77777777" w:rsidR="005C2513" w:rsidRDefault="005C2513" w:rsidP="005C251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</w:tabs>
        <w:rPr>
          <w:rFonts w:eastAsia="Times New Roman" w:cs="Arial"/>
          <w:sz w:val="18"/>
          <w:szCs w:val="18"/>
        </w:rPr>
      </w:pPr>
    </w:p>
    <w:p w14:paraId="0A2BE5FE" w14:textId="77777777" w:rsidR="005C2513" w:rsidRDefault="005C2513" w:rsidP="005C2513">
      <w:pPr>
        <w:spacing w:after="0" w:line="240" w:lineRule="auto"/>
      </w:pPr>
    </w:p>
    <w:p w14:paraId="5122ECCE" w14:textId="77777777" w:rsidR="005C2513" w:rsidRPr="003629A7" w:rsidRDefault="005C2513" w:rsidP="005C2513">
      <w:pPr>
        <w:spacing w:after="0" w:line="240" w:lineRule="auto"/>
      </w:pPr>
    </w:p>
    <w:p w14:paraId="77842D42" w14:textId="77777777" w:rsidR="00896FBB" w:rsidRPr="000D6ED5" w:rsidRDefault="00896FBB" w:rsidP="000D6ED5">
      <w:pPr>
        <w:spacing w:after="0" w:line="240" w:lineRule="auto"/>
        <w:rPr>
          <w:lang w:val="fr-FR"/>
        </w:rPr>
      </w:pPr>
    </w:p>
    <w:p w14:paraId="2D07E139" w14:textId="77777777" w:rsidR="00BA33FE" w:rsidRDefault="00BA33FE" w:rsidP="00EC2A58">
      <w:pPr>
        <w:spacing w:after="0" w:line="240" w:lineRule="auto"/>
        <w:rPr>
          <w:lang w:val="fr-FR"/>
        </w:rPr>
      </w:pPr>
    </w:p>
    <w:sectPr w:rsidR="00BA33FE" w:rsidSect="00B973C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pgSz w:w="16838" w:h="11906" w:orient="landscape" w:code="9"/>
      <w:pgMar w:top="1440" w:right="851" w:bottom="1440" w:left="1440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B2D8D" w14:textId="77777777" w:rsidR="00F069D4" w:rsidRDefault="00F069D4" w:rsidP="00EC2A58">
      <w:pPr>
        <w:spacing w:after="0" w:line="240" w:lineRule="auto"/>
      </w:pPr>
      <w:r>
        <w:separator/>
      </w:r>
    </w:p>
  </w:endnote>
  <w:endnote w:type="continuationSeparator" w:id="0">
    <w:p w14:paraId="2171317D" w14:textId="77777777" w:rsidR="00F069D4" w:rsidRDefault="00F069D4" w:rsidP="00EC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55E0" w14:textId="77777777" w:rsidR="009A1000" w:rsidRDefault="009A1000">
    <w:pPr>
      <w:pStyle w:val="Footer"/>
      <w:ind w:right="-367"/>
      <w:jc w:val="center"/>
      <w:rPr>
        <w:lang w:val="fr-FR"/>
      </w:rPr>
    </w:pPr>
    <w:r>
      <w:rPr>
        <w:rFonts w:cs="Arial"/>
        <w:lang w:val="fr-FR"/>
      </w:rPr>
      <w:fldChar w:fldCharType="begin"/>
    </w:r>
    <w:r>
      <w:rPr>
        <w:rFonts w:cs="Arial"/>
        <w:lang w:val="fr-FR"/>
      </w:rPr>
      <w:instrText xml:space="preserve"> PAGE </w:instrText>
    </w:r>
    <w:r>
      <w:rPr>
        <w:rFonts w:cs="Arial"/>
        <w:lang w:val="fr-FR"/>
      </w:rPr>
      <w:fldChar w:fldCharType="separate"/>
    </w:r>
    <w:r>
      <w:rPr>
        <w:rFonts w:cs="Arial"/>
        <w:lang w:val="fr-FR"/>
      </w:rPr>
      <w:t>7</w:t>
    </w:r>
    <w:r>
      <w:rPr>
        <w:rFonts w:cs="Arial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4EFB" w14:textId="77777777" w:rsidR="009A1000" w:rsidRDefault="009A1000">
    <w:pPr>
      <w:pStyle w:val="Footer"/>
      <w:ind w:right="-637"/>
      <w:jc w:val="right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6396403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BE3256" w14:textId="77777777" w:rsidR="005C2513" w:rsidRPr="005848A8" w:rsidRDefault="005C2513" w:rsidP="005848A8">
        <w:pPr>
          <w:pStyle w:val="Footer"/>
          <w:jc w:val="center"/>
          <w:rPr>
            <w:sz w:val="18"/>
            <w:szCs w:val="18"/>
          </w:rPr>
        </w:pPr>
        <w:r w:rsidRPr="005848A8">
          <w:rPr>
            <w:sz w:val="18"/>
            <w:szCs w:val="18"/>
          </w:rPr>
          <w:fldChar w:fldCharType="begin"/>
        </w:r>
        <w:r w:rsidRPr="005848A8">
          <w:rPr>
            <w:sz w:val="18"/>
            <w:szCs w:val="18"/>
          </w:rPr>
          <w:instrText xml:space="preserve"> PAGE   \* MERGEFORMAT </w:instrText>
        </w:r>
        <w:r w:rsidRPr="005848A8">
          <w:rPr>
            <w:sz w:val="18"/>
            <w:szCs w:val="18"/>
          </w:rPr>
          <w:fldChar w:fldCharType="separate"/>
        </w:r>
        <w:r w:rsidRPr="005848A8">
          <w:rPr>
            <w:noProof/>
            <w:sz w:val="18"/>
            <w:szCs w:val="18"/>
          </w:rPr>
          <w:t>2</w:t>
        </w:r>
        <w:r w:rsidRPr="005848A8">
          <w:rPr>
            <w:noProof/>
            <w:sz w:val="18"/>
            <w:szCs w:val="1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065901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E8353B" w14:textId="72F458CF" w:rsidR="00B973C6" w:rsidRPr="00B973C6" w:rsidRDefault="00B973C6" w:rsidP="00B973C6">
        <w:pPr>
          <w:pStyle w:val="Footer"/>
          <w:jc w:val="center"/>
          <w:rPr>
            <w:sz w:val="18"/>
            <w:szCs w:val="18"/>
          </w:rPr>
        </w:pPr>
        <w:r w:rsidRPr="00B973C6">
          <w:rPr>
            <w:sz w:val="18"/>
            <w:szCs w:val="18"/>
          </w:rPr>
          <w:fldChar w:fldCharType="begin"/>
        </w:r>
        <w:r w:rsidRPr="00B973C6">
          <w:rPr>
            <w:sz w:val="18"/>
            <w:szCs w:val="18"/>
          </w:rPr>
          <w:instrText xml:space="preserve"> PAGE   \* MERGEFORMAT </w:instrText>
        </w:r>
        <w:r w:rsidRPr="00B973C6">
          <w:rPr>
            <w:sz w:val="18"/>
            <w:szCs w:val="18"/>
          </w:rPr>
          <w:fldChar w:fldCharType="separate"/>
        </w:r>
        <w:r w:rsidRPr="00B973C6">
          <w:rPr>
            <w:noProof/>
            <w:sz w:val="18"/>
            <w:szCs w:val="18"/>
          </w:rPr>
          <w:t>2</w:t>
        </w:r>
        <w:r w:rsidRPr="00B973C6">
          <w:rPr>
            <w:noProof/>
            <w:sz w:val="18"/>
            <w:szCs w:val="18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863748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C085032" w14:textId="77777777" w:rsidR="00EC2A58" w:rsidRPr="00EC2A58" w:rsidRDefault="00EC2A58">
        <w:pPr>
          <w:pStyle w:val="Footer"/>
          <w:jc w:val="center"/>
          <w:rPr>
            <w:sz w:val="18"/>
            <w:szCs w:val="18"/>
          </w:rPr>
        </w:pPr>
        <w:r w:rsidRPr="00EC2A58">
          <w:rPr>
            <w:sz w:val="18"/>
            <w:szCs w:val="18"/>
          </w:rPr>
          <w:fldChar w:fldCharType="begin"/>
        </w:r>
        <w:r w:rsidRPr="00EC2A58">
          <w:rPr>
            <w:sz w:val="18"/>
            <w:szCs w:val="18"/>
          </w:rPr>
          <w:instrText xml:space="preserve"> PAGE   \* MERGEFORMAT </w:instrText>
        </w:r>
        <w:r w:rsidRPr="00EC2A58">
          <w:rPr>
            <w:sz w:val="18"/>
            <w:szCs w:val="18"/>
          </w:rPr>
          <w:fldChar w:fldCharType="separate"/>
        </w:r>
        <w:r w:rsidRPr="00EC2A58">
          <w:rPr>
            <w:noProof/>
            <w:sz w:val="18"/>
            <w:szCs w:val="18"/>
          </w:rPr>
          <w:t>2</w:t>
        </w:r>
        <w:r w:rsidRPr="00EC2A58">
          <w:rPr>
            <w:noProof/>
            <w:sz w:val="18"/>
            <w:szCs w:val="18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759031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1023055" w14:textId="0EB51144" w:rsidR="00EC2A58" w:rsidRPr="00EC2A58" w:rsidRDefault="00EC2A58" w:rsidP="00B973C6">
        <w:pPr>
          <w:pStyle w:val="Footer"/>
          <w:jc w:val="center"/>
          <w:rPr>
            <w:sz w:val="18"/>
            <w:szCs w:val="18"/>
          </w:rPr>
        </w:pPr>
        <w:r w:rsidRPr="00EC2A58">
          <w:rPr>
            <w:sz w:val="18"/>
            <w:szCs w:val="18"/>
          </w:rPr>
          <w:fldChar w:fldCharType="begin"/>
        </w:r>
        <w:r w:rsidRPr="00EC2A58">
          <w:rPr>
            <w:sz w:val="18"/>
            <w:szCs w:val="18"/>
          </w:rPr>
          <w:instrText xml:space="preserve"> PAGE   \* MERGEFORMAT </w:instrText>
        </w:r>
        <w:r w:rsidRPr="00EC2A58">
          <w:rPr>
            <w:sz w:val="18"/>
            <w:szCs w:val="18"/>
          </w:rPr>
          <w:fldChar w:fldCharType="separate"/>
        </w:r>
        <w:r w:rsidRPr="00EC2A58">
          <w:rPr>
            <w:noProof/>
            <w:sz w:val="18"/>
            <w:szCs w:val="18"/>
          </w:rPr>
          <w:t>2</w:t>
        </w:r>
        <w:r w:rsidRPr="00EC2A58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E859C" w14:textId="77777777" w:rsidR="00F069D4" w:rsidRDefault="00F069D4" w:rsidP="00EC2A58">
      <w:pPr>
        <w:spacing w:after="0" w:line="240" w:lineRule="auto"/>
      </w:pPr>
      <w:r>
        <w:separator/>
      </w:r>
    </w:p>
  </w:footnote>
  <w:footnote w:type="continuationSeparator" w:id="0">
    <w:p w14:paraId="2D6F9C39" w14:textId="77777777" w:rsidR="00F069D4" w:rsidRDefault="00F069D4" w:rsidP="00EC2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1A561" w14:textId="4F3DE243" w:rsidR="009A1000" w:rsidRPr="003C7AF8" w:rsidRDefault="009A1000" w:rsidP="00AF6E42">
    <w:pPr>
      <w:pStyle w:val="Heading1"/>
      <w:keepNext w:val="0"/>
      <w:pBdr>
        <w:bottom w:val="single" w:sz="4" w:space="1" w:color="000000"/>
      </w:pBdr>
      <w:spacing w:before="0" w:line="240" w:lineRule="auto"/>
      <w:ind w:left="261" w:right="-278" w:hanging="261"/>
      <w:jc w:val="right"/>
      <w:rPr>
        <w:rFonts w:ascii="Arial" w:hAnsi="Arial" w:cs="Arial"/>
        <w:color w:val="auto"/>
        <w:sz w:val="18"/>
        <w:szCs w:val="18"/>
      </w:rPr>
    </w:pPr>
    <w:r w:rsidRPr="003C7AF8">
      <w:rPr>
        <w:rFonts w:ascii="Arial" w:hAnsi="Arial" w:cs="Arial"/>
        <w:i/>
        <w:color w:val="auto"/>
        <w:sz w:val="18"/>
        <w:szCs w:val="18"/>
      </w:rPr>
      <w:t>UNEP/CMS/COP14/Doc.</w:t>
    </w:r>
    <w:r w:rsidR="003C7AF8" w:rsidRPr="003C7AF8">
      <w:rPr>
        <w:rFonts w:ascii="Arial" w:hAnsi="Arial" w:cs="Arial"/>
        <w:i/>
        <w:color w:val="auto"/>
        <w:sz w:val="18"/>
        <w:szCs w:val="18"/>
      </w:rPr>
      <w:t>31.4/An</w:t>
    </w:r>
    <w:r w:rsidR="003C7AF8">
      <w:rPr>
        <w:rFonts w:ascii="Arial" w:hAnsi="Arial" w:cs="Arial"/>
        <w:i/>
        <w:color w:val="auto"/>
        <w:sz w:val="18"/>
        <w:szCs w:val="18"/>
      </w:rPr>
      <w:t>nexe</w:t>
    </w:r>
  </w:p>
  <w:p w14:paraId="7692416B" w14:textId="77777777" w:rsidR="009A1000" w:rsidRPr="003C7AF8" w:rsidRDefault="009A1000">
    <w:pPr>
      <w:jc w:val="right"/>
      <w:rPr>
        <w:i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EE0A" w14:textId="0569130A" w:rsidR="009A1000" w:rsidRDefault="002771D0">
    <w:pPr>
      <w:pStyle w:val="Header"/>
      <w:ind w:right="-547"/>
      <w:jc w:val="right"/>
      <w:rPr>
        <w:lang w:val="fr-FR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4B939901" wp14:editId="1FACFAC8">
          <wp:simplePos x="0" y="0"/>
          <wp:positionH relativeFrom="column">
            <wp:posOffset>-66675</wp:posOffset>
          </wp:positionH>
          <wp:positionV relativeFrom="paragraph">
            <wp:posOffset>-19050</wp:posOffset>
          </wp:positionV>
          <wp:extent cx="714375" cy="714375"/>
          <wp:effectExtent l="0" t="0" r="9525" b="9525"/>
          <wp:wrapSquare wrapText="bothSides"/>
          <wp:docPr id="8" name="Picture 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5" descr="Logo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1000">
      <w:rPr>
        <w:noProof/>
        <w:lang w:val="fr-FR"/>
      </w:rPr>
      <w:drawing>
        <wp:anchor distT="0" distB="0" distL="114300" distR="114300" simplePos="0" relativeHeight="251665408" behindDoc="0" locked="0" layoutInCell="1" allowOverlap="1" wp14:anchorId="69FC11B3" wp14:editId="063FE45C">
          <wp:simplePos x="0" y="0"/>
          <wp:positionH relativeFrom="column">
            <wp:posOffset>5572172</wp:posOffset>
          </wp:positionH>
          <wp:positionV relativeFrom="paragraph">
            <wp:posOffset>201930</wp:posOffset>
          </wp:positionV>
          <wp:extent cx="541653" cy="260347"/>
          <wp:effectExtent l="0" t="0" r="0" b="6353"/>
          <wp:wrapSquare wrapText="bothSides"/>
          <wp:docPr id="6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1653" cy="26034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9A1000">
      <w:rPr>
        <w:noProof/>
        <w:sz w:val="2"/>
        <w:szCs w:val="2"/>
        <w:lang w:val="fr-FR"/>
      </w:rPr>
      <w:drawing>
        <wp:anchor distT="0" distB="0" distL="114300" distR="114300" simplePos="0" relativeHeight="251664384" behindDoc="0" locked="0" layoutInCell="1" allowOverlap="1" wp14:anchorId="5C285937" wp14:editId="3DF61968">
          <wp:simplePos x="0" y="0"/>
          <wp:positionH relativeFrom="column">
            <wp:posOffset>820420</wp:posOffset>
          </wp:positionH>
          <wp:positionV relativeFrom="paragraph">
            <wp:posOffset>105410</wp:posOffset>
          </wp:positionV>
          <wp:extent cx="431167" cy="441326"/>
          <wp:effectExtent l="0" t="0" r="6983" b="0"/>
          <wp:wrapTight wrapText="bothSides">
            <wp:wrapPolygon edited="0">
              <wp:start x="0" y="0"/>
              <wp:lineTo x="0" y="20512"/>
              <wp:lineTo x="20995" y="20512"/>
              <wp:lineTo x="20995" y="0"/>
              <wp:lineTo x="0" y="0"/>
            </wp:wrapPolygon>
          </wp:wrapTight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 l="2780" t="-1236" r="60236" b="48836"/>
                  <a:stretch>
                    <a:fillRect/>
                  </a:stretch>
                </pic:blipFill>
                <pic:spPr>
                  <a:xfrm>
                    <a:off x="0" y="0"/>
                    <a:ext cx="431167" cy="4413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38921" w14:textId="50E606F3" w:rsidR="005C2513" w:rsidRPr="002E0DE9" w:rsidRDefault="005C2513" w:rsidP="00B973C6">
    <w:pPr>
      <w:pStyle w:val="Header"/>
      <w:pBdr>
        <w:bottom w:val="single" w:sz="4" w:space="1" w:color="auto"/>
      </w:pBdr>
      <w:rPr>
        <w:i/>
        <w:sz w:val="18"/>
        <w:szCs w:val="18"/>
      </w:rPr>
    </w:pPr>
    <w:r w:rsidRPr="002E0DE9">
      <w:rPr>
        <w:rFonts w:eastAsia="Times New Roman" w:cs="Arial"/>
        <w:i/>
        <w:sz w:val="18"/>
        <w:szCs w:val="18"/>
        <w:lang w:val="en-GB"/>
      </w:rPr>
      <w:t>UNEP/CMS/COP1</w:t>
    </w:r>
    <w:r>
      <w:rPr>
        <w:rFonts w:eastAsia="Times New Roman" w:cs="Arial"/>
        <w:i/>
        <w:sz w:val="18"/>
        <w:szCs w:val="18"/>
        <w:lang w:val="en-GB"/>
      </w:rPr>
      <w:t>4</w:t>
    </w:r>
    <w:r w:rsidRPr="002E0DE9">
      <w:rPr>
        <w:rFonts w:eastAsia="Times New Roman" w:cs="Arial"/>
        <w:i/>
        <w:sz w:val="18"/>
        <w:szCs w:val="18"/>
        <w:lang w:val="en-GB"/>
      </w:rPr>
      <w:t>/</w:t>
    </w:r>
    <w:r>
      <w:rPr>
        <w:rFonts w:eastAsia="Times New Roman" w:cs="Arial"/>
        <w:i/>
        <w:sz w:val="18"/>
        <w:szCs w:val="18"/>
        <w:lang w:val="en-GB"/>
      </w:rPr>
      <w:t>Doc.31.4</w:t>
    </w:r>
  </w:p>
  <w:p w14:paraId="0B109F38" w14:textId="77777777" w:rsidR="005C2513" w:rsidRDefault="005C251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9B020" w14:textId="040AD4E2" w:rsidR="00EC2A58" w:rsidRPr="00EC2A58" w:rsidRDefault="00EC2A58" w:rsidP="00EC2A58">
    <w:pPr>
      <w:widowControl w:val="0"/>
      <w:pBdr>
        <w:bottom w:val="single" w:sz="4" w:space="1" w:color="auto"/>
      </w:pBdr>
      <w:tabs>
        <w:tab w:val="left" w:pos="5040"/>
        <w:tab w:val="left" w:pos="5760"/>
        <w:tab w:val="left" w:pos="6008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spacing w:after="0" w:line="240" w:lineRule="auto"/>
      <w:textAlignment w:val="baseline"/>
      <w:rPr>
        <w:rFonts w:ascii="Calibri" w:eastAsia="Calibri" w:hAnsi="Calibri" w:cs="Times New Roman"/>
        <w:i/>
        <w:sz w:val="18"/>
        <w:szCs w:val="18"/>
        <w:lang w:val="fr-FR"/>
      </w:rPr>
    </w:pPr>
    <w:r w:rsidRPr="00EC2A58">
      <w:rPr>
        <w:rFonts w:eastAsia="Arial" w:cs="Arial"/>
        <w:i/>
        <w:sz w:val="18"/>
        <w:szCs w:val="18"/>
        <w:lang w:val="fr-FR"/>
      </w:rPr>
      <w:t>UNEP/CMS/COP1</w:t>
    </w:r>
    <w:r w:rsidR="00BA33FE">
      <w:rPr>
        <w:rFonts w:eastAsia="Arial" w:cs="Arial"/>
        <w:i/>
        <w:sz w:val="18"/>
        <w:szCs w:val="18"/>
        <w:lang w:val="fr-FR"/>
      </w:rPr>
      <w:t>4</w:t>
    </w:r>
    <w:r w:rsidRPr="00EC2A58">
      <w:rPr>
        <w:rFonts w:eastAsia="Arial" w:cs="Arial"/>
        <w:i/>
        <w:sz w:val="18"/>
        <w:szCs w:val="18"/>
        <w:lang w:val="fr-FR"/>
      </w:rPr>
      <w:t>/Doc.</w:t>
    </w:r>
    <w:r w:rsidRPr="00EC2A58">
      <w:rPr>
        <w:rFonts w:eastAsia="Arial" w:cs="Arial"/>
        <w:i/>
        <w:sz w:val="18"/>
        <w:szCs w:val="18"/>
        <w:shd w:val="clear" w:color="auto" w:fill="FFFF00"/>
        <w:lang w:val="fr-FR"/>
      </w:rPr>
      <w:t>XX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DB090" w14:textId="77777777" w:rsidR="00B973C6" w:rsidRPr="002771D0" w:rsidRDefault="00B973C6" w:rsidP="00B973C6">
    <w:pPr>
      <w:pStyle w:val="Header"/>
      <w:pBdr>
        <w:bottom w:val="single" w:sz="4" w:space="1" w:color="auto"/>
      </w:pBdr>
      <w:jc w:val="right"/>
      <w:rPr>
        <w:i/>
        <w:iCs/>
        <w:sz w:val="18"/>
        <w:szCs w:val="18"/>
        <w:lang w:val="en-GB"/>
      </w:rPr>
    </w:pPr>
    <w:r w:rsidRPr="002771D0">
      <w:rPr>
        <w:i/>
        <w:iCs/>
        <w:sz w:val="18"/>
        <w:szCs w:val="18"/>
        <w:lang w:val="en-GB"/>
      </w:rPr>
      <w:t>UNEP/CMS/COP14/Doc.</w:t>
    </w:r>
    <w:r>
      <w:rPr>
        <w:i/>
        <w:iCs/>
        <w:sz w:val="18"/>
        <w:szCs w:val="18"/>
        <w:lang w:val="en-GB"/>
      </w:rPr>
      <w:t>31.4/Annexe</w:t>
    </w:r>
  </w:p>
  <w:p w14:paraId="484C38BB" w14:textId="189F4383" w:rsidR="00EC2A58" w:rsidRPr="00B973C6" w:rsidRDefault="00EC2A58" w:rsidP="00B973C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2C2A7" w14:textId="19FB47DD" w:rsidR="00EC2A58" w:rsidRPr="002771D0" w:rsidRDefault="002771D0" w:rsidP="002771D0">
    <w:pPr>
      <w:pStyle w:val="Header"/>
      <w:pBdr>
        <w:bottom w:val="single" w:sz="4" w:space="1" w:color="auto"/>
      </w:pBdr>
      <w:rPr>
        <w:i/>
        <w:iCs/>
        <w:sz w:val="18"/>
        <w:szCs w:val="18"/>
        <w:lang w:val="en-GB"/>
      </w:rPr>
    </w:pPr>
    <w:r w:rsidRPr="002771D0">
      <w:rPr>
        <w:i/>
        <w:iCs/>
        <w:sz w:val="18"/>
        <w:szCs w:val="18"/>
        <w:lang w:val="en-GB"/>
      </w:rPr>
      <w:t>UNEP/CMS/COP14/Doc.</w:t>
    </w:r>
    <w:r w:rsidR="00396038">
      <w:rPr>
        <w:i/>
        <w:iCs/>
        <w:sz w:val="18"/>
        <w:szCs w:val="18"/>
        <w:lang w:val="en-GB"/>
      </w:rPr>
      <w:t>31.4</w:t>
    </w:r>
    <w:r w:rsidR="003C7AF8">
      <w:rPr>
        <w:i/>
        <w:iCs/>
        <w:sz w:val="18"/>
        <w:szCs w:val="18"/>
        <w:lang w:val="en-GB"/>
      </w:rPr>
      <w:t>/Annexe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566"/>
        </w:tabs>
        <w:ind w:left="566" w:hanging="566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pStyle w:val="Level2"/>
      <w:lvlText w:val="(%1%2"/>
      <w:lvlJc w:val="left"/>
      <w:pPr>
        <w:tabs>
          <w:tab w:val="num" w:pos="1132"/>
        </w:tabs>
        <w:ind w:left="1132" w:hanging="566"/>
      </w:pPr>
      <w:rPr>
        <w:rFonts w:cs="Times New Roman"/>
      </w:rPr>
    </w:lvl>
    <w:lvl w:ilvl="2">
      <w:start w:val="1"/>
      <w:numFmt w:val="lowerRoman"/>
      <w:pStyle w:val="Level3"/>
      <w:lvlText w:val="(%2%3"/>
      <w:lvlJc w:val="left"/>
      <w:pPr>
        <w:tabs>
          <w:tab w:val="num" w:pos="1700"/>
        </w:tabs>
        <w:ind w:left="1700" w:hanging="568"/>
      </w:pPr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lowerRoman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lowerLetter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A392691"/>
    <w:multiLevelType w:val="hybridMultilevel"/>
    <w:tmpl w:val="63B47E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F48E4"/>
    <w:multiLevelType w:val="hybridMultilevel"/>
    <w:tmpl w:val="86841666"/>
    <w:lvl w:ilvl="0" w:tplc="93A4A280">
      <w:start w:val="1"/>
      <w:numFmt w:val="lowerLetter"/>
      <w:pStyle w:val="Secondnumbering"/>
      <w:lvlText w:val="%1)."/>
      <w:lvlJc w:val="righ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DED2A6A"/>
    <w:multiLevelType w:val="hybridMultilevel"/>
    <w:tmpl w:val="06AA13EA"/>
    <w:lvl w:ilvl="0" w:tplc="1F00A350">
      <w:start w:val="4"/>
      <w:numFmt w:val="decimal"/>
      <w:pStyle w:val="Firstnumber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F4688C"/>
    <w:multiLevelType w:val="hybridMultilevel"/>
    <w:tmpl w:val="049C56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02923">
    <w:abstractNumId w:val="4"/>
  </w:num>
  <w:num w:numId="2" w16cid:durableId="230577033">
    <w:abstractNumId w:val="3"/>
  </w:num>
  <w:num w:numId="3" w16cid:durableId="1220481048">
    <w:abstractNumId w:val="0"/>
    <w:lvlOverride w:ilvl="0">
      <w:lvl w:ilvl="0">
        <w:start w:val="5"/>
        <w:numFmt w:val="decimal"/>
        <w:pStyle w:val="Level1"/>
        <w:lvlText w:val="%1."/>
        <w:lvlJc w:val="left"/>
        <w:pPr>
          <w:ind w:left="0" w:firstLine="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Level2"/>
        <w:lvlText w:val="(%1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Level3"/>
        <w:lvlText w:val="(%2%3"/>
        <w:lvlJc w:val="left"/>
        <w:pPr>
          <w:ind w:left="0" w:firstLine="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  <w:rPr>
          <w:rFonts w:cs="Times New Roman"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cs="Times New Roman" w:hint="default"/>
        </w:rPr>
      </w:lvl>
    </w:lvlOverride>
  </w:num>
  <w:num w:numId="4" w16cid:durableId="1439059716">
    <w:abstractNumId w:val="1"/>
  </w:num>
  <w:num w:numId="5" w16cid:durableId="1809516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58"/>
    <w:rsid w:val="00003234"/>
    <w:rsid w:val="0003072E"/>
    <w:rsid w:val="00033A3C"/>
    <w:rsid w:val="00067494"/>
    <w:rsid w:val="00071102"/>
    <w:rsid w:val="00076151"/>
    <w:rsid w:val="000812B3"/>
    <w:rsid w:val="000C1BA7"/>
    <w:rsid w:val="000D6ED5"/>
    <w:rsid w:val="000F7C00"/>
    <w:rsid w:val="00121D23"/>
    <w:rsid w:val="00122A51"/>
    <w:rsid w:val="001A02C7"/>
    <w:rsid w:val="001E630F"/>
    <w:rsid w:val="001E7B30"/>
    <w:rsid w:val="00206433"/>
    <w:rsid w:val="00233DC0"/>
    <w:rsid w:val="002570EC"/>
    <w:rsid w:val="00270B57"/>
    <w:rsid w:val="002771D0"/>
    <w:rsid w:val="002A47DE"/>
    <w:rsid w:val="003725FB"/>
    <w:rsid w:val="003831DB"/>
    <w:rsid w:val="00396038"/>
    <w:rsid w:val="003C6883"/>
    <w:rsid w:val="003C7AF8"/>
    <w:rsid w:val="003E7E46"/>
    <w:rsid w:val="00414F1B"/>
    <w:rsid w:val="004465FF"/>
    <w:rsid w:val="004837DF"/>
    <w:rsid w:val="0048616C"/>
    <w:rsid w:val="00494129"/>
    <w:rsid w:val="005148AD"/>
    <w:rsid w:val="0053273E"/>
    <w:rsid w:val="005330F7"/>
    <w:rsid w:val="005427D9"/>
    <w:rsid w:val="00563598"/>
    <w:rsid w:val="005703DA"/>
    <w:rsid w:val="00576C2A"/>
    <w:rsid w:val="00585827"/>
    <w:rsid w:val="005A2719"/>
    <w:rsid w:val="005C2513"/>
    <w:rsid w:val="005D1E01"/>
    <w:rsid w:val="005F6856"/>
    <w:rsid w:val="006003A2"/>
    <w:rsid w:val="00602EFE"/>
    <w:rsid w:val="0061248C"/>
    <w:rsid w:val="00621EF7"/>
    <w:rsid w:val="0063050B"/>
    <w:rsid w:val="00664223"/>
    <w:rsid w:val="006B4D7E"/>
    <w:rsid w:val="006B5D6B"/>
    <w:rsid w:val="006E13D3"/>
    <w:rsid w:val="007229EE"/>
    <w:rsid w:val="0078559D"/>
    <w:rsid w:val="00796AF3"/>
    <w:rsid w:val="007A3B1A"/>
    <w:rsid w:val="007A6414"/>
    <w:rsid w:val="007C741E"/>
    <w:rsid w:val="00812086"/>
    <w:rsid w:val="00826EA7"/>
    <w:rsid w:val="008463DB"/>
    <w:rsid w:val="00870459"/>
    <w:rsid w:val="00871276"/>
    <w:rsid w:val="008965C2"/>
    <w:rsid w:val="00896FBB"/>
    <w:rsid w:val="008D690D"/>
    <w:rsid w:val="008E5A04"/>
    <w:rsid w:val="0091131F"/>
    <w:rsid w:val="009203CC"/>
    <w:rsid w:val="00934970"/>
    <w:rsid w:val="0096521D"/>
    <w:rsid w:val="009670AE"/>
    <w:rsid w:val="00970396"/>
    <w:rsid w:val="009A1000"/>
    <w:rsid w:val="009A3F53"/>
    <w:rsid w:val="009A67D4"/>
    <w:rsid w:val="009D0DC0"/>
    <w:rsid w:val="00A225CE"/>
    <w:rsid w:val="00A5060B"/>
    <w:rsid w:val="00A749BA"/>
    <w:rsid w:val="00AC0ECC"/>
    <w:rsid w:val="00AD37C2"/>
    <w:rsid w:val="00AE187B"/>
    <w:rsid w:val="00B462E6"/>
    <w:rsid w:val="00B541B4"/>
    <w:rsid w:val="00B67AFE"/>
    <w:rsid w:val="00B973C6"/>
    <w:rsid w:val="00BA33FE"/>
    <w:rsid w:val="00BB2BCD"/>
    <w:rsid w:val="00BC6317"/>
    <w:rsid w:val="00BE501C"/>
    <w:rsid w:val="00C243A6"/>
    <w:rsid w:val="00CA48C0"/>
    <w:rsid w:val="00CB6553"/>
    <w:rsid w:val="00CB741A"/>
    <w:rsid w:val="00CC70D9"/>
    <w:rsid w:val="00CF1062"/>
    <w:rsid w:val="00D04F70"/>
    <w:rsid w:val="00D161AC"/>
    <w:rsid w:val="00D235C1"/>
    <w:rsid w:val="00D24224"/>
    <w:rsid w:val="00D47A20"/>
    <w:rsid w:val="00D6179E"/>
    <w:rsid w:val="00D9253D"/>
    <w:rsid w:val="00DB7774"/>
    <w:rsid w:val="00DC3800"/>
    <w:rsid w:val="00DD3B8A"/>
    <w:rsid w:val="00DD6962"/>
    <w:rsid w:val="00DF012F"/>
    <w:rsid w:val="00DF1B6C"/>
    <w:rsid w:val="00E0179C"/>
    <w:rsid w:val="00E33BFB"/>
    <w:rsid w:val="00E65072"/>
    <w:rsid w:val="00E9709A"/>
    <w:rsid w:val="00EB1BDA"/>
    <w:rsid w:val="00EB43ED"/>
    <w:rsid w:val="00EC22C7"/>
    <w:rsid w:val="00EC2A58"/>
    <w:rsid w:val="00ED0849"/>
    <w:rsid w:val="00ED1BD5"/>
    <w:rsid w:val="00F069D4"/>
    <w:rsid w:val="00F17203"/>
    <w:rsid w:val="00F23F2F"/>
    <w:rsid w:val="00F32BB3"/>
    <w:rsid w:val="00F935F6"/>
    <w:rsid w:val="00FB0CEB"/>
    <w:rsid w:val="00F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B7ADB"/>
  <w15:chartTrackingRefBased/>
  <w15:docId w15:val="{BB58DAED-ED4B-40F0-A0D1-FB7BD4FA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0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4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2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A58"/>
  </w:style>
  <w:style w:type="paragraph" w:styleId="Footer">
    <w:name w:val="footer"/>
    <w:basedOn w:val="Normal"/>
    <w:link w:val="FooterChar"/>
    <w:uiPriority w:val="99"/>
    <w:unhideWhenUsed/>
    <w:rsid w:val="00EC2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A58"/>
  </w:style>
  <w:style w:type="paragraph" w:styleId="BalloonText">
    <w:name w:val="Balloon Text"/>
    <w:basedOn w:val="Normal"/>
    <w:link w:val="BalloonTextChar"/>
    <w:uiPriority w:val="99"/>
    <w:semiHidden/>
    <w:unhideWhenUsed/>
    <w:rsid w:val="00446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F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99"/>
    <w:qFormat/>
    <w:rsid w:val="00BA33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A1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4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Firstnumbering">
    <w:name w:val="First numbering"/>
    <w:basedOn w:val="ListParagraph"/>
    <w:link w:val="FirstnumberingChar"/>
    <w:qFormat/>
    <w:rsid w:val="00FB0CEB"/>
    <w:pPr>
      <w:numPr>
        <w:numId w:val="2"/>
      </w:numPr>
      <w:spacing w:after="0" w:line="240" w:lineRule="auto"/>
      <w:jc w:val="both"/>
    </w:pPr>
    <w:rPr>
      <w:lang w:val="fr-FR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FB0CEB"/>
  </w:style>
  <w:style w:type="character" w:customStyle="1" w:styleId="FirstnumberingChar">
    <w:name w:val="First numbering Char"/>
    <w:basedOn w:val="ListParagraphChar"/>
    <w:link w:val="Firstnumbering"/>
    <w:rsid w:val="00FB0CEB"/>
    <w:rPr>
      <w:lang w:val="fr-FR"/>
    </w:rPr>
  </w:style>
  <w:style w:type="paragraph" w:customStyle="1" w:styleId="Level1">
    <w:name w:val="Level 1"/>
    <w:basedOn w:val="Normal"/>
    <w:rsid w:val="00FB0CEB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  <w:ind w:left="566" w:hanging="566"/>
      <w:outlineLvl w:val="0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Level2">
    <w:name w:val="Level 2"/>
    <w:basedOn w:val="Normal"/>
    <w:rsid w:val="00FB0CEB"/>
    <w:pPr>
      <w:widowControl w:val="0"/>
      <w:numPr>
        <w:ilvl w:val="1"/>
        <w:numId w:val="3"/>
      </w:numPr>
      <w:autoSpaceDE w:val="0"/>
      <w:autoSpaceDN w:val="0"/>
      <w:adjustRightInd w:val="0"/>
      <w:spacing w:after="0" w:line="240" w:lineRule="auto"/>
      <w:ind w:left="1132" w:hanging="566"/>
      <w:outlineLvl w:val="1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Level3">
    <w:name w:val="Level 3"/>
    <w:basedOn w:val="Normal"/>
    <w:rsid w:val="00FB0CEB"/>
    <w:pPr>
      <w:widowControl w:val="0"/>
      <w:numPr>
        <w:ilvl w:val="2"/>
        <w:numId w:val="3"/>
      </w:numPr>
      <w:autoSpaceDE w:val="0"/>
      <w:autoSpaceDN w:val="0"/>
      <w:adjustRightInd w:val="0"/>
      <w:spacing w:after="0" w:line="240" w:lineRule="auto"/>
      <w:ind w:left="1700" w:hanging="568"/>
      <w:outlineLvl w:val="2"/>
    </w:pPr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FB0CE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25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5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5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53D"/>
    <w:rPr>
      <w:b/>
      <w:bCs/>
      <w:sz w:val="20"/>
      <w:szCs w:val="20"/>
    </w:rPr>
  </w:style>
  <w:style w:type="paragraph" w:customStyle="1" w:styleId="Secondnumbering">
    <w:name w:val="Second numbering"/>
    <w:basedOn w:val="Normal"/>
    <w:link w:val="SecondnumberingChar"/>
    <w:qFormat/>
    <w:rsid w:val="005C2513"/>
    <w:pPr>
      <w:numPr>
        <w:numId w:val="5"/>
      </w:numPr>
      <w:spacing w:after="0" w:line="240" w:lineRule="auto"/>
      <w:ind w:left="1134" w:hanging="283"/>
    </w:pPr>
    <w:rPr>
      <w:lang w:val="en-GB"/>
    </w:rPr>
  </w:style>
  <w:style w:type="character" w:customStyle="1" w:styleId="SecondnumberingChar">
    <w:name w:val="Second numbering Char"/>
    <w:basedOn w:val="DefaultParagraphFont"/>
    <w:link w:val="Secondnumbering"/>
    <w:rsid w:val="005C2513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76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cms.int/sites/default/files/document/cms_stc48_rapport_f.pdf" TargetMode="Externa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cms.int/en/document/guidelines-preparing-and-assessing-proposals-amendment-cms-appendices-1" TargetMode="Externa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ms.int/en/news/2023015-proposals-amend-appendices-convention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4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9416AA0540C42B015682282C961AD" ma:contentTypeVersion="22" ma:contentTypeDescription="Create a new document." ma:contentTypeScope="" ma:versionID="b56ac580cc3504ca1f935172aec52793">
  <xsd:schema xmlns:xsd="http://www.w3.org/2001/XMLSchema" xmlns:xs="http://www.w3.org/2001/XMLSchema" xmlns:p="http://schemas.microsoft.com/office/2006/metadata/properties" xmlns:ns2="a7b50396-0b06-45c1-b28e-46f86d566a10" xmlns:ns3="985ec44e-1bab-4c0b-9df0-6ba128686fc9" xmlns:ns4="c15478a5-0be8-4f5d-8383-b307d5ba8bf6" targetNamespace="http://schemas.microsoft.com/office/2006/metadata/properties" ma:root="true" ma:fieldsID="b8a5995ffe2906d89643a286e884b0bc" ns2:_="" ns3:_="" ns4:_="">
    <xsd:import namespace="a7b50396-0b06-45c1-b28e-46f86d566a10"/>
    <xsd:import namespace="985ec44e-1bab-4c0b-9df0-6ba128686fc9"/>
    <xsd:import namespace="c15478a5-0be8-4f5d-8383-b307d5ba8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4:TaxKeywordTaxHTField" minOccurs="0"/>
                <xsd:element ref="ns2:_Flow_SignoffStatus" minOccurs="0"/>
                <xsd:element ref="ns2:Reviewer" minOccurs="0"/>
                <xsd:element ref="ns2:MariaJoseOrtiz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0396-0b06-45c1-b28e-46f86d566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Reviewer" ma:index="24" nillable="true" ma:displayName="Reviewer" ma:format="Dropdown" ma:internalName="Reviewer">
      <xsd:simpleType>
        <xsd:restriction base="dms:Text">
          <xsd:maxLength value="255"/>
        </xsd:restriction>
      </xsd:simpleType>
    </xsd:element>
    <xsd:element name="MariaJoseOrtiz" ma:index="25" nillable="true" ma:displayName="Maria Jose Ortiz" ma:description="REVISED BY AF" ma:format="Dropdown" ma:internalName="MariaJoseOrtiz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7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b64542-7ae3-4878-aafe-ea4cd8782300}" ma:internalName="TaxCatchAll" ma:showField="CatchAllData" ma:web="c15478a5-0be8-4f5d-8383-b307d5ba8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78a5-0be8-4f5d-8383-b307d5ba8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78175662-8596-484a-92c7-351d01561e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7b50396-0b06-45c1-b28e-46f86d566a10" xsi:nil="true"/>
    <TaxCatchAll xmlns="985ec44e-1bab-4c0b-9df0-6ba128686fc9" xsi:nil="true"/>
    <TaxKeywordTaxHTField xmlns="c15478a5-0be8-4f5d-8383-b307d5ba8bf6">
      <Terms xmlns="http://schemas.microsoft.com/office/infopath/2007/PartnerControls"/>
    </TaxKeywordTaxHTField>
    <lcf76f155ced4ddcb4097134ff3c332f xmlns="a7b50396-0b06-45c1-b28e-46f86d566a10">
      <Terms xmlns="http://schemas.microsoft.com/office/infopath/2007/PartnerControls"/>
    </lcf76f155ced4ddcb4097134ff3c332f>
    <Reviewer xmlns="a7b50396-0b06-45c1-b28e-46f86d566a10" xsi:nil="true"/>
    <MariaJoseOrtiz xmlns="a7b50396-0b06-45c1-b28e-46f86d566a10" xsi:nil="true"/>
    <Notes xmlns="a7b50396-0b06-45c1-b28e-46f86d566a10" xsi:nil="true"/>
  </documentManagement>
</p:properties>
</file>

<file path=customXml/itemProps1.xml><?xml version="1.0" encoding="utf-8"?>
<ds:datastoreItem xmlns:ds="http://schemas.openxmlformats.org/officeDocument/2006/customXml" ds:itemID="{631F524C-C58C-4646-808B-041F7444B3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8913B2-910E-4F8D-A0F8-16B2B1986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50396-0b06-45c1-b28e-46f86d566a10"/>
    <ds:schemaRef ds:uri="985ec44e-1bab-4c0b-9df0-6ba128686fc9"/>
    <ds:schemaRef ds:uri="c15478a5-0be8-4f5d-8383-b307d5ba8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397C02-198D-456A-9F48-324734114A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7FCBDB-AB98-4EB3-A3A5-364868991A28}">
  <ds:schemaRefs>
    <ds:schemaRef ds:uri="http://schemas.microsoft.com/office/2006/metadata/properties"/>
    <ds:schemaRef ds:uri="http://schemas.microsoft.com/office/infopath/2007/PartnerControls"/>
    <ds:schemaRef ds:uri="a7b50396-0b06-45c1-b28e-46f86d566a10"/>
    <ds:schemaRef ds:uri="985ec44e-1bab-4c0b-9df0-6ba128686fc9"/>
    <ds:schemaRef ds:uri="c15478a5-0be8-4f5d-8383-b307d5ba8b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Cancino</dc:creator>
  <cp:keywords/>
  <dc:description/>
  <cp:lastModifiedBy>Catherine Brueckner</cp:lastModifiedBy>
  <cp:revision>111</cp:revision>
  <dcterms:created xsi:type="dcterms:W3CDTF">2023-07-11T21:39:00Z</dcterms:created>
  <dcterms:modified xsi:type="dcterms:W3CDTF">2023-09-21T10:36:00Z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0x0101009929416AA0540C42B015682282C961AD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