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EE9D" w14:textId="77777777" w:rsidR="009442B5" w:rsidRPr="00C755CB" w:rsidRDefault="009442B5" w:rsidP="009442B5">
      <w:pPr>
        <w:rPr>
          <w:rFonts w:cs="Arial"/>
        </w:rPr>
      </w:pPr>
    </w:p>
    <w:p w14:paraId="63E7C065" w14:textId="77777777" w:rsidR="009442B5" w:rsidRPr="00C755CB" w:rsidRDefault="009442B5" w:rsidP="009442B5">
      <w:pPr>
        <w:tabs>
          <w:tab w:val="left" w:pos="-1057"/>
          <w:tab w:val="left" w:pos="-720"/>
        </w:tabs>
        <w:jc w:val="center"/>
        <w:rPr>
          <w:rFonts w:cs="Arial"/>
          <w:b/>
          <w:sz w:val="28"/>
          <w:szCs w:val="28"/>
          <w:lang w:val="es-PE"/>
        </w:rPr>
      </w:pPr>
      <w:r>
        <w:rPr>
          <w:rFonts w:cs="Arial"/>
          <w:b/>
          <w:sz w:val="28"/>
          <w:szCs w:val="28"/>
          <w:lang w:val="es-PE"/>
        </w:rPr>
        <w:t>6</w:t>
      </w:r>
      <w:r w:rsidRPr="00C755CB">
        <w:rPr>
          <w:rFonts w:cs="Arial"/>
          <w:b/>
          <w:sz w:val="28"/>
          <w:szCs w:val="28"/>
          <w:lang w:val="es-PE"/>
        </w:rPr>
        <w:t xml:space="preserve">ª Reunión del Comité del Periodo de Sesiones del </w:t>
      </w:r>
    </w:p>
    <w:p w14:paraId="4CCCC7D8" w14:textId="77777777" w:rsidR="009442B5" w:rsidRPr="00C755CB" w:rsidRDefault="009442B5" w:rsidP="009442B5">
      <w:pPr>
        <w:tabs>
          <w:tab w:val="left" w:pos="-1057"/>
          <w:tab w:val="left" w:pos="-720"/>
        </w:tabs>
        <w:spacing w:after="120"/>
        <w:jc w:val="center"/>
        <w:rPr>
          <w:rFonts w:cs="Arial"/>
          <w:b/>
          <w:sz w:val="28"/>
          <w:szCs w:val="28"/>
          <w:lang w:val="es-PE"/>
        </w:rPr>
      </w:pPr>
      <w:r w:rsidRPr="00C755CB">
        <w:rPr>
          <w:rFonts w:cs="Arial"/>
          <w:b/>
          <w:sz w:val="28"/>
          <w:szCs w:val="28"/>
          <w:lang w:val="es-PE"/>
        </w:rPr>
        <w:t>Consejo Científico de la CMS (ScC-SC</w:t>
      </w:r>
      <w:r>
        <w:rPr>
          <w:rFonts w:cs="Arial"/>
          <w:b/>
          <w:sz w:val="28"/>
          <w:szCs w:val="28"/>
          <w:lang w:val="es-PE"/>
        </w:rPr>
        <w:t>6</w:t>
      </w:r>
      <w:r w:rsidRPr="00C755CB">
        <w:rPr>
          <w:rFonts w:cs="Arial"/>
          <w:b/>
          <w:sz w:val="28"/>
          <w:szCs w:val="28"/>
          <w:lang w:val="es-PE"/>
        </w:rPr>
        <w:t>)</w:t>
      </w:r>
    </w:p>
    <w:p w14:paraId="0E9A6CB9" w14:textId="38899BBD" w:rsidR="009A012D" w:rsidRPr="00CA053D" w:rsidRDefault="009442B5" w:rsidP="00CA053D">
      <w:pPr>
        <w:pBdr>
          <w:bottom w:val="single" w:sz="4" w:space="1" w:color="auto"/>
        </w:pBdr>
        <w:kinsoku w:val="0"/>
        <w:overflowPunct w:val="0"/>
        <w:jc w:val="center"/>
        <w:outlineLvl w:val="0"/>
        <w:rPr>
          <w:rFonts w:cs="Arial"/>
          <w:bCs/>
          <w:i/>
          <w:spacing w:val="-4"/>
          <w:lang w:val="es-ES"/>
        </w:rPr>
      </w:pPr>
      <w:r>
        <w:rPr>
          <w:rFonts w:cs="Arial"/>
          <w:bCs/>
          <w:i/>
          <w:spacing w:val="-4"/>
          <w:lang w:val="es-PE"/>
        </w:rPr>
        <w:t>Bonn, Alemania, 18 - 21</w:t>
      </w:r>
      <w:r w:rsidRPr="002506C2">
        <w:rPr>
          <w:rFonts w:cs="Arial"/>
          <w:bCs/>
          <w:i/>
          <w:spacing w:val="-4"/>
          <w:lang w:val="es-PE"/>
        </w:rPr>
        <w:t xml:space="preserve"> de julio 202</w:t>
      </w:r>
      <w:r>
        <w:rPr>
          <w:rFonts w:cs="Arial"/>
          <w:bCs/>
          <w:i/>
          <w:spacing w:val="-4"/>
          <w:lang w:val="es-PE"/>
        </w:rPr>
        <w:t>3</w:t>
      </w:r>
    </w:p>
    <w:p w14:paraId="05AF4508" w14:textId="6CDFA758" w:rsidR="004641A5" w:rsidRPr="00B57EBA" w:rsidRDefault="004641A5" w:rsidP="00D6324F">
      <w:pPr>
        <w:spacing w:before="120"/>
        <w:jc w:val="right"/>
        <w:rPr>
          <w:rFonts w:cs="Arial"/>
          <w:lang w:val="es-ES"/>
        </w:rPr>
      </w:pPr>
      <w:r w:rsidRPr="00B57EBA">
        <w:rPr>
          <w:rFonts w:cs="Arial"/>
          <w:lang w:val="es-ES"/>
        </w:rPr>
        <w:t>UNEP/CMS/ScC-SC6/Doc.12.3.2.2</w:t>
      </w:r>
    </w:p>
    <w:p w14:paraId="2FF7E9C0" w14:textId="77777777" w:rsidR="004641A5" w:rsidRPr="00B57EBA" w:rsidRDefault="004641A5" w:rsidP="004641A5">
      <w:pPr>
        <w:rPr>
          <w:rFonts w:cs="Arial"/>
          <w:lang w:val="es-ES"/>
        </w:rPr>
      </w:pPr>
    </w:p>
    <w:p w14:paraId="2AA9F70B" w14:textId="77777777" w:rsidR="004641A5" w:rsidRPr="00B57EBA" w:rsidRDefault="004641A5" w:rsidP="004641A5">
      <w:pPr>
        <w:tabs>
          <w:tab w:val="left" w:pos="6285"/>
        </w:tabs>
        <w:jc w:val="both"/>
        <w:rPr>
          <w:rFonts w:cs="Arial"/>
          <w:lang w:val="es-ES"/>
        </w:rPr>
      </w:pPr>
    </w:p>
    <w:p w14:paraId="3E180109" w14:textId="69D52FD6" w:rsidR="00903CEB" w:rsidRPr="00B57EBA" w:rsidRDefault="00903CEB" w:rsidP="00AA5635">
      <w:pPr>
        <w:pStyle w:val="Title1"/>
        <w:spacing w:after="120"/>
        <w:rPr>
          <w:lang w:val="es-ES"/>
        </w:rPr>
      </w:pPr>
      <w:r w:rsidRPr="00B57EBA">
        <w:rPr>
          <w:lang w:val="es-ES"/>
        </w:rPr>
        <w:t>Evaluación del riesgo ecológico de los impactos de los parques eólicos marinos sobre las aves en Australia</w:t>
      </w:r>
    </w:p>
    <w:p w14:paraId="571977F1" w14:textId="150D4928" w:rsidR="004641A5" w:rsidRPr="00B57EBA" w:rsidRDefault="004641A5" w:rsidP="004641A5">
      <w:pPr>
        <w:jc w:val="center"/>
        <w:rPr>
          <w:rFonts w:cs="Arial"/>
          <w:i/>
          <w:lang w:val="es-ES"/>
        </w:rPr>
      </w:pPr>
      <w:r w:rsidRPr="00B57EBA">
        <w:rPr>
          <w:rFonts w:cs="Arial"/>
          <w:i/>
          <w:lang w:val="es-ES"/>
        </w:rPr>
        <w:t>(Preparado por el Gobierno de Australia)</w:t>
      </w:r>
    </w:p>
    <w:p w14:paraId="071B4C18" w14:textId="70841236" w:rsidR="004641A5" w:rsidRPr="00B57EBA" w:rsidRDefault="004641A5" w:rsidP="004641A5">
      <w:pPr>
        <w:jc w:val="both"/>
        <w:rPr>
          <w:rFonts w:cs="Arial"/>
          <w:lang w:val="es-ES"/>
        </w:rPr>
      </w:pPr>
    </w:p>
    <w:p w14:paraId="3D42EBA4" w14:textId="73788BE6" w:rsidR="004641A5" w:rsidRPr="00B57EBA" w:rsidRDefault="00D2187B" w:rsidP="004641A5">
      <w:pPr>
        <w:jc w:val="both"/>
        <w:rPr>
          <w:rFonts w:cs="Arial"/>
          <w:lang w:val="es-ES"/>
        </w:rPr>
      </w:pPr>
      <w:r w:rsidRPr="00B57EBA">
        <w:rPr>
          <w:rFonts w:cs="Arial"/>
          <w:noProof/>
          <w:lang w:val="es-ES"/>
        </w:rPr>
        <mc:AlternateContent>
          <mc:Choice Requires="wps">
            <w:drawing>
              <wp:anchor distT="0" distB="0" distL="114300" distR="114300" simplePos="0" relativeHeight="251658240" behindDoc="1" locked="0" layoutInCell="1" allowOverlap="1" wp14:anchorId="5B5E0122" wp14:editId="2467E20F">
                <wp:simplePos x="0" y="0"/>
                <wp:positionH relativeFrom="margin">
                  <wp:posOffset>832485</wp:posOffset>
                </wp:positionH>
                <wp:positionV relativeFrom="margin">
                  <wp:posOffset>2663430</wp:posOffset>
                </wp:positionV>
                <wp:extent cx="4305300" cy="4140200"/>
                <wp:effectExtent l="0" t="0" r="1905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4140200"/>
                        </a:xfrm>
                        <a:prstGeom prst="rect">
                          <a:avLst/>
                        </a:prstGeom>
                        <a:solidFill>
                          <a:srgbClr val="FFFFFF"/>
                        </a:solidFill>
                        <a:ln w="3175">
                          <a:solidFill>
                            <a:srgbClr val="000000"/>
                          </a:solidFill>
                          <a:miter lim="800000"/>
                          <a:headEnd/>
                          <a:tailEnd/>
                        </a:ln>
                      </wps:spPr>
                      <wps:txbx>
                        <w:txbxContent>
                          <w:p w14:paraId="6B837279" w14:textId="77777777" w:rsidR="004641A5" w:rsidRPr="009E2B5C" w:rsidRDefault="004641A5" w:rsidP="004641A5">
                            <w:pPr>
                              <w:rPr>
                                <w:rFonts w:cs="Arial"/>
                                <w:lang w:val="es-ES"/>
                              </w:rPr>
                            </w:pPr>
                            <w:r w:rsidRPr="009E2B5C">
                              <w:rPr>
                                <w:rFonts w:cs="Arial"/>
                                <w:lang w:val="es-ES"/>
                              </w:rPr>
                              <w:t>Resumen:</w:t>
                            </w:r>
                          </w:p>
                          <w:p w14:paraId="2CCB8EDC" w14:textId="77777777" w:rsidR="004641A5" w:rsidRPr="009E2B5C" w:rsidRDefault="004641A5" w:rsidP="004641A5">
                            <w:pPr>
                              <w:rPr>
                                <w:rFonts w:cs="Arial"/>
                                <w:lang w:val="es-ES"/>
                              </w:rPr>
                            </w:pPr>
                          </w:p>
                          <w:p w14:paraId="1B688020" w14:textId="77777777" w:rsidR="00F726EB" w:rsidRPr="009E2B5C" w:rsidRDefault="00FF0D2B" w:rsidP="005E1A40">
                            <w:pPr>
                              <w:jc w:val="both"/>
                              <w:rPr>
                                <w:rFonts w:cs="Arial"/>
                                <w:lang w:val="es-ES"/>
                              </w:rPr>
                            </w:pPr>
                            <w:r w:rsidRPr="009E2B5C">
                              <w:rPr>
                                <w:rFonts w:cs="Arial"/>
                                <w:sz w:val="21"/>
                                <w:szCs w:val="21"/>
                                <w:lang w:val="es-ES"/>
                              </w:rPr>
                              <w:t xml:space="preserve">El Gobierno australiano ha establecido </w:t>
                            </w:r>
                            <w:r w:rsidR="001A2509" w:rsidRPr="009E2B5C">
                              <w:rPr>
                                <w:rFonts w:cs="Arial"/>
                                <w:lang w:val="es-ES"/>
                              </w:rPr>
                              <w:t xml:space="preserve">acuerdos nacionales para desarrollar parques eólicos marinos como parte de sus objetivos en materia de energías renovables. Sin embargo, se reconoce que los parques eólicos marinos también pueden afectar a las especies migratorias amenazadas e incluidas en la lista de la CMS. </w:t>
                            </w:r>
                          </w:p>
                          <w:p w14:paraId="76FC47C9" w14:textId="77777777" w:rsidR="005E1A40" w:rsidRPr="009E2B5C" w:rsidRDefault="005E1A40" w:rsidP="005E1A40">
                            <w:pPr>
                              <w:jc w:val="both"/>
                              <w:rPr>
                                <w:rFonts w:cs="Arial"/>
                                <w:lang w:val="es-ES"/>
                              </w:rPr>
                            </w:pPr>
                          </w:p>
                          <w:p w14:paraId="3B0227BC" w14:textId="13081B21" w:rsidR="008D0D6A" w:rsidRPr="009E2B5C" w:rsidRDefault="008D0D6A" w:rsidP="005E1A40">
                            <w:pPr>
                              <w:jc w:val="both"/>
                              <w:rPr>
                                <w:rFonts w:cs="Arial"/>
                                <w:lang w:val="es-ES"/>
                              </w:rPr>
                            </w:pPr>
                            <w:r w:rsidRPr="009E2B5C">
                              <w:rPr>
                                <w:rFonts w:cs="Arial"/>
                                <w:lang w:val="es-ES"/>
                              </w:rPr>
                              <w:t xml:space="preserve">Por ello, se llevó a cabo una evaluación semicuantitativa de los riesgos ecológicos para evaluar los posibles efectos de los parques eólicos marinos en las aves costeras y marinas que se encuentran dentro de la jurisdicción australiana. Dicha evaluación examinó 273 taxones de aves que podrían verse afectados por el desarrollo propuesto e incluyó especies migratorias y especies incluidas en la lista de la CMS. </w:t>
                            </w:r>
                          </w:p>
                          <w:p w14:paraId="0434B157" w14:textId="77777777" w:rsidR="005E1A40" w:rsidRPr="009E2B5C" w:rsidRDefault="005E1A40" w:rsidP="005E1A40">
                            <w:pPr>
                              <w:jc w:val="both"/>
                              <w:rPr>
                                <w:rFonts w:cs="Arial"/>
                                <w:lang w:val="es-ES"/>
                              </w:rPr>
                            </w:pPr>
                          </w:p>
                          <w:p w14:paraId="4CDC3969" w14:textId="0B3A1C7C" w:rsidR="001628A5" w:rsidRPr="009E2B5C" w:rsidRDefault="005C35CB" w:rsidP="005E1A40">
                            <w:pPr>
                              <w:jc w:val="both"/>
                              <w:rPr>
                                <w:rFonts w:cs="Arial"/>
                                <w:lang w:val="es-ES"/>
                              </w:rPr>
                            </w:pPr>
                            <w:r w:rsidRPr="009E2B5C">
                              <w:rPr>
                                <w:rFonts w:cs="Arial"/>
                                <w:lang w:val="es-ES"/>
                              </w:rPr>
                              <w:t>Esta evaluación detectó 81 taxones de alto riesgo, de los cuales 11 eran aves costeras migratorias externas presentes en la mayoría de las regiones evaluadas. Las aves migratorias de alto riesgo que figuran en los Apéndices de la CMS son el zarapito siberiano (</w:t>
                            </w:r>
                            <w:proofErr w:type="spellStart"/>
                            <w:r w:rsidR="00AE5194" w:rsidRPr="009E2B5C">
                              <w:rPr>
                                <w:rFonts w:cs="Arial"/>
                                <w:i/>
                                <w:iCs/>
                                <w:lang w:val="es-ES"/>
                              </w:rPr>
                              <w:t>Numenius</w:t>
                            </w:r>
                            <w:proofErr w:type="spellEnd"/>
                            <w:r w:rsidR="00AE5194" w:rsidRPr="009E2B5C">
                              <w:rPr>
                                <w:rFonts w:cs="Arial"/>
                                <w:i/>
                                <w:iCs/>
                                <w:lang w:val="es-ES"/>
                              </w:rPr>
                              <w:t xml:space="preserve"> </w:t>
                            </w:r>
                            <w:proofErr w:type="spellStart"/>
                            <w:r w:rsidR="00AE5194" w:rsidRPr="009E2B5C">
                              <w:rPr>
                                <w:rFonts w:cs="Arial"/>
                                <w:i/>
                                <w:iCs/>
                                <w:lang w:val="es-ES"/>
                              </w:rPr>
                              <w:t>madagascariensis</w:t>
                            </w:r>
                            <w:proofErr w:type="spellEnd"/>
                            <w:r w:rsidR="00AE5194" w:rsidRPr="009E2B5C">
                              <w:rPr>
                                <w:rFonts w:cs="Arial"/>
                                <w:i/>
                                <w:iCs/>
                                <w:lang w:val="es-ES"/>
                              </w:rPr>
                              <w:t>;</w:t>
                            </w:r>
                            <w:r w:rsidRPr="009E2B5C">
                              <w:rPr>
                                <w:rFonts w:cs="Arial"/>
                                <w:lang w:val="es-ES"/>
                              </w:rPr>
                              <w:t xml:space="preserve"> Apéndice I de la CMS) y nueve especies de albatros (Apéndice II de la CMS). Estos hallazgos permiten establecer puntos de referencia y elaborar medidas de mitigación que se pueden aplicar en otros lugares.</w:t>
                            </w:r>
                          </w:p>
                          <w:p w14:paraId="2096F791" w14:textId="77777777" w:rsidR="001628A5" w:rsidRPr="009E2B5C" w:rsidRDefault="001628A5" w:rsidP="008D0D6A">
                            <w:pPr>
                              <w:spacing w:after="160" w:line="259" w:lineRule="auto"/>
                              <w:rPr>
                                <w:rFonts w:cs="Arial"/>
                                <w:lang w:val="es-ES"/>
                              </w:rPr>
                            </w:pPr>
                          </w:p>
                          <w:p w14:paraId="18344DFD" w14:textId="5CBB2D17" w:rsidR="004641A5" w:rsidRPr="009E2B5C" w:rsidRDefault="004641A5" w:rsidP="004641A5">
                            <w:pPr>
                              <w:rPr>
                                <w:rFonts w:cs="Arial"/>
                                <w:sz w:val="21"/>
                                <w:szCs w:val="21"/>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E0122" id="_x0000_t202" coordsize="21600,21600" o:spt="202" path="m,l,21600r21600,l21600,xe">
                <v:stroke joinstyle="miter"/>
                <v:path gradientshapeok="t" o:connecttype="rect"/>
              </v:shapetype>
              <v:shape id="Text Box 5" o:spid="_x0000_s1026" type="#_x0000_t202" style="position:absolute;left:0;text-align:left;margin-left:65.55pt;margin-top:209.7pt;width:339pt;height:3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" strokeweight=".25pt">
                <v:textbox>
                  <w:txbxContent>
                    <w:p w14:paraId="6B837279" w14:textId="77777777" w:rsidR="004641A5" w:rsidRPr="009E2B5C" w:rsidRDefault="004641A5" w:rsidP="004641A5">
                      <w:pPr>
                        <w:rPr>
                          <w:rFonts w:cs="Arial"/>
                          <w:lang w:val="es-ES"/>
                        </w:rPr>
                      </w:pPr>
                      <w:r w:rsidRPr="009E2B5C">
                        <w:rPr>
                          <w:rFonts w:cs="Arial"/>
                          <w:lang w:val="es-ES"/>
                        </w:rPr>
                        <w:t>Resumen:</w:t>
                      </w:r>
                    </w:p>
                    <w:p w14:paraId="2CCB8EDC" w14:textId="77777777" w:rsidR="004641A5" w:rsidRPr="009E2B5C" w:rsidRDefault="004641A5" w:rsidP="004641A5">
                      <w:pPr>
                        <w:rPr>
                          <w:rFonts w:cs="Arial"/>
                          <w:lang w:val="es-ES"/>
                        </w:rPr>
                      </w:pPr>
                    </w:p>
                    <w:p w14:paraId="1B688020" w14:textId="77777777" w:rsidR="00F726EB" w:rsidRPr="009E2B5C" w:rsidRDefault="00FF0D2B" w:rsidP="005E1A40">
                      <w:pPr>
                        <w:jc w:val="both"/>
                        <w:rPr>
                          <w:rFonts w:cs="Arial"/>
                          <w:lang w:val="es-ES"/>
                        </w:rPr>
                      </w:pPr>
                      <w:r w:rsidRPr="009E2B5C">
                        <w:rPr>
                          <w:rFonts w:cs="Arial"/>
                          <w:sz w:val="21"/>
                          <w:szCs w:val="21"/>
                          <w:lang w:val="es-ES"/>
                        </w:rPr>
                        <w:t xml:space="preserve">El Gobierno australiano ha establecido </w:t>
                      </w:r>
                      <w:r w:rsidR="001A2509" w:rsidRPr="009E2B5C">
                        <w:rPr>
                          <w:rFonts w:cs="Arial"/>
                          <w:lang w:val="es-ES"/>
                        </w:rPr>
                        <w:t xml:space="preserve">acuerdos nacionales para desarrollar parques eólicos marinos como parte de sus objetivos en materia de energías renovables. Sin embargo, se reconoce que los parques eólicos marinos también pueden afectar a las especies migratorias amenazadas e incluidas en la lista de la CMS. </w:t>
                      </w:r>
                    </w:p>
                    <w:p w14:paraId="76FC47C9" w14:textId="77777777" w:rsidR="005E1A40" w:rsidRPr="009E2B5C" w:rsidRDefault="005E1A40" w:rsidP="005E1A40">
                      <w:pPr>
                        <w:jc w:val="both"/>
                        <w:rPr>
                          <w:rFonts w:cs="Arial"/>
                          <w:lang w:val="es-ES"/>
                        </w:rPr>
                      </w:pPr>
                    </w:p>
                    <w:p w14:paraId="3B0227BC" w14:textId="13081B21" w:rsidR="008D0D6A" w:rsidRPr="009E2B5C" w:rsidRDefault="008D0D6A" w:rsidP="005E1A40">
                      <w:pPr>
                        <w:jc w:val="both"/>
                        <w:rPr>
                          <w:rFonts w:cs="Arial"/>
                          <w:lang w:val="es-ES"/>
                        </w:rPr>
                      </w:pPr>
                      <w:r w:rsidRPr="009E2B5C">
                        <w:rPr>
                          <w:rFonts w:cs="Arial"/>
                          <w:lang w:val="es-ES"/>
                        </w:rPr>
                        <w:t xml:space="preserve">Por ello, se llevó a cabo una evaluación semicuantitativa de los riesgos ecológicos para evaluar los posibles efectos de los parques eólicos marinos en las aves costeras y marinas que se encuentran dentro de la jurisdicción australiana. Dicha evaluación examinó 273 taxones de aves que podrían verse afectados por el desarrollo propuesto e incluyó especies migratorias y especies incluidas en la lista de la CMS. </w:t>
                      </w:r>
                    </w:p>
                    <w:p w14:paraId="0434B157" w14:textId="77777777" w:rsidR="005E1A40" w:rsidRPr="009E2B5C" w:rsidRDefault="005E1A40" w:rsidP="005E1A40">
                      <w:pPr>
                        <w:jc w:val="both"/>
                        <w:rPr>
                          <w:rFonts w:cs="Arial"/>
                          <w:lang w:val="es-ES"/>
                        </w:rPr>
                      </w:pPr>
                    </w:p>
                    <w:p w14:paraId="4CDC3969" w14:textId="0B3A1C7C" w:rsidR="001628A5" w:rsidRPr="009E2B5C" w:rsidRDefault="005C35CB" w:rsidP="005E1A40">
                      <w:pPr>
                        <w:jc w:val="both"/>
                        <w:rPr>
                          <w:rFonts w:cs="Arial"/>
                          <w:lang w:val="es-ES"/>
                        </w:rPr>
                      </w:pPr>
                      <w:r w:rsidRPr="009E2B5C">
                        <w:rPr>
                          <w:rFonts w:cs="Arial"/>
                          <w:lang w:val="es-ES"/>
                        </w:rPr>
                        <w:t>Esta evaluación detectó 81 taxones de alto riesgo, de los cuales 11 eran aves costeras migratorias externas presentes en la mayoría de las regiones evaluadas. Las aves migratorias de alto riesgo que figuran en los Apéndices de la CMS son el zarapito siberiano (</w:t>
                      </w:r>
                      <w:proofErr w:type="spellStart"/>
                      <w:r w:rsidR="00AE5194" w:rsidRPr="009E2B5C">
                        <w:rPr>
                          <w:rFonts w:cs="Arial"/>
                          <w:i/>
                          <w:iCs/>
                          <w:lang w:val="es-ES"/>
                        </w:rPr>
                        <w:t>Numenius</w:t>
                      </w:r>
                      <w:proofErr w:type="spellEnd"/>
                      <w:r w:rsidR="00AE5194" w:rsidRPr="009E2B5C">
                        <w:rPr>
                          <w:rFonts w:cs="Arial"/>
                          <w:i/>
                          <w:iCs/>
                          <w:lang w:val="es-ES"/>
                        </w:rPr>
                        <w:t xml:space="preserve"> </w:t>
                      </w:r>
                      <w:proofErr w:type="spellStart"/>
                      <w:r w:rsidR="00AE5194" w:rsidRPr="009E2B5C">
                        <w:rPr>
                          <w:rFonts w:cs="Arial"/>
                          <w:i/>
                          <w:iCs/>
                          <w:lang w:val="es-ES"/>
                        </w:rPr>
                        <w:t>madagascariensis</w:t>
                      </w:r>
                      <w:proofErr w:type="spellEnd"/>
                      <w:r w:rsidR="00AE5194" w:rsidRPr="009E2B5C">
                        <w:rPr>
                          <w:rFonts w:cs="Arial"/>
                          <w:i/>
                          <w:iCs/>
                          <w:lang w:val="es-ES"/>
                        </w:rPr>
                        <w:t>;</w:t>
                      </w:r>
                      <w:r w:rsidRPr="009E2B5C">
                        <w:rPr>
                          <w:rFonts w:cs="Arial"/>
                          <w:lang w:val="es-ES"/>
                        </w:rPr>
                        <w:t xml:space="preserve"> Apéndice I de la CMS) y nueve especies de albatros (Apéndice II de la CMS). Estos hallazgos permiten establecer puntos de referencia y elaborar medidas de mitigación que se pueden aplicar en otros lugares.</w:t>
                      </w:r>
                    </w:p>
                    <w:p w14:paraId="2096F791" w14:textId="77777777" w:rsidR="001628A5" w:rsidRPr="009E2B5C" w:rsidRDefault="001628A5" w:rsidP="008D0D6A">
                      <w:pPr>
                        <w:spacing w:after="160" w:line="259" w:lineRule="auto"/>
                        <w:rPr>
                          <w:rFonts w:cs="Arial"/>
                          <w:lang w:val="es-ES"/>
                        </w:rPr>
                      </w:pPr>
                    </w:p>
                    <w:p w14:paraId="18344DFD" w14:textId="5CBB2D17" w:rsidR="004641A5" w:rsidRPr="009E2B5C" w:rsidRDefault="004641A5" w:rsidP="004641A5">
                      <w:pPr>
                        <w:rPr>
                          <w:rFonts w:cs="Arial"/>
                          <w:sz w:val="21"/>
                          <w:szCs w:val="21"/>
                          <w:lang w:val="es-ES"/>
                        </w:rPr>
                      </w:pPr>
                    </w:p>
                  </w:txbxContent>
                </v:textbox>
                <w10:wrap type="square" anchorx="margin" anchory="margin"/>
              </v:shape>
            </w:pict>
          </mc:Fallback>
        </mc:AlternateContent>
      </w:r>
    </w:p>
    <w:p w14:paraId="4B56D1E3" w14:textId="453A9525" w:rsidR="004641A5" w:rsidRPr="00B57EBA" w:rsidRDefault="004641A5" w:rsidP="004641A5">
      <w:pPr>
        <w:jc w:val="both"/>
        <w:rPr>
          <w:rFonts w:cs="Arial"/>
          <w:lang w:val="es-ES"/>
        </w:rPr>
      </w:pPr>
    </w:p>
    <w:p w14:paraId="5CBECD1A" w14:textId="34465E7B" w:rsidR="004641A5" w:rsidRPr="00B57EBA" w:rsidRDefault="004641A5" w:rsidP="004641A5">
      <w:pPr>
        <w:jc w:val="both"/>
        <w:rPr>
          <w:rFonts w:cs="Arial"/>
          <w:lang w:val="es-ES"/>
        </w:rPr>
      </w:pPr>
    </w:p>
    <w:p w14:paraId="1ECF3DE8" w14:textId="2645AF5E" w:rsidR="004641A5" w:rsidRPr="00B57EBA" w:rsidRDefault="004641A5" w:rsidP="004641A5">
      <w:pPr>
        <w:jc w:val="both"/>
        <w:rPr>
          <w:rFonts w:cs="Arial"/>
          <w:lang w:val="es-ES"/>
        </w:rPr>
      </w:pPr>
    </w:p>
    <w:p w14:paraId="0F86B07F" w14:textId="4AD6D100" w:rsidR="004641A5" w:rsidRPr="00B57EBA" w:rsidRDefault="004641A5" w:rsidP="004641A5">
      <w:pPr>
        <w:jc w:val="both"/>
        <w:rPr>
          <w:rFonts w:cs="Arial"/>
          <w:lang w:val="es-ES"/>
        </w:rPr>
      </w:pPr>
    </w:p>
    <w:p w14:paraId="3D2DA8FE" w14:textId="77777777" w:rsidR="004641A5" w:rsidRPr="00B57EBA" w:rsidRDefault="004641A5" w:rsidP="004641A5">
      <w:pPr>
        <w:jc w:val="both"/>
        <w:rPr>
          <w:rFonts w:cs="Arial"/>
          <w:lang w:val="es-ES"/>
        </w:rPr>
      </w:pPr>
    </w:p>
    <w:p w14:paraId="1BB8DC3C" w14:textId="77777777" w:rsidR="004641A5" w:rsidRPr="00B57EBA" w:rsidRDefault="004641A5" w:rsidP="004641A5">
      <w:pPr>
        <w:jc w:val="both"/>
        <w:rPr>
          <w:rFonts w:cs="Arial"/>
          <w:lang w:val="es-ES"/>
        </w:rPr>
      </w:pPr>
    </w:p>
    <w:p w14:paraId="1DE5B9F9" w14:textId="50258FAB" w:rsidR="004641A5" w:rsidRPr="00B57EBA" w:rsidRDefault="004641A5" w:rsidP="004641A5">
      <w:pPr>
        <w:jc w:val="both"/>
        <w:rPr>
          <w:rFonts w:cs="Arial"/>
          <w:lang w:val="es-ES"/>
        </w:rPr>
      </w:pPr>
    </w:p>
    <w:p w14:paraId="111C4693" w14:textId="77777777" w:rsidR="004641A5" w:rsidRPr="00B57EBA" w:rsidRDefault="004641A5" w:rsidP="004641A5">
      <w:pPr>
        <w:jc w:val="both"/>
        <w:rPr>
          <w:rFonts w:cs="Arial"/>
          <w:lang w:val="es-ES"/>
        </w:rPr>
      </w:pPr>
    </w:p>
    <w:p w14:paraId="04CC22F6" w14:textId="77777777" w:rsidR="004641A5" w:rsidRPr="00B57EBA" w:rsidRDefault="004641A5" w:rsidP="004641A5">
      <w:pPr>
        <w:jc w:val="both"/>
        <w:rPr>
          <w:rFonts w:cs="Arial"/>
          <w:lang w:val="es-ES"/>
        </w:rPr>
      </w:pPr>
    </w:p>
    <w:p w14:paraId="2665FBA1" w14:textId="77777777" w:rsidR="004641A5" w:rsidRPr="00B57EBA" w:rsidRDefault="004641A5" w:rsidP="004641A5">
      <w:pPr>
        <w:jc w:val="both"/>
        <w:rPr>
          <w:rFonts w:cs="Arial"/>
          <w:lang w:val="es-ES"/>
        </w:rPr>
      </w:pPr>
    </w:p>
    <w:p w14:paraId="3173152C" w14:textId="77777777" w:rsidR="004641A5" w:rsidRPr="00B57EBA" w:rsidRDefault="004641A5" w:rsidP="004641A5">
      <w:pPr>
        <w:jc w:val="both"/>
        <w:rPr>
          <w:rFonts w:cs="Arial"/>
          <w:lang w:val="es-ES"/>
        </w:rPr>
      </w:pPr>
    </w:p>
    <w:p w14:paraId="27000FFA" w14:textId="77777777" w:rsidR="004641A5" w:rsidRPr="00B57EBA" w:rsidRDefault="004641A5" w:rsidP="004641A5">
      <w:pPr>
        <w:jc w:val="both"/>
        <w:rPr>
          <w:rFonts w:cs="Arial"/>
          <w:lang w:val="es-ES"/>
        </w:rPr>
      </w:pPr>
    </w:p>
    <w:p w14:paraId="4871BF3D" w14:textId="77777777" w:rsidR="004641A5" w:rsidRPr="00B57EBA" w:rsidRDefault="004641A5" w:rsidP="004641A5">
      <w:pPr>
        <w:jc w:val="both"/>
        <w:rPr>
          <w:rFonts w:cs="Arial"/>
          <w:lang w:val="es-ES"/>
        </w:rPr>
      </w:pPr>
    </w:p>
    <w:p w14:paraId="4EC263B2" w14:textId="77777777" w:rsidR="004641A5" w:rsidRPr="00B57EBA" w:rsidRDefault="004641A5" w:rsidP="004641A5">
      <w:pPr>
        <w:jc w:val="both"/>
        <w:rPr>
          <w:rFonts w:cs="Arial"/>
          <w:lang w:val="es-ES"/>
        </w:rPr>
      </w:pPr>
    </w:p>
    <w:p w14:paraId="12778A05" w14:textId="77777777" w:rsidR="004641A5" w:rsidRPr="00B57EBA" w:rsidRDefault="004641A5" w:rsidP="004641A5">
      <w:pPr>
        <w:jc w:val="both"/>
        <w:rPr>
          <w:rFonts w:cs="Arial"/>
          <w:lang w:val="es-ES"/>
        </w:rPr>
      </w:pPr>
    </w:p>
    <w:p w14:paraId="0EF699F1" w14:textId="77777777" w:rsidR="004641A5" w:rsidRPr="00B57EBA" w:rsidRDefault="004641A5" w:rsidP="004641A5">
      <w:pPr>
        <w:jc w:val="both"/>
        <w:rPr>
          <w:rFonts w:cs="Arial"/>
          <w:lang w:val="es-ES"/>
        </w:rPr>
      </w:pPr>
    </w:p>
    <w:p w14:paraId="257C67E7" w14:textId="77777777" w:rsidR="004641A5" w:rsidRPr="00B57EBA" w:rsidRDefault="004641A5" w:rsidP="004641A5">
      <w:pPr>
        <w:jc w:val="both"/>
        <w:rPr>
          <w:rFonts w:cs="Arial"/>
          <w:lang w:val="es-ES"/>
        </w:rPr>
      </w:pPr>
    </w:p>
    <w:p w14:paraId="30AAC8FC" w14:textId="77777777" w:rsidR="004641A5" w:rsidRPr="00B57EBA" w:rsidRDefault="004641A5" w:rsidP="004641A5">
      <w:pPr>
        <w:jc w:val="both"/>
        <w:rPr>
          <w:rFonts w:cs="Arial"/>
          <w:lang w:val="es-ES"/>
        </w:rPr>
      </w:pPr>
    </w:p>
    <w:p w14:paraId="22ED2AA3" w14:textId="77777777" w:rsidR="004641A5" w:rsidRPr="00B57EBA" w:rsidRDefault="004641A5" w:rsidP="004641A5">
      <w:pPr>
        <w:jc w:val="both"/>
        <w:rPr>
          <w:rFonts w:cs="Arial"/>
          <w:lang w:val="es-ES"/>
        </w:rPr>
      </w:pPr>
    </w:p>
    <w:p w14:paraId="7F8986CD" w14:textId="77777777" w:rsidR="004641A5" w:rsidRPr="00B57EBA" w:rsidRDefault="004641A5" w:rsidP="004641A5">
      <w:pPr>
        <w:jc w:val="both"/>
        <w:rPr>
          <w:rFonts w:cs="Arial"/>
          <w:lang w:val="es-ES"/>
        </w:rPr>
      </w:pPr>
    </w:p>
    <w:p w14:paraId="5A0573A3" w14:textId="77777777" w:rsidR="004641A5" w:rsidRPr="00B57EBA" w:rsidRDefault="004641A5" w:rsidP="004641A5">
      <w:pPr>
        <w:jc w:val="both"/>
        <w:rPr>
          <w:rFonts w:cs="Arial"/>
          <w:lang w:val="es-ES"/>
        </w:rPr>
      </w:pPr>
    </w:p>
    <w:p w14:paraId="1E321626" w14:textId="77777777" w:rsidR="004641A5" w:rsidRPr="00B57EBA" w:rsidRDefault="004641A5" w:rsidP="004641A5">
      <w:pPr>
        <w:jc w:val="both"/>
        <w:rPr>
          <w:rFonts w:cs="Arial"/>
          <w:lang w:val="es-ES"/>
        </w:rPr>
      </w:pPr>
    </w:p>
    <w:p w14:paraId="028872CB" w14:textId="77777777" w:rsidR="004641A5" w:rsidRPr="00B57EBA" w:rsidRDefault="004641A5" w:rsidP="004641A5">
      <w:pPr>
        <w:jc w:val="both"/>
        <w:rPr>
          <w:rFonts w:cs="Arial"/>
          <w:lang w:val="es-ES"/>
        </w:rPr>
      </w:pPr>
    </w:p>
    <w:p w14:paraId="47A8980F" w14:textId="77777777" w:rsidR="004641A5" w:rsidRPr="00B57EBA" w:rsidRDefault="004641A5" w:rsidP="004641A5">
      <w:pPr>
        <w:jc w:val="both"/>
        <w:rPr>
          <w:rFonts w:cs="Arial"/>
          <w:lang w:val="es-ES"/>
        </w:rPr>
      </w:pPr>
    </w:p>
    <w:p w14:paraId="29DE47C7" w14:textId="77777777" w:rsidR="004641A5" w:rsidRPr="00B57EBA" w:rsidRDefault="004641A5" w:rsidP="004641A5">
      <w:pPr>
        <w:jc w:val="both"/>
        <w:rPr>
          <w:rFonts w:cs="Arial"/>
          <w:lang w:val="es-ES"/>
        </w:rPr>
      </w:pPr>
    </w:p>
    <w:p w14:paraId="4F745CFB" w14:textId="77777777" w:rsidR="004641A5" w:rsidRPr="00B57EBA" w:rsidRDefault="004641A5" w:rsidP="004641A5">
      <w:pPr>
        <w:spacing w:after="160" w:line="256" w:lineRule="auto"/>
        <w:rPr>
          <w:rFonts w:cs="Arial"/>
          <w:lang w:val="es-ES"/>
        </w:rPr>
      </w:pPr>
      <w:r w:rsidRPr="00B57EBA">
        <w:rPr>
          <w:rFonts w:cs="Arial"/>
          <w:lang w:val="es-ES"/>
        </w:rPr>
        <w:br w:type="page"/>
      </w:r>
    </w:p>
    <w:p w14:paraId="3E1FF229" w14:textId="77777777" w:rsidR="004641A5" w:rsidRDefault="004641A5" w:rsidP="004641A5">
      <w:pPr>
        <w:jc w:val="both"/>
        <w:rPr>
          <w:rFonts w:cs="Arial"/>
          <w:lang w:val="es-ES"/>
        </w:rPr>
      </w:pPr>
    </w:p>
    <w:p w14:paraId="088D0D52" w14:textId="77777777" w:rsidR="00294633" w:rsidRPr="00B57EBA" w:rsidRDefault="00294633" w:rsidP="004641A5">
      <w:pPr>
        <w:jc w:val="both"/>
        <w:rPr>
          <w:rFonts w:cs="Arial"/>
          <w:lang w:val="es-ES"/>
        </w:rPr>
      </w:pPr>
    </w:p>
    <w:p w14:paraId="4987D769" w14:textId="31AF4F7F" w:rsidR="00F726EB" w:rsidRPr="00B57EBA" w:rsidRDefault="00F726EB" w:rsidP="00F726EB">
      <w:pPr>
        <w:pStyle w:val="Firstnumbering"/>
        <w:numPr>
          <w:ilvl w:val="0"/>
          <w:numId w:val="0"/>
        </w:numPr>
        <w:ind w:left="540" w:hanging="540"/>
        <w:rPr>
          <w:sz w:val="22"/>
          <w:szCs w:val="22"/>
          <w:u w:val="single"/>
          <w:lang w:val="es-ES"/>
        </w:rPr>
      </w:pPr>
      <w:r w:rsidRPr="00B57EBA">
        <w:rPr>
          <w:sz w:val="22"/>
          <w:szCs w:val="22"/>
          <w:u w:val="single"/>
          <w:lang w:val="es-ES"/>
        </w:rPr>
        <w:t>Antecedentes</w:t>
      </w:r>
    </w:p>
    <w:p w14:paraId="0DE0BDA4" w14:textId="77777777" w:rsidR="00F726EB" w:rsidRPr="00B57EBA" w:rsidRDefault="00F726EB" w:rsidP="00F726EB">
      <w:pPr>
        <w:pStyle w:val="Firstnumbering"/>
        <w:numPr>
          <w:ilvl w:val="0"/>
          <w:numId w:val="0"/>
        </w:numPr>
        <w:ind w:left="540" w:hanging="540"/>
        <w:rPr>
          <w:sz w:val="22"/>
          <w:szCs w:val="22"/>
          <w:lang w:val="es-ES"/>
        </w:rPr>
      </w:pPr>
    </w:p>
    <w:p w14:paraId="1D4B6CE9" w14:textId="32FA5B28" w:rsidR="005A5A2C" w:rsidRPr="00B57EBA" w:rsidRDefault="005A5A2C" w:rsidP="005A5A2C">
      <w:pPr>
        <w:pStyle w:val="Firstnumbering"/>
        <w:rPr>
          <w:sz w:val="22"/>
          <w:szCs w:val="22"/>
          <w:lang w:val="es-ES"/>
        </w:rPr>
      </w:pPr>
      <w:r w:rsidRPr="00B57EBA">
        <w:rPr>
          <w:sz w:val="22"/>
          <w:szCs w:val="22"/>
          <w:lang w:val="es-ES"/>
        </w:rPr>
        <w:t xml:space="preserve">El Gobierno australiano ha establecido acuerdos nacionales para desarrollar parques eólicos marinos como parte de sus objetivos en materia de energías renovables. El objetivo de estos acuerdos es reducir de forma significativa las emisiones para ayudar a Australia a alcanzar el objetivo de cero emisiones netas en 2050. Los instrumentos legislativos que dan efecto a los acuerdos son la </w:t>
      </w:r>
      <w:r w:rsidR="00D2187B">
        <w:fldChar w:fldCharType="begin"/>
      </w:r>
      <w:r w:rsidR="00D2187B" w:rsidRPr="00D2187B">
        <w:rPr>
          <w:lang w:val="es-ES"/>
        </w:rPr>
        <w:instrText xml:space="preserve"> HYPERLINK "https://www.legislation.gov.au/Details/C2022C00346" </w:instrText>
      </w:r>
      <w:r w:rsidR="00D2187B">
        <w:fldChar w:fldCharType="separate"/>
      </w:r>
      <w:r w:rsidRPr="00B57EBA">
        <w:rPr>
          <w:rStyle w:val="Hyperlink"/>
          <w:sz w:val="22"/>
          <w:szCs w:val="22"/>
          <w:lang w:val="es-ES"/>
        </w:rPr>
        <w:t>Ley de Infraestructura Eléctrica Marina de 2021</w:t>
      </w:r>
      <w:r w:rsidR="00D2187B">
        <w:rPr>
          <w:rStyle w:val="Hyperlink"/>
          <w:sz w:val="22"/>
          <w:szCs w:val="22"/>
          <w:lang w:val="es-ES"/>
        </w:rPr>
        <w:fldChar w:fldCharType="end"/>
      </w:r>
      <w:r w:rsidRPr="00B57EBA">
        <w:rPr>
          <w:sz w:val="22"/>
          <w:szCs w:val="22"/>
          <w:lang w:val="es-ES"/>
        </w:rPr>
        <w:t xml:space="preserve"> y las Regulaciones asociadas de </w:t>
      </w:r>
      <w:r w:rsidR="00D2187B">
        <w:fldChar w:fldCharType="begin"/>
      </w:r>
      <w:r w:rsidR="00D2187B" w:rsidRPr="00D2187B">
        <w:rPr>
          <w:lang w:val="es-ES"/>
        </w:rPr>
        <w:instrText xml:space="preserve"> HYPERLINK "https://www.legislation.gov.au/Details/F2022L01422" </w:instrText>
      </w:r>
      <w:r w:rsidR="00D2187B">
        <w:fldChar w:fldCharType="separate"/>
      </w:r>
      <w:r w:rsidRPr="00B57EBA">
        <w:rPr>
          <w:rStyle w:val="Hyperlink"/>
          <w:sz w:val="22"/>
          <w:szCs w:val="22"/>
          <w:lang w:val="es-ES"/>
        </w:rPr>
        <w:t>Infraestructura Eléctrica Marina de 2022</w:t>
      </w:r>
      <w:r w:rsidR="00D2187B">
        <w:rPr>
          <w:rStyle w:val="Hyperlink"/>
          <w:sz w:val="22"/>
          <w:szCs w:val="22"/>
          <w:lang w:val="es-ES"/>
        </w:rPr>
        <w:fldChar w:fldCharType="end"/>
      </w:r>
      <w:r w:rsidRPr="00B57EBA">
        <w:rPr>
          <w:sz w:val="22"/>
          <w:szCs w:val="22"/>
          <w:lang w:val="es-ES"/>
        </w:rPr>
        <w:t xml:space="preserve">. Según la legislación, las zonas marítimas pueden declararse aptas para el desarrollo de parques eólicos marinos. </w:t>
      </w:r>
    </w:p>
    <w:p w14:paraId="1EB4F103" w14:textId="77777777" w:rsidR="003056E1" w:rsidRPr="00B57EBA" w:rsidRDefault="003056E1" w:rsidP="003056E1">
      <w:pPr>
        <w:pStyle w:val="Firstnumbering"/>
        <w:numPr>
          <w:ilvl w:val="0"/>
          <w:numId w:val="0"/>
        </w:numPr>
        <w:ind w:left="504"/>
        <w:rPr>
          <w:sz w:val="22"/>
          <w:szCs w:val="22"/>
          <w:lang w:val="es-ES"/>
        </w:rPr>
      </w:pPr>
    </w:p>
    <w:p w14:paraId="719DF817" w14:textId="6A346E12" w:rsidR="005A5A2C" w:rsidRPr="00B57EBA" w:rsidRDefault="005A5A2C" w:rsidP="005A5A2C">
      <w:pPr>
        <w:pStyle w:val="Firstnumbering"/>
        <w:rPr>
          <w:sz w:val="22"/>
          <w:szCs w:val="22"/>
          <w:lang w:val="es-ES"/>
        </w:rPr>
      </w:pPr>
      <w:r w:rsidRPr="00B57EBA">
        <w:rPr>
          <w:sz w:val="22"/>
          <w:szCs w:val="22"/>
          <w:lang w:val="es-ES"/>
        </w:rPr>
        <w:t xml:space="preserve">Sin embargo, se reconoce que los parques eólicos marinos también pueden afectar a las especies migratorias amenazadas e incluidas en la lista de la CMS. El desarrollo de parques eólicos marinos puede aumentar la mortalidad de las aves, por ejemplo, por colisión, desplazamiento de los hábitats preferidos o la generación de un efecto barrera hacia las rutas migratorias. </w:t>
      </w:r>
    </w:p>
    <w:p w14:paraId="5E8B574B" w14:textId="77777777" w:rsidR="003056E1" w:rsidRPr="00B57EBA" w:rsidRDefault="003056E1" w:rsidP="003056E1">
      <w:pPr>
        <w:pStyle w:val="Firstnumbering"/>
        <w:numPr>
          <w:ilvl w:val="0"/>
          <w:numId w:val="0"/>
        </w:numPr>
        <w:rPr>
          <w:sz w:val="22"/>
          <w:szCs w:val="22"/>
          <w:lang w:val="es-ES"/>
        </w:rPr>
      </w:pPr>
    </w:p>
    <w:p w14:paraId="54437534" w14:textId="51C87D39" w:rsidR="005A5A2C" w:rsidRPr="00B57EBA" w:rsidRDefault="005A5A2C" w:rsidP="005A5A2C">
      <w:pPr>
        <w:pStyle w:val="Firstnumbering"/>
        <w:rPr>
          <w:sz w:val="22"/>
          <w:szCs w:val="22"/>
          <w:lang w:val="es-ES"/>
        </w:rPr>
      </w:pPr>
      <w:r w:rsidRPr="00B57EBA">
        <w:rPr>
          <w:sz w:val="22"/>
          <w:szCs w:val="22"/>
          <w:lang w:val="es-ES"/>
        </w:rPr>
        <w:t xml:space="preserve">A finales de 2022, la región del estrecho de Bass, en Victoria, fue </w:t>
      </w:r>
      <w:proofErr w:type="gramStart"/>
      <w:r w:rsidRPr="00B57EBA">
        <w:rPr>
          <w:sz w:val="22"/>
          <w:szCs w:val="22"/>
          <w:lang w:val="es-ES"/>
        </w:rPr>
        <w:t>declarada como</w:t>
      </w:r>
      <w:proofErr w:type="gramEnd"/>
      <w:r w:rsidRPr="00B57EBA">
        <w:rPr>
          <w:sz w:val="22"/>
          <w:szCs w:val="22"/>
          <w:lang w:val="es-ES"/>
        </w:rPr>
        <w:t xml:space="preserve"> la primera zona eólica marina, con una superficie de alrededor de 15 000 kilómetros cuadrados. La declaración se puede consultar en </w:t>
      </w:r>
      <w:r w:rsidR="00D2187B">
        <w:fldChar w:fldCharType="begin"/>
      </w:r>
      <w:r w:rsidR="00D2187B" w:rsidRPr="00D2187B">
        <w:rPr>
          <w:lang w:val="es-ES"/>
        </w:rPr>
        <w:instrText xml:space="preserve"> HYPERLINK "https://www.legislation.gov.au/Details/F2022L01736" </w:instrText>
      </w:r>
      <w:r w:rsidR="00D2187B">
        <w:fldChar w:fldCharType="separate"/>
      </w:r>
      <w:r w:rsidRPr="00B57EBA">
        <w:rPr>
          <w:rStyle w:val="Hyperlink"/>
          <w:sz w:val="22"/>
          <w:szCs w:val="22"/>
          <w:lang w:val="es-ES"/>
        </w:rPr>
        <w:t>Declaración 2022 sobre Infraestructura eléctrica marítima (zona declarada OEI-01-2022)</w:t>
      </w:r>
      <w:r w:rsidR="00D2187B">
        <w:rPr>
          <w:rStyle w:val="Hyperlink"/>
          <w:sz w:val="22"/>
          <w:szCs w:val="22"/>
          <w:lang w:val="es-ES"/>
        </w:rPr>
        <w:fldChar w:fldCharType="end"/>
      </w:r>
      <w:r w:rsidRPr="00B57EBA">
        <w:rPr>
          <w:sz w:val="22"/>
          <w:szCs w:val="22"/>
          <w:lang w:val="es-ES"/>
        </w:rPr>
        <w:t>. La región del estrecho de Bass puede generar más de 10 GW de energía eólica durante todo el año, dando cobertura en torno al 20 % de las necesidades de electricidad de Victoria. Dentro de Australia se están proponiendo proyectos de parques eólicos marinos en otras regiones, que son hábitats importantes para especies de aves amenazadas, como la cacatúa de vientre naranja (</w:t>
      </w:r>
      <w:proofErr w:type="spellStart"/>
      <w:r w:rsidRPr="00B57EBA">
        <w:rPr>
          <w:i/>
          <w:iCs/>
          <w:sz w:val="22"/>
          <w:szCs w:val="22"/>
          <w:lang w:val="es-ES"/>
        </w:rPr>
        <w:t>Neophema</w:t>
      </w:r>
      <w:proofErr w:type="spellEnd"/>
      <w:r w:rsidRPr="00B57EBA">
        <w:rPr>
          <w:i/>
          <w:iCs/>
          <w:sz w:val="22"/>
          <w:szCs w:val="22"/>
          <w:lang w:val="es-ES"/>
        </w:rPr>
        <w:t xml:space="preserve"> </w:t>
      </w:r>
      <w:proofErr w:type="spellStart"/>
      <w:r w:rsidRPr="00B57EBA">
        <w:rPr>
          <w:i/>
          <w:iCs/>
          <w:sz w:val="22"/>
          <w:szCs w:val="22"/>
          <w:lang w:val="es-ES"/>
        </w:rPr>
        <w:t>chrysogaster</w:t>
      </w:r>
      <w:proofErr w:type="spellEnd"/>
      <w:r w:rsidRPr="00B57EBA">
        <w:rPr>
          <w:sz w:val="22"/>
          <w:szCs w:val="22"/>
          <w:lang w:val="es-ES"/>
        </w:rPr>
        <w:t>), en peligro crítico de extinción a nivel nacional, el periquito migrador, (</w:t>
      </w:r>
      <w:proofErr w:type="spellStart"/>
      <w:r w:rsidRPr="00B57EBA">
        <w:rPr>
          <w:i/>
          <w:iCs/>
          <w:sz w:val="22"/>
          <w:szCs w:val="22"/>
          <w:lang w:val="es-ES"/>
        </w:rPr>
        <w:t>Lathamus</w:t>
      </w:r>
      <w:proofErr w:type="spellEnd"/>
      <w:r w:rsidRPr="00B57EBA">
        <w:rPr>
          <w:i/>
          <w:iCs/>
          <w:sz w:val="22"/>
          <w:szCs w:val="22"/>
          <w:lang w:val="es-ES"/>
        </w:rPr>
        <w:t xml:space="preserve"> </w:t>
      </w:r>
      <w:proofErr w:type="spellStart"/>
      <w:r w:rsidRPr="00B57EBA">
        <w:rPr>
          <w:i/>
          <w:iCs/>
          <w:sz w:val="22"/>
          <w:szCs w:val="22"/>
          <w:lang w:val="es-ES"/>
        </w:rPr>
        <w:t>discolor</w:t>
      </w:r>
      <w:proofErr w:type="spellEnd"/>
      <w:r w:rsidRPr="00B57EBA">
        <w:rPr>
          <w:sz w:val="22"/>
          <w:szCs w:val="22"/>
          <w:lang w:val="es-ES"/>
        </w:rPr>
        <w:t>), también en peligro crítico de extinción, y el zarapito siberiano (</w:t>
      </w:r>
      <w:proofErr w:type="spellStart"/>
      <w:r w:rsidRPr="00B57EBA">
        <w:rPr>
          <w:i/>
          <w:iCs/>
          <w:sz w:val="22"/>
          <w:szCs w:val="22"/>
          <w:lang w:val="es-ES"/>
        </w:rPr>
        <w:t>Numenius</w:t>
      </w:r>
      <w:proofErr w:type="spellEnd"/>
      <w:r w:rsidRPr="00B57EBA">
        <w:rPr>
          <w:i/>
          <w:iCs/>
          <w:sz w:val="22"/>
          <w:szCs w:val="22"/>
          <w:lang w:val="es-ES"/>
        </w:rPr>
        <w:t xml:space="preserve"> </w:t>
      </w:r>
      <w:proofErr w:type="spellStart"/>
      <w:r w:rsidRPr="00B57EBA">
        <w:rPr>
          <w:i/>
          <w:iCs/>
          <w:sz w:val="22"/>
          <w:szCs w:val="22"/>
          <w:lang w:val="es-ES"/>
        </w:rPr>
        <w:t>madagascariensis</w:t>
      </w:r>
      <w:proofErr w:type="spellEnd"/>
      <w:r w:rsidRPr="00B57EBA">
        <w:rPr>
          <w:i/>
          <w:iCs/>
          <w:sz w:val="22"/>
          <w:szCs w:val="22"/>
          <w:lang w:val="es-ES"/>
        </w:rPr>
        <w:t>), en peligro de extinción e incluido en la lista de la CMS</w:t>
      </w:r>
      <w:r w:rsidR="006736DF" w:rsidRPr="00B57EBA">
        <w:rPr>
          <w:sz w:val="22"/>
          <w:szCs w:val="22"/>
          <w:lang w:val="es-ES"/>
        </w:rPr>
        <w:t>)</w:t>
      </w:r>
      <w:r w:rsidRPr="00B57EBA">
        <w:rPr>
          <w:sz w:val="22"/>
          <w:szCs w:val="22"/>
          <w:lang w:val="es-ES"/>
        </w:rPr>
        <w:t xml:space="preserve">. </w:t>
      </w:r>
    </w:p>
    <w:p w14:paraId="73182039" w14:textId="77777777" w:rsidR="003056E1" w:rsidRPr="00B57EBA" w:rsidRDefault="003056E1" w:rsidP="003056E1">
      <w:pPr>
        <w:pStyle w:val="Firstnumbering"/>
        <w:numPr>
          <w:ilvl w:val="0"/>
          <w:numId w:val="0"/>
        </w:numPr>
        <w:rPr>
          <w:sz w:val="22"/>
          <w:szCs w:val="22"/>
          <w:lang w:val="es-ES"/>
        </w:rPr>
      </w:pPr>
    </w:p>
    <w:p w14:paraId="3AF426A1" w14:textId="77777777" w:rsidR="005A5A2C" w:rsidRPr="00B57EBA" w:rsidRDefault="005A5A2C" w:rsidP="005A5A2C">
      <w:pPr>
        <w:pStyle w:val="Firstnumbering"/>
        <w:rPr>
          <w:sz w:val="22"/>
          <w:szCs w:val="22"/>
          <w:lang w:val="es-ES"/>
        </w:rPr>
      </w:pPr>
      <w:r w:rsidRPr="00B57EBA">
        <w:rPr>
          <w:sz w:val="22"/>
          <w:szCs w:val="22"/>
          <w:lang w:val="es-ES"/>
        </w:rPr>
        <w:t xml:space="preserve">Las evaluaciones de riesgo de los parques eólicos marinos están muy desarrolladas en el hemisferio norte, pero aún no se habían aplicado en el contexto australiano a las aves de ese país. Por consiguiente, se llevó a cabo una evaluación semicuantitativa de los riesgos ecológicos para evaluar los posibles efectos de los parques eólicos marinos en las aves costeras y marinas, incluidas las especies migratorias y las que figuran en las listas de la CMS </w:t>
      </w:r>
      <w:r w:rsidR="00D2187B">
        <w:fldChar w:fldCharType="begin"/>
      </w:r>
      <w:r w:rsidR="00D2187B" w:rsidRPr="00D2187B">
        <w:rPr>
          <w:lang w:val="es-ES"/>
        </w:rPr>
        <w:instrText xml:space="preserve"> HYPERLINK "https://onlinelibrary.wiley.com/doi/full/10.1111/aec.13278" </w:instrText>
      </w:r>
      <w:r w:rsidR="00D2187B">
        <w:fldChar w:fldCharType="separate"/>
      </w:r>
      <w:r w:rsidRPr="00B57EBA">
        <w:rPr>
          <w:rStyle w:val="Hyperlink"/>
          <w:sz w:val="22"/>
          <w:szCs w:val="22"/>
          <w:lang w:val="es-ES"/>
        </w:rPr>
        <w:t>(Reid et al. 2023, Anexo 1)</w:t>
      </w:r>
      <w:r w:rsidR="00D2187B">
        <w:rPr>
          <w:rStyle w:val="Hyperlink"/>
          <w:sz w:val="22"/>
          <w:szCs w:val="22"/>
          <w:lang w:val="es-ES"/>
        </w:rPr>
        <w:fldChar w:fldCharType="end"/>
      </w:r>
      <w:r w:rsidRPr="00B57EBA">
        <w:rPr>
          <w:sz w:val="22"/>
          <w:szCs w:val="22"/>
          <w:lang w:val="es-ES"/>
        </w:rPr>
        <w:t xml:space="preserve">. </w:t>
      </w:r>
    </w:p>
    <w:p w14:paraId="5307676E" w14:textId="77777777" w:rsidR="00F726EB" w:rsidRPr="00B57EBA" w:rsidRDefault="00F726EB" w:rsidP="00F726EB">
      <w:pPr>
        <w:pStyle w:val="Firstnumbering"/>
        <w:numPr>
          <w:ilvl w:val="0"/>
          <w:numId w:val="0"/>
        </w:numPr>
        <w:ind w:left="540" w:hanging="540"/>
        <w:rPr>
          <w:sz w:val="22"/>
          <w:szCs w:val="22"/>
          <w:lang w:val="es-ES"/>
        </w:rPr>
      </w:pPr>
    </w:p>
    <w:p w14:paraId="53433F01" w14:textId="5D42974F" w:rsidR="00F726EB" w:rsidRPr="00B57EBA" w:rsidRDefault="00F726EB" w:rsidP="002F2A90">
      <w:pPr>
        <w:suppressAutoHyphens/>
        <w:autoSpaceDE w:val="0"/>
        <w:autoSpaceDN w:val="0"/>
        <w:jc w:val="both"/>
        <w:textAlignment w:val="baseline"/>
        <w:rPr>
          <w:rFonts w:cs="Arial"/>
          <w:u w:val="single"/>
          <w:lang w:val="es-ES"/>
        </w:rPr>
      </w:pPr>
      <w:r w:rsidRPr="00B57EBA">
        <w:rPr>
          <w:rFonts w:cs="Arial"/>
          <w:u w:val="single"/>
          <w:lang w:val="es-ES"/>
        </w:rPr>
        <w:t>Debate</w:t>
      </w:r>
    </w:p>
    <w:p w14:paraId="2CB753DF" w14:textId="77777777" w:rsidR="00F726EB" w:rsidRPr="00B57EBA" w:rsidRDefault="00F726EB" w:rsidP="00F726EB">
      <w:pPr>
        <w:pStyle w:val="Firstnumbering"/>
        <w:numPr>
          <w:ilvl w:val="0"/>
          <w:numId w:val="0"/>
        </w:numPr>
        <w:ind w:left="540" w:hanging="540"/>
        <w:rPr>
          <w:sz w:val="22"/>
          <w:szCs w:val="22"/>
          <w:lang w:val="es-ES"/>
        </w:rPr>
      </w:pPr>
    </w:p>
    <w:p w14:paraId="437AC70E" w14:textId="01D7E8B7" w:rsidR="005A5A2C" w:rsidRPr="00B57EBA" w:rsidRDefault="005A5A2C" w:rsidP="005A5A2C">
      <w:pPr>
        <w:pStyle w:val="Firstnumbering"/>
        <w:rPr>
          <w:sz w:val="22"/>
          <w:szCs w:val="22"/>
          <w:lang w:val="es-ES"/>
        </w:rPr>
      </w:pPr>
      <w:r w:rsidRPr="00B57EBA">
        <w:rPr>
          <w:sz w:val="22"/>
          <w:szCs w:val="22"/>
          <w:lang w:val="es-ES"/>
        </w:rPr>
        <w:t>La evaluación de riesgos examinó 273 taxones de aves, incluidas las especies amenazadas que figuran en la legislación medioambiental nacional de Australia, la</w:t>
      </w:r>
      <w:r w:rsidR="00D2187B">
        <w:fldChar w:fldCharType="begin"/>
      </w:r>
      <w:r w:rsidR="00D2187B" w:rsidRPr="00D2187B">
        <w:rPr>
          <w:lang w:val="es-ES"/>
        </w:rPr>
        <w:instrText xml:space="preserve"> HYPERLINK "https://www.legislation.gov.au/Details/C2022C00214" </w:instrText>
      </w:r>
      <w:r w:rsidR="00D2187B">
        <w:fldChar w:fldCharType="separate"/>
      </w:r>
      <w:r w:rsidRPr="00B57EBA">
        <w:rPr>
          <w:rStyle w:val="Hyperlink"/>
          <w:i/>
          <w:iCs/>
          <w:sz w:val="22"/>
          <w:szCs w:val="22"/>
          <w:lang w:val="es-ES"/>
        </w:rPr>
        <w:t xml:space="preserve"> Ley de Protección del Medio Ambiente y Conservación de la Biodiversidad de 1999</w:t>
      </w:r>
      <w:r w:rsidR="00D2187B">
        <w:rPr>
          <w:rStyle w:val="Hyperlink"/>
          <w:i/>
          <w:iCs/>
          <w:sz w:val="22"/>
          <w:szCs w:val="22"/>
          <w:lang w:val="es-ES"/>
        </w:rPr>
        <w:fldChar w:fldCharType="end"/>
      </w:r>
      <w:r w:rsidRPr="00B57EBA">
        <w:rPr>
          <w:sz w:val="22"/>
          <w:szCs w:val="22"/>
          <w:lang w:val="es-ES"/>
        </w:rPr>
        <w:t xml:space="preserve"> (Ley EPBC). La evaluación se basó en datos sobre el ciclo de vida y peculiaridades de comportamiento. El área marina de Australia se dividió por fronteras estatales y territoriales en ocho regiones, y se subdividió en subregiones costeras, interiores y de alta mar. Asimismo, se tuvo en cuenta el interés regional de las propuestas de parques eólicos marinos y el desplazamiento de las aves a través de esas regiones. A continuación, cada taxón obtuvo una puntuación global de riesgo como combinación de una puntuación de vulnerabilidad y una puntuación de conservación. La puntuación de las particularidades se basó en datos revisados por expertos y a disposición del público. Las variables que se incluyeron en los análisis fueron las puntuaciones del riesgo de productividad, que se basaron en el estado de conservación y el tiempo de generación; y las puntuaciones del riesgo de vulnerabilidad, que se basaron en la altura y maniobrabilidad de vuelo, así como la especialización del hábitat. </w:t>
      </w:r>
    </w:p>
    <w:p w14:paraId="4C215ED0" w14:textId="2644ACC0" w:rsidR="00294633" w:rsidRDefault="00294633">
      <w:pPr>
        <w:rPr>
          <w:rFonts w:eastAsia="Times New Roman" w:cs="Arial"/>
          <w:lang w:val="es-ES"/>
        </w:rPr>
      </w:pPr>
      <w:r>
        <w:rPr>
          <w:lang w:val="es-ES"/>
        </w:rPr>
        <w:br w:type="page"/>
      </w:r>
    </w:p>
    <w:p w14:paraId="28DABCE0" w14:textId="35CCE130" w:rsidR="00FB18AB" w:rsidRPr="00B57EBA" w:rsidRDefault="00FB18AB" w:rsidP="00FB18AB">
      <w:pPr>
        <w:pStyle w:val="Firstnumbering"/>
        <w:rPr>
          <w:sz w:val="22"/>
          <w:szCs w:val="22"/>
          <w:lang w:val="es-ES"/>
        </w:rPr>
      </w:pPr>
      <w:r w:rsidRPr="00B57EBA">
        <w:rPr>
          <w:sz w:val="22"/>
          <w:szCs w:val="22"/>
          <w:lang w:val="es-ES"/>
        </w:rPr>
        <w:lastRenderedPageBreak/>
        <w:t>Esta evaluación detectó 81 taxones de alto riesgo, de los cuales 11 eran aves costeras migratorias externas presentes en la mayoría de las regiones evaluadas. Las aves migratorias de alto riesgo incluidas en los Apéndices de la CMS fueron el zarapito siberiano (</w:t>
      </w:r>
      <w:proofErr w:type="spellStart"/>
      <w:r w:rsidRPr="00B57EBA">
        <w:rPr>
          <w:i/>
          <w:iCs/>
          <w:sz w:val="22"/>
          <w:szCs w:val="22"/>
          <w:lang w:val="es-ES"/>
        </w:rPr>
        <w:t>Numenius</w:t>
      </w:r>
      <w:proofErr w:type="spellEnd"/>
      <w:r w:rsidRPr="00B57EBA">
        <w:rPr>
          <w:i/>
          <w:iCs/>
          <w:sz w:val="22"/>
          <w:szCs w:val="22"/>
          <w:lang w:val="es-ES"/>
        </w:rPr>
        <w:t xml:space="preserve"> </w:t>
      </w:r>
      <w:proofErr w:type="spellStart"/>
      <w:r w:rsidRPr="00B57EBA">
        <w:rPr>
          <w:i/>
          <w:iCs/>
          <w:sz w:val="22"/>
          <w:szCs w:val="22"/>
          <w:lang w:val="es-ES"/>
        </w:rPr>
        <w:t>madagascariensis</w:t>
      </w:r>
      <w:proofErr w:type="spellEnd"/>
      <w:r w:rsidRPr="00B57EBA">
        <w:rPr>
          <w:i/>
          <w:iCs/>
          <w:sz w:val="22"/>
          <w:szCs w:val="22"/>
          <w:lang w:val="es-ES"/>
        </w:rPr>
        <w:t>;</w:t>
      </w:r>
      <w:r w:rsidRPr="00B57EBA">
        <w:rPr>
          <w:sz w:val="22"/>
          <w:szCs w:val="22"/>
          <w:lang w:val="es-ES"/>
        </w:rPr>
        <w:t xml:space="preserve"> Apéndice I de la CMS), y nueve especies de albatros (Apéndice II de la CMS). Las regiones costeras de Victoria, Nueva Gales del Sur, Queensland, sur de Australia, Tasmania y el suroeste de Australia Occidental obtuvieron las puntuaciones de riesgo más altas. Estos resultados permiten establecer datos de referencia y desarrollar medidas de mitigación. </w:t>
      </w:r>
    </w:p>
    <w:p w14:paraId="10A9DAFA" w14:textId="77777777" w:rsidR="003056E1" w:rsidRPr="00B57EBA" w:rsidRDefault="003056E1" w:rsidP="003056E1">
      <w:pPr>
        <w:pStyle w:val="Firstnumbering"/>
        <w:numPr>
          <w:ilvl w:val="0"/>
          <w:numId w:val="0"/>
        </w:numPr>
        <w:rPr>
          <w:sz w:val="22"/>
          <w:szCs w:val="22"/>
          <w:lang w:val="es-ES"/>
        </w:rPr>
      </w:pPr>
    </w:p>
    <w:p w14:paraId="6A8CB0D8" w14:textId="74FA73FF" w:rsidR="00FB18AB" w:rsidRPr="00B57EBA" w:rsidRDefault="00FB18AB" w:rsidP="00FB18AB">
      <w:pPr>
        <w:pStyle w:val="Firstnumbering"/>
        <w:rPr>
          <w:sz w:val="22"/>
          <w:szCs w:val="22"/>
          <w:lang w:val="es-ES"/>
        </w:rPr>
      </w:pPr>
      <w:r w:rsidRPr="00B57EBA">
        <w:rPr>
          <w:sz w:val="22"/>
          <w:szCs w:val="22"/>
          <w:lang w:val="es-ES"/>
        </w:rPr>
        <w:t xml:space="preserve">La medida de mitigación más eficaz consiste en ubicar los parques eólicos e infraestructuras asociadas en zonas donde haya pocas aves o de escasa importancia para ellas. Para ello, se necesitan datos a gran escala sobre la distribución de las aves. Las medidas técnicas para mitigar el impacto podrían incluir la modificación del horario de funcionamiento de las turbinas; por ejemplo, apagarlas durante los períodos de migración, desarrollar sistemas de reducción automáticos o la construcción de turbinas más altas que no interfieran con la altura de vuelo de las aves. Por lo tanto, la investigación, el desarrollo y la validación de las medidas de mitigación existentes y emergentes </w:t>
      </w:r>
      <w:r w:rsidR="009F1217" w:rsidRPr="00B57EBA">
        <w:rPr>
          <w:sz w:val="22"/>
          <w:szCs w:val="22"/>
          <w:lang w:val="es-ES"/>
        </w:rPr>
        <w:t>es de suma importancia.</w:t>
      </w:r>
    </w:p>
    <w:p w14:paraId="010861A3" w14:textId="77777777" w:rsidR="003056E1" w:rsidRPr="00B57EBA" w:rsidRDefault="003056E1" w:rsidP="003056E1">
      <w:pPr>
        <w:pStyle w:val="Firstnumbering"/>
        <w:numPr>
          <w:ilvl w:val="0"/>
          <w:numId w:val="0"/>
        </w:numPr>
        <w:rPr>
          <w:sz w:val="22"/>
          <w:szCs w:val="22"/>
          <w:lang w:val="es-ES"/>
        </w:rPr>
      </w:pPr>
    </w:p>
    <w:p w14:paraId="3C04A439" w14:textId="77777777" w:rsidR="007B0D07" w:rsidRPr="00B57EBA" w:rsidRDefault="00FB18AB" w:rsidP="008327B1">
      <w:pPr>
        <w:pStyle w:val="Firstnumbering"/>
        <w:rPr>
          <w:sz w:val="22"/>
          <w:szCs w:val="22"/>
          <w:lang w:val="es-ES"/>
        </w:rPr>
      </w:pPr>
      <w:r w:rsidRPr="00B57EBA">
        <w:rPr>
          <w:sz w:val="22"/>
          <w:szCs w:val="22"/>
          <w:lang w:val="es-ES"/>
        </w:rPr>
        <w:t xml:space="preserve">Las gestiones que se realicen en el futuro deben incluir la recopilación de datos sobre el ciclo de vida y las peculiaridades de comportamiento de las especies que puedan verse afectadas por los parques eólicos marinos. Además, la variabilidad espacial y temporal de los taxones afectados debe quedar muy clara. Con el fin de determinar la viabilidad de las poblaciones a largo plazo, es necesario investigar, desarrollar y probar métodos para predecir y cuantificar los efectos sobre las poblaciones de aves. La precisión de las evaluaciones de riesgos ecológicos se podría mejorar aún más utilizando una combinación de enfoques de seguimiento estandarizados, lo que permitiría hacer comparaciones entre los estudios. </w:t>
      </w:r>
    </w:p>
    <w:p w14:paraId="75378190" w14:textId="77777777" w:rsidR="003056E1" w:rsidRPr="00B57EBA" w:rsidRDefault="003056E1" w:rsidP="003056E1">
      <w:pPr>
        <w:pStyle w:val="Firstnumbering"/>
        <w:numPr>
          <w:ilvl w:val="0"/>
          <w:numId w:val="0"/>
        </w:numPr>
        <w:rPr>
          <w:sz w:val="22"/>
          <w:szCs w:val="22"/>
          <w:lang w:val="es-ES"/>
        </w:rPr>
      </w:pPr>
    </w:p>
    <w:p w14:paraId="093BD95B" w14:textId="41B0F06F" w:rsidR="00FB18AB" w:rsidRPr="00B57EBA" w:rsidRDefault="00FB18AB" w:rsidP="008327B1">
      <w:pPr>
        <w:pStyle w:val="Firstnumbering"/>
        <w:rPr>
          <w:sz w:val="22"/>
          <w:szCs w:val="22"/>
          <w:lang w:val="es-ES"/>
        </w:rPr>
      </w:pPr>
      <w:r w:rsidRPr="00B57EBA">
        <w:rPr>
          <w:sz w:val="22"/>
          <w:szCs w:val="22"/>
          <w:lang w:val="es-ES"/>
        </w:rPr>
        <w:t xml:space="preserve">Otras recomendaciones incluyen la realización de análisis de sensibilidad a escala regional para minimizar los efectos confusos de las diferencias entre regiones. Compartir los resultados de la investigación aumentará aún más la fiabilidad de las evaluaciones de riesgos ecológicos y las medidas de mitigación. </w:t>
      </w:r>
    </w:p>
    <w:p w14:paraId="1CD98FC3" w14:textId="77777777" w:rsidR="003056E1" w:rsidRPr="00B57EBA" w:rsidRDefault="003056E1" w:rsidP="003056E1">
      <w:pPr>
        <w:pStyle w:val="Firstnumbering"/>
        <w:numPr>
          <w:ilvl w:val="0"/>
          <w:numId w:val="0"/>
        </w:numPr>
        <w:rPr>
          <w:sz w:val="22"/>
          <w:szCs w:val="22"/>
          <w:lang w:val="es-ES"/>
        </w:rPr>
      </w:pPr>
    </w:p>
    <w:p w14:paraId="580E2670" w14:textId="1F7F8A62" w:rsidR="00FB18AB" w:rsidRPr="00B57EBA" w:rsidRDefault="00FB18AB" w:rsidP="00FB18AB">
      <w:pPr>
        <w:pStyle w:val="Firstnumbering"/>
        <w:rPr>
          <w:sz w:val="22"/>
          <w:szCs w:val="22"/>
          <w:lang w:val="es-ES"/>
        </w:rPr>
      </w:pPr>
      <w:r w:rsidRPr="00B57EBA">
        <w:rPr>
          <w:sz w:val="22"/>
          <w:szCs w:val="22"/>
          <w:lang w:val="es-ES"/>
        </w:rPr>
        <w:t>Cuando se diseñan y evalúan las propuestas de estos parques, se deben tener en cuenta los efectos acumulativos de los parques eólicos marinos sobre las poblaciones de aves. Solo se puede evitar la disminución de las poblaciones evaluando el impacto potencial de los parques eólicos marinos, identificando los taxones de alto riesgo y garantizando la aplicación de medidas de mitigación adecuadas.</w:t>
      </w:r>
    </w:p>
    <w:p w14:paraId="6067CD23" w14:textId="77777777" w:rsidR="003056E1" w:rsidRPr="00B57EBA" w:rsidRDefault="003056E1" w:rsidP="003056E1">
      <w:pPr>
        <w:pStyle w:val="Firstnumbering"/>
        <w:numPr>
          <w:ilvl w:val="0"/>
          <w:numId w:val="0"/>
        </w:numPr>
        <w:rPr>
          <w:sz w:val="22"/>
          <w:szCs w:val="22"/>
          <w:lang w:val="es-ES"/>
        </w:rPr>
      </w:pPr>
    </w:p>
    <w:p w14:paraId="31E5813D" w14:textId="77777777" w:rsidR="00FB18AB" w:rsidRPr="00B57EBA" w:rsidRDefault="00FB18AB" w:rsidP="00FB18AB">
      <w:pPr>
        <w:pStyle w:val="Firstnumbering"/>
        <w:rPr>
          <w:sz w:val="22"/>
          <w:szCs w:val="22"/>
          <w:lang w:val="es-ES"/>
        </w:rPr>
      </w:pPr>
      <w:r w:rsidRPr="00B57EBA">
        <w:rPr>
          <w:sz w:val="22"/>
          <w:szCs w:val="22"/>
          <w:lang w:val="es-ES"/>
        </w:rPr>
        <w:t xml:space="preserve">Debido a la creciente implantación de parques eólicos marinos en todo el mundo, es fundamental colaborar y compartir información, sobre todo de innovadoras evaluaciones de riesgo que se puedan aplicar en otros lugares. </w:t>
      </w:r>
    </w:p>
    <w:p w14:paraId="2A82C880" w14:textId="77777777" w:rsidR="004641A5" w:rsidRPr="00B57EBA" w:rsidRDefault="004641A5" w:rsidP="004641A5">
      <w:pPr>
        <w:ind w:left="567" w:hanging="567"/>
        <w:jc w:val="both"/>
        <w:rPr>
          <w:rFonts w:cs="Arial"/>
          <w:lang w:val="es-ES"/>
        </w:rPr>
      </w:pPr>
    </w:p>
    <w:p w14:paraId="3668C89D" w14:textId="5FBB87F4" w:rsidR="00F726EB" w:rsidRPr="00B57EBA" w:rsidRDefault="00F726EB" w:rsidP="00C36EF8">
      <w:pPr>
        <w:suppressAutoHyphens/>
        <w:autoSpaceDE w:val="0"/>
        <w:autoSpaceDN w:val="0"/>
        <w:jc w:val="both"/>
        <w:textAlignment w:val="baseline"/>
        <w:rPr>
          <w:rFonts w:cs="Arial"/>
          <w:u w:val="single"/>
          <w:lang w:val="es-ES"/>
        </w:rPr>
      </w:pPr>
      <w:r w:rsidRPr="00B57EBA">
        <w:rPr>
          <w:rFonts w:cs="Arial"/>
          <w:u w:val="single"/>
          <w:lang w:val="es-ES"/>
        </w:rPr>
        <w:t>Acciones recomendadas</w:t>
      </w:r>
    </w:p>
    <w:p w14:paraId="100B05CE" w14:textId="77777777" w:rsidR="00F726EB" w:rsidRPr="00B57EBA" w:rsidRDefault="00F726EB" w:rsidP="00C36EF8">
      <w:pPr>
        <w:suppressAutoHyphens/>
        <w:autoSpaceDE w:val="0"/>
        <w:autoSpaceDN w:val="0"/>
        <w:jc w:val="both"/>
        <w:textAlignment w:val="baseline"/>
        <w:rPr>
          <w:rFonts w:cs="Arial"/>
          <w:lang w:val="es-ES"/>
        </w:rPr>
      </w:pPr>
    </w:p>
    <w:p w14:paraId="39678892" w14:textId="1309011A" w:rsidR="00C36EF8" w:rsidRPr="00B57EBA" w:rsidRDefault="00C36EF8" w:rsidP="00920A24">
      <w:pPr>
        <w:pStyle w:val="Firstnumbering"/>
        <w:ind w:left="540" w:hanging="540"/>
        <w:rPr>
          <w:sz w:val="22"/>
          <w:szCs w:val="22"/>
          <w:lang w:val="es-ES"/>
        </w:rPr>
      </w:pPr>
      <w:r w:rsidRPr="00B57EBA">
        <w:rPr>
          <w:sz w:val="22"/>
          <w:szCs w:val="22"/>
          <w:lang w:val="es-ES"/>
        </w:rPr>
        <w:t>Se recomienda al Comité del período de sesiones del Consejo Científico que:</w:t>
      </w:r>
    </w:p>
    <w:p w14:paraId="467F5FE3" w14:textId="77777777" w:rsidR="003056E1" w:rsidRPr="00B57EBA" w:rsidRDefault="003056E1" w:rsidP="003056E1">
      <w:pPr>
        <w:pStyle w:val="Firstnumbering"/>
        <w:numPr>
          <w:ilvl w:val="0"/>
          <w:numId w:val="0"/>
        </w:numPr>
        <w:ind w:left="540"/>
        <w:rPr>
          <w:sz w:val="22"/>
          <w:szCs w:val="22"/>
          <w:lang w:val="es-ES"/>
        </w:rPr>
      </w:pPr>
    </w:p>
    <w:p w14:paraId="7652A3AC" w14:textId="72E14090" w:rsidR="004641A5" w:rsidRPr="00B57EBA" w:rsidRDefault="00C36EF8" w:rsidP="003056E1">
      <w:pPr>
        <w:pStyle w:val="ListParagraph"/>
        <w:numPr>
          <w:ilvl w:val="0"/>
          <w:numId w:val="20"/>
        </w:numPr>
        <w:ind w:left="900"/>
        <w:rPr>
          <w:rFonts w:ascii="Arial" w:hAnsi="Arial" w:cs="Arial"/>
          <w:sz w:val="22"/>
          <w:szCs w:val="22"/>
          <w:lang w:val="es-ES"/>
        </w:rPr>
      </w:pPr>
      <w:r w:rsidRPr="00B57EBA">
        <w:rPr>
          <w:rFonts w:ascii="Arial" w:hAnsi="Arial" w:cs="Arial"/>
          <w:sz w:val="22"/>
          <w:szCs w:val="22"/>
          <w:lang w:val="es-ES"/>
        </w:rPr>
        <w:t>tome nota del presente documento; y</w:t>
      </w:r>
    </w:p>
    <w:p w14:paraId="31B99BB8" w14:textId="77777777" w:rsidR="003056E1" w:rsidRPr="00B57EBA" w:rsidRDefault="003056E1" w:rsidP="003056E1">
      <w:pPr>
        <w:pStyle w:val="ListParagraph"/>
        <w:ind w:left="900" w:hanging="360"/>
        <w:rPr>
          <w:rFonts w:ascii="Arial" w:hAnsi="Arial" w:cs="Arial"/>
          <w:sz w:val="22"/>
          <w:szCs w:val="22"/>
          <w:lang w:val="es-ES"/>
        </w:rPr>
      </w:pPr>
    </w:p>
    <w:p w14:paraId="730EB552" w14:textId="77777777" w:rsidR="004276A3" w:rsidRPr="00B57EBA" w:rsidRDefault="004276A3" w:rsidP="003056E1">
      <w:pPr>
        <w:pStyle w:val="Secondnumbering"/>
        <w:numPr>
          <w:ilvl w:val="0"/>
          <w:numId w:val="20"/>
        </w:numPr>
        <w:ind w:left="900"/>
        <w:rPr>
          <w:rFonts w:cs="Arial"/>
          <w:color w:val="000000" w:themeColor="text1"/>
          <w:lang w:val="es-ES"/>
        </w:rPr>
      </w:pPr>
      <w:r w:rsidRPr="00B57EBA">
        <w:rPr>
          <w:rFonts w:cs="Arial"/>
          <w:color w:val="000000" w:themeColor="text1"/>
          <w:lang w:val="es-ES"/>
        </w:rPr>
        <w:t>comparta la evaluación de riesgos ecológicos (Anexo 1) con el Grupo de Trabajo sobre Energía de la CMS.</w:t>
      </w:r>
    </w:p>
    <w:p w14:paraId="7E002107" w14:textId="77777777" w:rsidR="0068719C" w:rsidRPr="00B57EBA" w:rsidRDefault="0068719C" w:rsidP="00F650A9">
      <w:pPr>
        <w:rPr>
          <w:rFonts w:cs="Arial"/>
          <w:lang w:val="es-ES"/>
        </w:rPr>
      </w:pPr>
    </w:p>
    <w:p w14:paraId="64DB248D" w14:textId="77777777" w:rsidR="00294633" w:rsidRPr="00D2187B" w:rsidRDefault="00294633">
      <w:pPr>
        <w:rPr>
          <w:rFonts w:cs="Arial"/>
          <w:u w:val="single"/>
          <w:lang w:val="es-ES"/>
        </w:rPr>
      </w:pPr>
      <w:r w:rsidRPr="00D2187B">
        <w:rPr>
          <w:rFonts w:cs="Arial"/>
          <w:u w:val="single"/>
          <w:lang w:val="es-ES"/>
        </w:rPr>
        <w:br w:type="page"/>
      </w:r>
    </w:p>
    <w:p w14:paraId="76A055BA" w14:textId="173B9BF8" w:rsidR="00F650A9" w:rsidRPr="00294633" w:rsidRDefault="00F650A9" w:rsidP="00F650A9">
      <w:pPr>
        <w:rPr>
          <w:rFonts w:cs="Arial"/>
          <w:u w:val="single"/>
        </w:rPr>
      </w:pPr>
      <w:proofErr w:type="spellStart"/>
      <w:r w:rsidRPr="00294633">
        <w:rPr>
          <w:rFonts w:cs="Arial"/>
          <w:u w:val="single"/>
        </w:rPr>
        <w:lastRenderedPageBreak/>
        <w:t>Referenc</w:t>
      </w:r>
      <w:r w:rsidR="00294633">
        <w:rPr>
          <w:rFonts w:cs="Arial"/>
          <w:u w:val="single"/>
        </w:rPr>
        <w:t>ias</w:t>
      </w:r>
      <w:proofErr w:type="spellEnd"/>
    </w:p>
    <w:p w14:paraId="1116CE70" w14:textId="77777777" w:rsidR="00F726EB" w:rsidRPr="00294633" w:rsidRDefault="00F726EB" w:rsidP="00F650A9">
      <w:pPr>
        <w:rPr>
          <w:rFonts w:cs="Arial"/>
        </w:rPr>
      </w:pPr>
    </w:p>
    <w:p w14:paraId="4ACB50CD" w14:textId="53E64C30" w:rsidR="00D1390A" w:rsidRPr="00294633" w:rsidRDefault="00F650A9" w:rsidP="00294633">
      <w:pPr>
        <w:ind w:left="720" w:hanging="720"/>
        <w:jc w:val="both"/>
        <w:rPr>
          <w:rFonts w:cs="Arial"/>
        </w:rPr>
      </w:pPr>
      <w:r w:rsidRPr="00294633">
        <w:rPr>
          <w:rFonts w:cs="Arial"/>
        </w:rPr>
        <w:t xml:space="preserve">Australian Government, 1999. </w:t>
      </w:r>
      <w:hyperlink r:id="rId11" w:history="1">
        <w:r w:rsidRPr="00294633">
          <w:rPr>
            <w:rStyle w:val="Hyperlink"/>
            <w:rFonts w:cs="Arial"/>
          </w:rPr>
          <w:t>Environment Protection and Biodiversity Conservation Act 1999</w:t>
        </w:r>
      </w:hyperlink>
      <w:r w:rsidRPr="00294633">
        <w:rPr>
          <w:rFonts w:cs="Arial"/>
        </w:rPr>
        <w:t>, Canberra, Australia.</w:t>
      </w:r>
    </w:p>
    <w:p w14:paraId="4620A091" w14:textId="0075CD7B" w:rsidR="00D1390A" w:rsidRPr="00294633" w:rsidRDefault="00F650A9" w:rsidP="00294633">
      <w:pPr>
        <w:ind w:left="720" w:hanging="720"/>
        <w:jc w:val="both"/>
        <w:rPr>
          <w:rFonts w:cs="Arial"/>
        </w:rPr>
      </w:pPr>
      <w:r w:rsidRPr="00294633">
        <w:rPr>
          <w:rFonts w:cs="Arial"/>
        </w:rPr>
        <w:t xml:space="preserve">DCCEEW, 2022. </w:t>
      </w:r>
      <w:hyperlink r:id="rId12" w:anchor=":~:text=on%20Wind%20Turbines-,Area%20in%20Bass%20Strait%20off%20Gippsland%20declared%20suitable%20for%20offshore,energy%20on%2019%20December%202022." w:history="1">
        <w:r w:rsidRPr="00294633">
          <w:rPr>
            <w:rStyle w:val="Hyperlink"/>
            <w:rFonts w:cs="Arial"/>
          </w:rPr>
          <w:t>Area in Bass Strait off Gippsland declared suitable for offshore renewable energy.</w:t>
        </w:r>
      </w:hyperlink>
      <w:r w:rsidRPr="00294633">
        <w:rPr>
          <w:rFonts w:cs="Arial"/>
        </w:rPr>
        <w:t xml:space="preserve"> Department of Climate Change, Energy, the Environment and Water, Canberra, Australia.</w:t>
      </w:r>
    </w:p>
    <w:p w14:paraId="1BB13CCC" w14:textId="3B56D5C7" w:rsidR="00D1390A" w:rsidRPr="00294633" w:rsidRDefault="00F650A9" w:rsidP="00294633">
      <w:pPr>
        <w:ind w:left="720" w:hanging="720"/>
        <w:jc w:val="both"/>
        <w:rPr>
          <w:rFonts w:cs="Arial"/>
        </w:rPr>
      </w:pPr>
      <w:r w:rsidRPr="00294633">
        <w:rPr>
          <w:rFonts w:cs="Arial"/>
        </w:rPr>
        <w:t xml:space="preserve">NOPSEMA, 2023. </w:t>
      </w:r>
      <w:hyperlink r:id="rId13" w:history="1">
        <w:r w:rsidRPr="00294633">
          <w:rPr>
            <w:rStyle w:val="Hyperlink"/>
            <w:rFonts w:cs="Arial"/>
          </w:rPr>
          <w:t>NOPSEMA research strategy 2023–2025</w:t>
        </w:r>
      </w:hyperlink>
      <w:r w:rsidRPr="00294633">
        <w:rPr>
          <w:rFonts w:cs="Arial"/>
        </w:rPr>
        <w:t>. National Offshore Petroleum Safety and Environmental Management Authority, Perth, Australia.</w:t>
      </w:r>
    </w:p>
    <w:p w14:paraId="73E0908B" w14:textId="77777777" w:rsidR="00F650A9" w:rsidRPr="00D2187B" w:rsidRDefault="00F650A9" w:rsidP="00294633">
      <w:pPr>
        <w:ind w:left="720" w:hanging="720"/>
        <w:jc w:val="both"/>
        <w:rPr>
          <w:rFonts w:cs="Arial"/>
          <w:lang w:val="es-ES"/>
        </w:rPr>
      </w:pPr>
      <w:r w:rsidRPr="00294633">
        <w:rPr>
          <w:rFonts w:cs="Arial"/>
        </w:rPr>
        <w:t xml:space="preserve">Reid, K., Baker, G.B. and </w:t>
      </w:r>
      <w:proofErr w:type="spellStart"/>
      <w:r w:rsidRPr="00294633">
        <w:rPr>
          <w:rFonts w:cs="Arial"/>
        </w:rPr>
        <w:t>Woehler</w:t>
      </w:r>
      <w:proofErr w:type="spellEnd"/>
      <w:r w:rsidRPr="00294633">
        <w:rPr>
          <w:rFonts w:cs="Arial"/>
        </w:rPr>
        <w:t xml:space="preserve">, E.J., 2023. An ecological risk assessment for the impacts of offshore wind farms on birds in Australia. </w:t>
      </w:r>
      <w:r w:rsidRPr="00D2187B">
        <w:rPr>
          <w:rFonts w:cs="Arial"/>
          <w:i/>
          <w:iCs/>
          <w:lang w:val="es-ES"/>
        </w:rPr>
        <w:t>Austral Ecology</w:t>
      </w:r>
      <w:r w:rsidRPr="00D2187B">
        <w:rPr>
          <w:rFonts w:cs="Arial"/>
          <w:lang w:val="es-ES"/>
        </w:rPr>
        <w:t xml:space="preserve"> 2023:00: 1–22. </w:t>
      </w:r>
      <w:hyperlink r:id="rId14" w:history="1">
        <w:r w:rsidRPr="00D2187B">
          <w:rPr>
            <w:rStyle w:val="Hyperlink"/>
            <w:rFonts w:cs="Arial"/>
            <w:lang w:val="es-ES"/>
          </w:rPr>
          <w:t>https://doi.org/10.1111/aec.13278</w:t>
        </w:r>
      </w:hyperlink>
      <w:r w:rsidRPr="00D2187B">
        <w:rPr>
          <w:rFonts w:cs="Arial"/>
          <w:lang w:val="es-ES"/>
        </w:rPr>
        <w:t>.</w:t>
      </w:r>
    </w:p>
    <w:p w14:paraId="4447A7E8" w14:textId="77777777" w:rsidR="00F650A9" w:rsidRPr="00D2187B" w:rsidRDefault="00F650A9" w:rsidP="00D1390A">
      <w:pPr>
        <w:pStyle w:val="Secondnumbering"/>
        <w:numPr>
          <w:ilvl w:val="0"/>
          <w:numId w:val="0"/>
        </w:numPr>
        <w:ind w:left="720" w:hanging="720"/>
        <w:rPr>
          <w:rFonts w:cs="Arial"/>
          <w:color w:val="000000" w:themeColor="text1"/>
          <w:lang w:val="es-ES"/>
        </w:rPr>
      </w:pPr>
    </w:p>
    <w:p w14:paraId="40D991D3" w14:textId="77777777" w:rsidR="005872F6" w:rsidRPr="00D2187B" w:rsidRDefault="005872F6" w:rsidP="003C1A96">
      <w:pPr>
        <w:suppressAutoHyphens/>
        <w:rPr>
          <w:rFonts w:eastAsia="Times New Roman" w:cs="Arial"/>
          <w:color w:val="000000"/>
          <w:kern w:val="2"/>
          <w:highlight w:val="yellow"/>
          <w:lang w:val="es-ES"/>
        </w:rPr>
      </w:pPr>
    </w:p>
    <w:p w14:paraId="3014C1BE" w14:textId="5B2D8B1C" w:rsidR="00070FEE" w:rsidRPr="00D2187B" w:rsidRDefault="00070FEE" w:rsidP="003C1A96">
      <w:pPr>
        <w:suppressAutoHyphens/>
        <w:rPr>
          <w:rFonts w:eastAsia="Times New Roman" w:cs="Arial"/>
          <w:color w:val="000000"/>
          <w:kern w:val="2"/>
          <w:highlight w:val="yellow"/>
          <w:lang w:val="es-ES"/>
        </w:rPr>
      </w:pPr>
    </w:p>
    <w:p w14:paraId="44C27E5A" w14:textId="77777777" w:rsidR="00E556C2" w:rsidRPr="00D2187B" w:rsidRDefault="00E556C2">
      <w:pPr>
        <w:rPr>
          <w:rFonts w:eastAsia="Times New Roman" w:cs="Arial"/>
          <w:color w:val="000000"/>
          <w:kern w:val="2"/>
          <w:highlight w:val="yellow"/>
          <w:lang w:val="es-ES"/>
        </w:rPr>
        <w:sectPr w:rsidR="00E556C2" w:rsidRPr="00D2187B" w:rsidSect="00AA5635">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630" w:footer="302" w:gutter="0"/>
          <w:cols w:space="720"/>
          <w:titlePg/>
          <w:docGrid w:linePitch="360"/>
        </w:sectPr>
      </w:pPr>
    </w:p>
    <w:p w14:paraId="43AB8516" w14:textId="77777777" w:rsidR="00595E90" w:rsidRPr="00D2187B" w:rsidRDefault="00595E90" w:rsidP="003C1A96">
      <w:pPr>
        <w:suppressAutoHyphens/>
        <w:rPr>
          <w:rFonts w:eastAsia="Times New Roman" w:cs="Arial"/>
          <w:color w:val="000000"/>
          <w:kern w:val="2"/>
          <w:highlight w:val="yellow"/>
          <w:lang w:val="es-ES"/>
        </w:rPr>
      </w:pPr>
    </w:p>
    <w:p w14:paraId="50E957A2" w14:textId="59521334" w:rsidR="00595E90" w:rsidRPr="00272E3F" w:rsidRDefault="00537A8F" w:rsidP="00E556C2">
      <w:pPr>
        <w:suppressAutoHyphens/>
        <w:jc w:val="right"/>
        <w:rPr>
          <w:rFonts w:eastAsia="Times New Roman" w:cs="Arial"/>
          <w:b/>
          <w:bCs/>
          <w:color w:val="000000"/>
          <w:kern w:val="2"/>
          <w:u w:val="single"/>
          <w:lang w:val="es-ES"/>
        </w:rPr>
      </w:pPr>
      <w:r w:rsidRPr="00272E3F">
        <w:rPr>
          <w:rFonts w:eastAsia="Times New Roman" w:cs="Arial"/>
          <w:b/>
          <w:bCs/>
          <w:color w:val="000000"/>
          <w:kern w:val="2"/>
          <w:lang w:val="es-ES"/>
        </w:rPr>
        <w:t>ANEX</w:t>
      </w:r>
      <w:r w:rsidR="00294633" w:rsidRPr="00272E3F">
        <w:rPr>
          <w:rFonts w:eastAsia="Times New Roman" w:cs="Arial"/>
          <w:b/>
          <w:bCs/>
          <w:color w:val="000000"/>
          <w:kern w:val="2"/>
          <w:lang w:val="es-ES"/>
        </w:rPr>
        <w:t>O</w:t>
      </w:r>
    </w:p>
    <w:p w14:paraId="2E44B8F3" w14:textId="1D78190C" w:rsidR="00595E90" w:rsidRPr="00272E3F" w:rsidRDefault="00595E90" w:rsidP="003C1A96">
      <w:pPr>
        <w:suppressAutoHyphens/>
        <w:rPr>
          <w:rFonts w:eastAsia="Times New Roman" w:cs="Arial"/>
          <w:b/>
          <w:bCs/>
          <w:color w:val="000000"/>
          <w:kern w:val="2"/>
          <w:u w:val="single"/>
          <w:lang w:val="es-ES"/>
        </w:rPr>
      </w:pPr>
    </w:p>
    <w:p w14:paraId="6C60CF1C" w14:textId="77777777" w:rsidR="00537A8F" w:rsidRPr="00272E3F" w:rsidRDefault="00537A8F" w:rsidP="003C1A96">
      <w:pPr>
        <w:suppressAutoHyphens/>
        <w:rPr>
          <w:rFonts w:eastAsia="Times New Roman" w:cs="Arial"/>
          <w:color w:val="000000"/>
          <w:kern w:val="2"/>
          <w:lang w:val="es-ES"/>
        </w:rPr>
      </w:pPr>
    </w:p>
    <w:p w14:paraId="0499CFFF" w14:textId="54DF3AB4" w:rsidR="00595E90" w:rsidRPr="00272E3F" w:rsidRDefault="00272E3F" w:rsidP="00272E3F">
      <w:pPr>
        <w:suppressAutoHyphens/>
        <w:jc w:val="both"/>
        <w:rPr>
          <w:rFonts w:eastAsia="Times New Roman" w:cs="Arial"/>
          <w:b/>
          <w:bCs/>
          <w:color w:val="000000"/>
          <w:kern w:val="2"/>
          <w:u w:val="single"/>
          <w:lang w:val="es-ES"/>
        </w:rPr>
      </w:pPr>
      <w:r w:rsidRPr="00272E3F">
        <w:rPr>
          <w:rFonts w:eastAsia="Times New Roman" w:cs="Arial"/>
          <w:i/>
          <w:iCs/>
          <w:color w:val="000000"/>
          <w:kern w:val="2"/>
          <w:lang w:val="es-ES"/>
        </w:rPr>
        <w:t>Haga clic en el enlace de acceso abierto que figura a continuación para acceder al artículo completo</w:t>
      </w:r>
    </w:p>
    <w:p w14:paraId="2935B870" w14:textId="6A2330F9" w:rsidR="00595E90" w:rsidRPr="00D2187B" w:rsidRDefault="00D2187B" w:rsidP="003C1A96">
      <w:pPr>
        <w:suppressAutoHyphens/>
        <w:rPr>
          <w:rFonts w:cs="Arial"/>
          <w:lang w:val="es-ES"/>
        </w:rPr>
      </w:pPr>
      <w:hyperlink r:id="rId21" w:history="1">
        <w:r w:rsidR="00595E90" w:rsidRPr="00D2187B">
          <w:rPr>
            <w:rStyle w:val="Hyperlink"/>
            <w:rFonts w:cs="Arial"/>
            <w:lang w:val="es-ES"/>
          </w:rPr>
          <w:t>https://onlinelibrary.wiley.com/doi/full/10.1111/aec.13278</w:t>
        </w:r>
      </w:hyperlink>
    </w:p>
    <w:p w14:paraId="631AB498" w14:textId="50839641" w:rsidR="00595E90" w:rsidRPr="00D2187B" w:rsidRDefault="00595E90" w:rsidP="003C1A96">
      <w:pPr>
        <w:suppressAutoHyphens/>
        <w:rPr>
          <w:rFonts w:cs="Arial"/>
          <w:lang w:val="es-ES"/>
        </w:rPr>
      </w:pPr>
    </w:p>
    <w:p w14:paraId="22D040D4" w14:textId="162A5987" w:rsidR="00D26471" w:rsidRPr="00D2187B" w:rsidRDefault="00D26471" w:rsidP="00D26471">
      <w:pPr>
        <w:rPr>
          <w:rFonts w:cs="Arial"/>
          <w:lang w:val="es-ES"/>
        </w:rPr>
      </w:pPr>
    </w:p>
    <w:sectPr w:rsidR="00D26471" w:rsidRPr="00D2187B" w:rsidSect="004641A5">
      <w:headerReference w:type="first" r:id="rId22"/>
      <w:footerReference w:type="first" r:id="rId23"/>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F8D9" w14:textId="77777777" w:rsidR="00773B18" w:rsidRDefault="00773B18" w:rsidP="008562CA">
      <w:r>
        <w:separator/>
      </w:r>
    </w:p>
  </w:endnote>
  <w:endnote w:type="continuationSeparator" w:id="0">
    <w:p w14:paraId="41CF7E7D" w14:textId="77777777" w:rsidR="00773B18" w:rsidRDefault="00773B18" w:rsidP="008562CA">
      <w:r>
        <w:continuationSeparator/>
      </w:r>
    </w:p>
  </w:endnote>
  <w:endnote w:type="continuationNotice" w:id="1">
    <w:p w14:paraId="05834212" w14:textId="77777777" w:rsidR="00773B18" w:rsidRDefault="00773B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067" w14:textId="77777777" w:rsidR="001F56E8" w:rsidRPr="004641A5" w:rsidRDefault="001F56E8" w:rsidP="001F56E8">
    <w:pPr>
      <w:pStyle w:val="Footer"/>
      <w:jc w:val="center"/>
      <w:rPr>
        <w:sz w:val="18"/>
        <w:szCs w:val="18"/>
      </w:rPr>
    </w:pPr>
    <w:r w:rsidRPr="004641A5">
      <w:rPr>
        <w:sz w:val="18"/>
        <w:szCs w:val="18"/>
      </w:rPr>
      <w:fldChar w:fldCharType="begin"/>
    </w:r>
    <w:r w:rsidRPr="004641A5">
      <w:rPr>
        <w:sz w:val="18"/>
        <w:szCs w:val="18"/>
      </w:rPr>
      <w:instrText xml:space="preserve"> PAGE   \* MERGEFORMAT </w:instrText>
    </w:r>
    <w:r w:rsidRPr="004641A5">
      <w:rPr>
        <w:sz w:val="18"/>
        <w:szCs w:val="18"/>
      </w:rPr>
      <w:fldChar w:fldCharType="separate"/>
    </w:r>
    <w:r w:rsidR="00A40CC0" w:rsidRPr="004641A5">
      <w:rPr>
        <w:noProof/>
        <w:sz w:val="18"/>
        <w:szCs w:val="18"/>
      </w:rPr>
      <w:t>2</w:t>
    </w:r>
    <w:r w:rsidRPr="004641A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rPr>
        </w:pPr>
        <w:r w:rsidRPr="004641A5">
          <w:rPr>
            <w:sz w:val="18"/>
            <w:szCs w:val="18"/>
          </w:rPr>
          <w:fldChar w:fldCharType="begin"/>
        </w:r>
        <w:r w:rsidRPr="004641A5">
          <w:rPr>
            <w:sz w:val="18"/>
            <w:szCs w:val="18"/>
          </w:rPr>
          <w:instrText xml:space="preserve"> PAGE   \* MERGEFORMAT </w:instrText>
        </w:r>
        <w:r w:rsidRPr="004641A5">
          <w:rPr>
            <w:sz w:val="18"/>
            <w:szCs w:val="18"/>
          </w:rPr>
          <w:fldChar w:fldCharType="separate"/>
        </w:r>
        <w:r w:rsidR="00A40CC0" w:rsidRPr="004641A5">
          <w:rPr>
            <w:noProof/>
            <w:sz w:val="18"/>
            <w:szCs w:val="18"/>
          </w:rPr>
          <w:t>3</w:t>
        </w:r>
        <w:r w:rsidRPr="004641A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3301" w14:textId="77777777" w:rsidR="00901EA4" w:rsidRDefault="00901E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5165" w14:textId="4D30652B" w:rsidR="001D684B" w:rsidRPr="001D684B" w:rsidRDefault="001D684B">
    <w:pPr>
      <w:pStyle w:val="Footer"/>
      <w:jc w:val="center"/>
      <w:rPr>
        <w:sz w:val="18"/>
        <w:szCs w:val="18"/>
      </w:rP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A232" w14:textId="77777777" w:rsidR="00773B18" w:rsidRDefault="00773B18" w:rsidP="008562CA">
      <w:r>
        <w:separator/>
      </w:r>
    </w:p>
  </w:footnote>
  <w:footnote w:type="continuationSeparator" w:id="0">
    <w:p w14:paraId="1907F9A2" w14:textId="77777777" w:rsidR="00773B18" w:rsidRDefault="00773B18" w:rsidP="008562CA">
      <w:r>
        <w:continuationSeparator/>
      </w:r>
    </w:p>
  </w:footnote>
  <w:footnote w:type="continuationNotice" w:id="1">
    <w:p w14:paraId="45C45ACD" w14:textId="77777777" w:rsidR="00773B18" w:rsidRDefault="00773B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460FA8C9" w:rsidR="004641A5" w:rsidRPr="004641A5" w:rsidRDefault="004641A5" w:rsidP="004641A5">
    <w:pPr>
      <w:pBdr>
        <w:bottom w:val="single" w:sz="4" w:space="1" w:color="auto"/>
      </w:pBdr>
      <w:rPr>
        <w:rFonts w:cs="Arial"/>
        <w:i/>
        <w:iCs/>
        <w:sz w:val="18"/>
        <w:szCs w:val="18"/>
        <w:lang w:val="en-GB"/>
      </w:rPr>
    </w:pPr>
    <w:r w:rsidRPr="004641A5">
      <w:rPr>
        <w:rFonts w:cs="Arial"/>
        <w:i/>
        <w:iCs/>
        <w:sz w:val="18"/>
        <w:szCs w:val="18"/>
        <w:lang w:val="es-ES"/>
      </w:rPr>
      <w:t>UNEP/CMS/ScC-SC6/Doc.12.3.2.2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BD31" w14:textId="64197054" w:rsidR="004641A5" w:rsidRPr="004641A5" w:rsidRDefault="004641A5" w:rsidP="004641A5">
    <w:pPr>
      <w:pBdr>
        <w:bottom w:val="single" w:sz="4" w:space="1" w:color="auto"/>
      </w:pBdr>
      <w:jc w:val="right"/>
      <w:rPr>
        <w:rFonts w:cs="Arial"/>
        <w:i/>
        <w:iCs/>
        <w:sz w:val="18"/>
        <w:szCs w:val="18"/>
        <w:lang w:val="en-GB"/>
      </w:rPr>
    </w:pPr>
    <w:r w:rsidRPr="004641A5">
      <w:rPr>
        <w:rFonts w:cs="Arial"/>
        <w:i/>
        <w:iCs/>
        <w:sz w:val="18"/>
        <w:szCs w:val="18"/>
        <w:lang w:val="es-ES"/>
      </w:rPr>
      <w:t>UNEP/CMS/ScC-SC6/Doc.12.3.2.2</w:t>
    </w:r>
  </w:p>
  <w:p w14:paraId="60534E8A" w14:textId="77777777" w:rsidR="004641A5" w:rsidRDefault="00464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D339" w14:textId="1CFA5A58" w:rsidR="0026210D" w:rsidRDefault="0026210D" w:rsidP="00294633">
    <w:pPr>
      <w:tabs>
        <w:tab w:val="left" w:pos="-720"/>
        <w:tab w:val="left" w:pos="310"/>
        <w:tab w:val="left" w:pos="1080"/>
      </w:tabs>
      <w:ind w:right="1123"/>
      <w:jc w:val="both"/>
    </w:pPr>
    <w:r>
      <w:rPr>
        <w:noProof/>
      </w:rPr>
      <mc:AlternateContent>
        <mc:Choice Requires="wps">
          <w:drawing>
            <wp:anchor distT="45720" distB="45720" distL="114300" distR="114300" simplePos="0" relativeHeight="251660288" behindDoc="0" locked="0" layoutInCell="1" allowOverlap="1" wp14:anchorId="1B8FA8B2" wp14:editId="7147637E">
              <wp:simplePos x="0" y="0"/>
              <wp:positionH relativeFrom="column">
                <wp:posOffset>895350</wp:posOffset>
              </wp:positionH>
              <wp:positionV relativeFrom="paragraph">
                <wp:posOffset>290830</wp:posOffset>
              </wp:positionV>
              <wp:extent cx="4583430" cy="558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97DD62B" w14:textId="77777777" w:rsidR="0026210D" w:rsidRPr="008C639C" w:rsidRDefault="0026210D" w:rsidP="0026210D">
                          <w:pPr>
                            <w:rPr>
                              <w:rFonts w:cs="Arial"/>
                              <w:b/>
                              <w:spacing w:val="9"/>
                              <w:sz w:val="32"/>
                              <w:szCs w:val="33"/>
                              <w:lang w:val="es-ES"/>
                            </w:rPr>
                          </w:pPr>
                          <w:r w:rsidRPr="008C639C">
                            <w:rPr>
                              <w:rFonts w:cs="Arial"/>
                              <w:b/>
                              <w:spacing w:val="9"/>
                              <w:sz w:val="32"/>
                              <w:szCs w:val="33"/>
                              <w:lang w:val="es-ES"/>
                            </w:rPr>
                            <w:t>Convención sobre la conservación de las</w:t>
                          </w:r>
                        </w:p>
                        <w:p w14:paraId="0B8DE3A0" w14:textId="77777777" w:rsidR="0026210D" w:rsidRPr="0037111C" w:rsidRDefault="0026210D" w:rsidP="0026210D">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FA8B2" id="_x0000_t202" coordsize="21600,21600" o:spt="202" path="m,l,21600r21600,l21600,xe">
              <v:stroke joinstyle="miter"/>
              <v:path gradientshapeok="t" o:connecttype="rect"/>
            </v:shapetype>
            <v:shape id="Text Box 2" o:spid="_x0000_s1027" type="#_x0000_t202" style="position:absolute;left:0;text-align:left;margin-left:70.5pt;margin-top:22.9pt;width:360.9pt;height:4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" filled="f" stroked="f" strokeweight="0">
              <v:textbox style="mso-fit-shape-to-text:t">
                <w:txbxContent>
                  <w:p w14:paraId="197DD62B" w14:textId="77777777" w:rsidR="0026210D" w:rsidRPr="008C639C" w:rsidRDefault="0026210D" w:rsidP="0026210D">
                    <w:pPr>
                      <w:rPr>
                        <w:rFonts w:cs="Arial"/>
                        <w:b/>
                        <w:spacing w:val="9"/>
                        <w:sz w:val="32"/>
                        <w:szCs w:val="33"/>
                        <w:lang w:val="es-ES"/>
                      </w:rPr>
                    </w:pPr>
                    <w:r w:rsidRPr="008C639C">
                      <w:rPr>
                        <w:rFonts w:cs="Arial"/>
                        <w:b/>
                        <w:spacing w:val="9"/>
                        <w:sz w:val="32"/>
                        <w:szCs w:val="33"/>
                        <w:lang w:val="es-ES"/>
                      </w:rPr>
                      <w:t>Convención sobre la conservación de las</w:t>
                    </w:r>
                  </w:p>
                  <w:p w14:paraId="0B8DE3A0" w14:textId="77777777" w:rsidR="0026210D" w:rsidRPr="0037111C" w:rsidRDefault="0026210D" w:rsidP="0026210D">
                    <w:pPr>
                      <w:rPr>
                        <w:rFonts w:cs="Arial"/>
                        <w:b/>
                        <w:spacing w:val="6"/>
                        <w:sz w:val="32"/>
                        <w:szCs w:val="33"/>
                      </w:rPr>
                    </w:pPr>
                    <w:proofErr w:type="spellStart"/>
                    <w:r w:rsidRPr="0037111C">
                      <w:rPr>
                        <w:rFonts w:cs="Arial"/>
                        <w:b/>
                        <w:sz w:val="32"/>
                        <w:szCs w:val="33"/>
                      </w:rPr>
                      <w:t>especies</w:t>
                    </w:r>
                    <w:proofErr w:type="spellEnd"/>
                    <w:r w:rsidRPr="0037111C">
                      <w:rPr>
                        <w:rFonts w:cs="Arial"/>
                        <w:b/>
                        <w:sz w:val="32"/>
                        <w:szCs w:val="33"/>
                      </w:rPr>
                      <w:t xml:space="preserve"> </w:t>
                    </w:r>
                    <w:proofErr w:type="spellStart"/>
                    <w:r w:rsidRPr="0037111C">
                      <w:rPr>
                        <w:rFonts w:cs="Arial"/>
                        <w:b/>
                        <w:sz w:val="32"/>
                        <w:szCs w:val="33"/>
                      </w:rPr>
                      <w:t>migratorias</w:t>
                    </w:r>
                    <w:proofErr w:type="spellEnd"/>
                    <w:r w:rsidRPr="0037111C">
                      <w:rPr>
                        <w:rFonts w:cs="Arial"/>
                        <w:b/>
                        <w:sz w:val="32"/>
                        <w:szCs w:val="33"/>
                      </w:rPr>
                      <w:t xml:space="preserve"> de </w:t>
                    </w:r>
                    <w:proofErr w:type="spellStart"/>
                    <w:r w:rsidRPr="0037111C">
                      <w:rPr>
                        <w:rFonts w:cs="Arial"/>
                        <w:b/>
                        <w:sz w:val="32"/>
                        <w:szCs w:val="33"/>
                      </w:rPr>
                      <w:t>animales</w:t>
                    </w:r>
                    <w:proofErr w:type="spellEnd"/>
                    <w:r w:rsidRPr="0037111C">
                      <w:rPr>
                        <w:rFonts w:cs="Arial"/>
                        <w:b/>
                        <w:sz w:val="32"/>
                        <w:szCs w:val="33"/>
                      </w:rPr>
                      <w:t xml:space="preserve"> </w:t>
                    </w:r>
                    <w:proofErr w:type="spellStart"/>
                    <w:r w:rsidRPr="0037111C">
                      <w:rPr>
                        <w:rFonts w:cs="Arial"/>
                        <w:b/>
                        <w:sz w:val="32"/>
                        <w:szCs w:val="33"/>
                      </w:rPr>
                      <w:t>silvestres</w:t>
                    </w:r>
                    <w:proofErr w:type="spellEnd"/>
                  </w:p>
                </w:txbxContent>
              </v:textbox>
              <w10:wrap type="square"/>
            </v:shape>
          </w:pict>
        </mc:Fallback>
      </mc:AlternateContent>
    </w:r>
    <w:r>
      <w:rPr>
        <w:noProof/>
      </w:rPr>
      <w:drawing>
        <wp:anchor distT="0" distB="0" distL="114300" distR="114300" simplePos="0" relativeHeight="251659264" behindDoc="1" locked="0" layoutInCell="1" allowOverlap="1" wp14:anchorId="5AC0C6C4" wp14:editId="30963FEB">
          <wp:simplePos x="0" y="0"/>
          <wp:positionH relativeFrom="column">
            <wp:posOffset>5587365</wp:posOffset>
          </wp:positionH>
          <wp:positionV relativeFrom="paragraph">
            <wp:posOffset>108585</wp:posOffset>
          </wp:positionV>
          <wp:extent cx="492125" cy="690880"/>
          <wp:effectExtent l="0" t="0" r="3175" b="0"/>
          <wp:wrapTight wrapText="bothSides">
            <wp:wrapPolygon edited="0">
              <wp:start x="0" y="0"/>
              <wp:lineTo x="0" y="20846"/>
              <wp:lineTo x="20903" y="20846"/>
              <wp:lineTo x="20903" y="0"/>
              <wp:lineTo x="0" y="0"/>
            </wp:wrapPolygon>
          </wp:wrapTight>
          <wp:docPr id="7" name="Picture 7"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s_logo-for_letterhea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5"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F1EF7BC" wp14:editId="3212A736">
          <wp:simplePos x="0" y="0"/>
          <wp:positionH relativeFrom="column">
            <wp:posOffset>-581660</wp:posOffset>
          </wp:positionH>
          <wp:positionV relativeFrom="paragraph">
            <wp:posOffset>-171450</wp:posOffset>
          </wp:positionV>
          <wp:extent cx="1266825" cy="1266825"/>
          <wp:effectExtent l="0" t="0" r="9525" b="9525"/>
          <wp:wrapTight wrapText="bothSides">
            <wp:wrapPolygon edited="0">
              <wp:start x="0" y="0"/>
              <wp:lineTo x="0" y="21438"/>
              <wp:lineTo x="21438" y="21438"/>
              <wp:lineTo x="214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nvironment_Logo_Spanish_Full_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D40E" w14:textId="3D9B7302" w:rsidR="00E556C2" w:rsidRPr="004641A5" w:rsidRDefault="00E556C2" w:rsidP="00901EA4">
    <w:pPr>
      <w:pBdr>
        <w:bottom w:val="single" w:sz="4" w:space="1" w:color="auto"/>
      </w:pBdr>
      <w:jc w:val="right"/>
      <w:rPr>
        <w:rFonts w:cs="Arial"/>
        <w:i/>
        <w:iCs/>
        <w:sz w:val="18"/>
        <w:szCs w:val="18"/>
        <w:lang w:val="en-GB"/>
      </w:rPr>
    </w:pPr>
    <w:r w:rsidRPr="004641A5">
      <w:rPr>
        <w:rFonts w:cs="Arial"/>
        <w:i/>
        <w:iCs/>
        <w:sz w:val="18"/>
        <w:szCs w:val="18"/>
        <w:lang w:val="es-ES"/>
      </w:rPr>
      <w:t>UNEP/CMS/ScC-SC6/Doc.12.3.2.2/Anexo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87B0D"/>
    <w:multiLevelType w:val="hybridMultilevel"/>
    <w:tmpl w:val="A1C0C35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554FF"/>
    <w:multiLevelType w:val="hybridMultilevel"/>
    <w:tmpl w:val="75525DA2"/>
    <w:lvl w:ilvl="0" w:tplc="6980E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0A526B"/>
    <w:multiLevelType w:val="hybridMultilevel"/>
    <w:tmpl w:val="3AD43FCE"/>
    <w:lvl w:ilvl="0" w:tplc="C44666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0C7C3A"/>
    <w:multiLevelType w:val="hybridMultilevel"/>
    <w:tmpl w:val="C6D6865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8"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638EA"/>
    <w:multiLevelType w:val="hybridMultilevel"/>
    <w:tmpl w:val="5D74A536"/>
    <w:lvl w:ilvl="0" w:tplc="FB404E3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7"/>
  </w:num>
  <w:num w:numId="2" w16cid:durableId="1330258007">
    <w:abstractNumId w:val="12"/>
  </w:num>
  <w:num w:numId="3" w16cid:durableId="216629081">
    <w:abstractNumId w:val="22"/>
  </w:num>
  <w:num w:numId="4" w16cid:durableId="2089496676">
    <w:abstractNumId w:val="11"/>
  </w:num>
  <w:num w:numId="5" w16cid:durableId="995305865">
    <w:abstractNumId w:val="7"/>
  </w:num>
  <w:num w:numId="6" w16cid:durableId="1591543126">
    <w:abstractNumId w:val="5"/>
  </w:num>
  <w:num w:numId="7" w16cid:durableId="1509979557">
    <w:abstractNumId w:val="20"/>
  </w:num>
  <w:num w:numId="8" w16cid:durableId="1284387885">
    <w:abstractNumId w:val="15"/>
  </w:num>
  <w:num w:numId="9" w16cid:durableId="1792672819">
    <w:abstractNumId w:val="10"/>
  </w:num>
  <w:num w:numId="10" w16cid:durableId="1602376025">
    <w:abstractNumId w:val="6"/>
  </w:num>
  <w:num w:numId="11" w16cid:durableId="583103219">
    <w:abstractNumId w:val="0"/>
  </w:num>
  <w:num w:numId="12" w16cid:durableId="764500067">
    <w:abstractNumId w:val="1"/>
  </w:num>
  <w:num w:numId="13" w16cid:durableId="241188056">
    <w:abstractNumId w:val="21"/>
  </w:num>
  <w:num w:numId="14" w16cid:durableId="1744138892">
    <w:abstractNumId w:val="13"/>
  </w:num>
  <w:num w:numId="15" w16cid:durableId="512185356">
    <w:abstractNumId w:val="14"/>
  </w:num>
  <w:num w:numId="16" w16cid:durableId="206646908">
    <w:abstractNumId w:val="4"/>
  </w:num>
  <w:num w:numId="17" w16cid:durableId="309864782">
    <w:abstractNumId w:val="18"/>
  </w:num>
  <w:num w:numId="18" w16cid:durableId="569925518">
    <w:abstractNumId w:val="16"/>
  </w:num>
  <w:num w:numId="19" w16cid:durableId="1092772899">
    <w:abstractNumId w:val="9"/>
  </w:num>
  <w:num w:numId="20" w16cid:durableId="172032948">
    <w:abstractNumId w:val="8"/>
  </w:num>
  <w:num w:numId="21" w16cid:durableId="574709241">
    <w:abstractNumId w:val="3"/>
  </w:num>
  <w:num w:numId="22" w16cid:durableId="1045375968">
    <w:abstractNumId w:val="19"/>
  </w:num>
  <w:num w:numId="23" w16cid:durableId="1855999009">
    <w:abstractNumId w:val="2"/>
  </w:num>
  <w:num w:numId="24" w16cid:durableId="2054109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yA2NzIyNbU0NDRU0lEKTi0uzszPAykwqgUAxTfdfiwAAAA="/>
  </w:docVars>
  <w:rsids>
    <w:rsidRoot w:val="008562CA"/>
    <w:rsid w:val="000014A9"/>
    <w:rsid w:val="000071F7"/>
    <w:rsid w:val="00034F7E"/>
    <w:rsid w:val="00051664"/>
    <w:rsid w:val="00062598"/>
    <w:rsid w:val="00063003"/>
    <w:rsid w:val="00070FEE"/>
    <w:rsid w:val="000A52F9"/>
    <w:rsid w:val="000C0E0A"/>
    <w:rsid w:val="000C2262"/>
    <w:rsid w:val="000F3BF7"/>
    <w:rsid w:val="000F4744"/>
    <w:rsid w:val="00136B41"/>
    <w:rsid w:val="0015723E"/>
    <w:rsid w:val="001628A5"/>
    <w:rsid w:val="001A2509"/>
    <w:rsid w:val="001B12B6"/>
    <w:rsid w:val="001B7C41"/>
    <w:rsid w:val="001D5985"/>
    <w:rsid w:val="001D684B"/>
    <w:rsid w:val="001F56E8"/>
    <w:rsid w:val="0020115E"/>
    <w:rsid w:val="0023618C"/>
    <w:rsid w:val="0026210D"/>
    <w:rsid w:val="00272E3F"/>
    <w:rsid w:val="002773AB"/>
    <w:rsid w:val="00291DC5"/>
    <w:rsid w:val="00294633"/>
    <w:rsid w:val="002B0F0B"/>
    <w:rsid w:val="002B4A40"/>
    <w:rsid w:val="002B4C8C"/>
    <w:rsid w:val="002E6CC4"/>
    <w:rsid w:val="002E7E18"/>
    <w:rsid w:val="002F2584"/>
    <w:rsid w:val="002F2A90"/>
    <w:rsid w:val="003056E1"/>
    <w:rsid w:val="003269EB"/>
    <w:rsid w:val="003A7C33"/>
    <w:rsid w:val="003B1260"/>
    <w:rsid w:val="003C0FC3"/>
    <w:rsid w:val="003C1A96"/>
    <w:rsid w:val="003D7753"/>
    <w:rsid w:val="004276A3"/>
    <w:rsid w:val="00445D56"/>
    <w:rsid w:val="004641A5"/>
    <w:rsid w:val="00490FF8"/>
    <w:rsid w:val="004A5159"/>
    <w:rsid w:val="004C23E6"/>
    <w:rsid w:val="004C58D1"/>
    <w:rsid w:val="004D6321"/>
    <w:rsid w:val="004E2CB0"/>
    <w:rsid w:val="004F08DB"/>
    <w:rsid w:val="00511000"/>
    <w:rsid w:val="00537A8F"/>
    <w:rsid w:val="005576EE"/>
    <w:rsid w:val="005872F6"/>
    <w:rsid w:val="00595E90"/>
    <w:rsid w:val="005A5A2C"/>
    <w:rsid w:val="005C31C7"/>
    <w:rsid w:val="005C35CB"/>
    <w:rsid w:val="005D00EE"/>
    <w:rsid w:val="005D178C"/>
    <w:rsid w:val="005E1A0D"/>
    <w:rsid w:val="005E1A40"/>
    <w:rsid w:val="006132DB"/>
    <w:rsid w:val="006278CE"/>
    <w:rsid w:val="00660CF7"/>
    <w:rsid w:val="006736DF"/>
    <w:rsid w:val="0068719C"/>
    <w:rsid w:val="0069349B"/>
    <w:rsid w:val="006B0385"/>
    <w:rsid w:val="006F26E4"/>
    <w:rsid w:val="00711791"/>
    <w:rsid w:val="0071781C"/>
    <w:rsid w:val="00724861"/>
    <w:rsid w:val="00737B5A"/>
    <w:rsid w:val="00763277"/>
    <w:rsid w:val="00773B18"/>
    <w:rsid w:val="007A0877"/>
    <w:rsid w:val="007A5704"/>
    <w:rsid w:val="007B0D07"/>
    <w:rsid w:val="007B45DE"/>
    <w:rsid w:val="007D06CA"/>
    <w:rsid w:val="007E238D"/>
    <w:rsid w:val="007E4CF4"/>
    <w:rsid w:val="007F6EBD"/>
    <w:rsid w:val="00822E98"/>
    <w:rsid w:val="008327B1"/>
    <w:rsid w:val="00844F23"/>
    <w:rsid w:val="008561E5"/>
    <w:rsid w:val="008562CA"/>
    <w:rsid w:val="00871401"/>
    <w:rsid w:val="008D0D6A"/>
    <w:rsid w:val="008D7252"/>
    <w:rsid w:val="00901EA4"/>
    <w:rsid w:val="00903CEB"/>
    <w:rsid w:val="00920A24"/>
    <w:rsid w:val="009442B5"/>
    <w:rsid w:val="00955215"/>
    <w:rsid w:val="00966666"/>
    <w:rsid w:val="009A012D"/>
    <w:rsid w:val="009A0DD0"/>
    <w:rsid w:val="009A40F8"/>
    <w:rsid w:val="009C19C3"/>
    <w:rsid w:val="009C7B88"/>
    <w:rsid w:val="009E2B5C"/>
    <w:rsid w:val="009F1217"/>
    <w:rsid w:val="009F415B"/>
    <w:rsid w:val="00A21B78"/>
    <w:rsid w:val="00A258AE"/>
    <w:rsid w:val="00A308E8"/>
    <w:rsid w:val="00A40CC0"/>
    <w:rsid w:val="00A51B0B"/>
    <w:rsid w:val="00A779DC"/>
    <w:rsid w:val="00A8411C"/>
    <w:rsid w:val="00AA5635"/>
    <w:rsid w:val="00AA7146"/>
    <w:rsid w:val="00AB7979"/>
    <w:rsid w:val="00AE247E"/>
    <w:rsid w:val="00AE5194"/>
    <w:rsid w:val="00B215D7"/>
    <w:rsid w:val="00B43FA1"/>
    <w:rsid w:val="00B57EBA"/>
    <w:rsid w:val="00B66044"/>
    <w:rsid w:val="00B7690E"/>
    <w:rsid w:val="00B91941"/>
    <w:rsid w:val="00BA2E43"/>
    <w:rsid w:val="00BA6EC2"/>
    <w:rsid w:val="00BE7C6B"/>
    <w:rsid w:val="00C35BFC"/>
    <w:rsid w:val="00C36EF8"/>
    <w:rsid w:val="00C37847"/>
    <w:rsid w:val="00C51531"/>
    <w:rsid w:val="00C515BD"/>
    <w:rsid w:val="00CA053D"/>
    <w:rsid w:val="00CA3264"/>
    <w:rsid w:val="00CB655F"/>
    <w:rsid w:val="00D1390A"/>
    <w:rsid w:val="00D15371"/>
    <w:rsid w:val="00D2187B"/>
    <w:rsid w:val="00D26471"/>
    <w:rsid w:val="00D3197C"/>
    <w:rsid w:val="00D62D74"/>
    <w:rsid w:val="00D6324F"/>
    <w:rsid w:val="00D732DB"/>
    <w:rsid w:val="00DA207A"/>
    <w:rsid w:val="00DA6351"/>
    <w:rsid w:val="00DB4110"/>
    <w:rsid w:val="00DB5F96"/>
    <w:rsid w:val="00DC7969"/>
    <w:rsid w:val="00DD5B36"/>
    <w:rsid w:val="00E129A3"/>
    <w:rsid w:val="00E142E4"/>
    <w:rsid w:val="00E26398"/>
    <w:rsid w:val="00E556C2"/>
    <w:rsid w:val="00E56CCB"/>
    <w:rsid w:val="00E81F85"/>
    <w:rsid w:val="00EA6DA8"/>
    <w:rsid w:val="00ED0D79"/>
    <w:rsid w:val="00F01E83"/>
    <w:rsid w:val="00F04D2D"/>
    <w:rsid w:val="00F4206A"/>
    <w:rsid w:val="00F650A9"/>
    <w:rsid w:val="00F726EB"/>
    <w:rsid w:val="00F82C63"/>
    <w:rsid w:val="00FB18AB"/>
    <w:rsid w:val="00FB5581"/>
    <w:rsid w:val="00FC641D"/>
    <w:rsid w:val="00FE7623"/>
    <w:rsid w:val="00FF0D2B"/>
    <w:rsid w:val="00FF1C6D"/>
    <w:rsid w:val="3A0BD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92147E12-965A-4B38-BBFE-4E4344F0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character" w:styleId="CommentReference">
    <w:name w:val="annotation reference"/>
    <w:basedOn w:val="DefaultParagraphFont"/>
    <w:uiPriority w:val="99"/>
    <w:semiHidden/>
    <w:unhideWhenUsed/>
    <w:rsid w:val="00FB18AB"/>
    <w:rPr>
      <w:sz w:val="16"/>
      <w:szCs w:val="16"/>
    </w:rPr>
  </w:style>
  <w:style w:type="paragraph" w:styleId="CommentText">
    <w:name w:val="annotation text"/>
    <w:basedOn w:val="Normal"/>
    <w:link w:val="CommentTextChar"/>
    <w:uiPriority w:val="99"/>
    <w:unhideWhenUsed/>
    <w:rsid w:val="00FB18AB"/>
    <w:pPr>
      <w:spacing w:after="160"/>
    </w:pPr>
    <w:rPr>
      <w:rFonts w:asciiTheme="minorHAnsi" w:hAnsiTheme="minorHAnsi"/>
      <w:kern w:val="2"/>
      <w:sz w:val="20"/>
      <w:szCs w:val="20"/>
      <w:lang w:val="en-AU"/>
      <w14:ligatures w14:val="standardContextual"/>
    </w:rPr>
  </w:style>
  <w:style w:type="character" w:customStyle="1" w:styleId="CommentTextChar">
    <w:name w:val="Comment Text Char"/>
    <w:basedOn w:val="DefaultParagraphFont"/>
    <w:link w:val="CommentText"/>
    <w:uiPriority w:val="99"/>
    <w:rsid w:val="00FB18AB"/>
    <w:rPr>
      <w:kern w:val="2"/>
      <w:sz w:val="20"/>
      <w:szCs w:val="20"/>
      <w:lang w:val="en-AU"/>
      <w14:ligatures w14:val="standardContextual"/>
    </w:rPr>
  </w:style>
  <w:style w:type="paragraph" w:customStyle="1" w:styleId="Secondnumbering">
    <w:name w:val="Second numbering"/>
    <w:basedOn w:val="Normal"/>
    <w:link w:val="SecondnumberingChar"/>
    <w:qFormat/>
    <w:rsid w:val="004276A3"/>
    <w:pPr>
      <w:numPr>
        <w:numId w:val="21"/>
      </w:numPr>
    </w:pPr>
    <w:rPr>
      <w:lang w:val="en-GB"/>
    </w:rPr>
  </w:style>
  <w:style w:type="character" w:customStyle="1" w:styleId="SecondnumberingChar">
    <w:name w:val="Second numbering Char"/>
    <w:basedOn w:val="DefaultParagraphFont"/>
    <w:link w:val="Secondnumbering"/>
    <w:rsid w:val="004276A3"/>
    <w:rPr>
      <w:rFonts w:ascii="Arial" w:hAnsi="Arial"/>
      <w:lang w:val="en-GB"/>
    </w:rPr>
  </w:style>
  <w:style w:type="paragraph" w:customStyle="1" w:styleId="Title1">
    <w:name w:val="Title1"/>
    <w:basedOn w:val="Normal"/>
    <w:link w:val="TITLEChar"/>
    <w:qFormat/>
    <w:rsid w:val="00903CEB"/>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903CEB"/>
    <w:rPr>
      <w:rFonts w:ascii="Arial" w:eastAsia="Times New Roman" w:hAnsi="Arial" w:cs="Arial"/>
      <w:b/>
      <w:caps/>
      <w:lang w:val="en-GB"/>
    </w:rPr>
  </w:style>
  <w:style w:type="paragraph" w:styleId="CommentSubject">
    <w:name w:val="annotation subject"/>
    <w:basedOn w:val="CommentText"/>
    <w:next w:val="CommentText"/>
    <w:link w:val="CommentSubjectChar"/>
    <w:uiPriority w:val="99"/>
    <w:semiHidden/>
    <w:unhideWhenUsed/>
    <w:rsid w:val="001D5985"/>
    <w:pPr>
      <w:spacing w:after="0"/>
    </w:pPr>
    <w:rPr>
      <w:rFonts w:ascii="Arial" w:hAnsi="Arial"/>
      <w:b/>
      <w:bCs/>
      <w:kern w:val="0"/>
      <w:lang w:val="en-US"/>
      <w14:ligatures w14:val="none"/>
    </w:rPr>
  </w:style>
  <w:style w:type="character" w:customStyle="1" w:styleId="CommentSubjectChar">
    <w:name w:val="Comment Subject Char"/>
    <w:basedOn w:val="CommentTextChar"/>
    <w:link w:val="CommentSubject"/>
    <w:uiPriority w:val="99"/>
    <w:semiHidden/>
    <w:rsid w:val="001D5985"/>
    <w:rPr>
      <w:rFonts w:ascii="Arial" w:hAnsi="Arial"/>
      <w:b/>
      <w:bCs/>
      <w:kern w:val="2"/>
      <w:sz w:val="20"/>
      <w:szCs w:val="20"/>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psema.gov.au/sites/default/files/documents/NOPSEMA%20Research%20Strategy%202023-2025.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onlinelibrary.wiley.com/doi/full/10.1111/aec.13278" TargetMode="External"/><Relationship Id="rId7" Type="http://schemas.openxmlformats.org/officeDocument/2006/relationships/settings" Target="settings.xml"/><Relationship Id="rId12" Type="http://schemas.openxmlformats.org/officeDocument/2006/relationships/hyperlink" Target="https://www.dcceew.gov.au/energy/renewable/establishing-offshore-infrastructure/gippsland"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4A0048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aec.13278"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MariaJoseOrtiz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6929-160B-45B0-8DCA-4CE74A4326EB}">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2.xml><?xml version="1.0" encoding="utf-8"?>
<ds:datastoreItem xmlns:ds="http://schemas.openxmlformats.org/officeDocument/2006/customXml" ds:itemID="{D405066A-53E2-4B40-AB09-EFC4BAF8D3EF}">
  <ds:schemaRefs>
    <ds:schemaRef ds:uri="http://schemas.microsoft.com/sharepoint/v3/contenttype/forms"/>
  </ds:schemaRefs>
</ds:datastoreItem>
</file>

<file path=customXml/itemProps3.xml><?xml version="1.0" encoding="utf-8"?>
<ds:datastoreItem xmlns:ds="http://schemas.openxmlformats.org/officeDocument/2006/customXml" ds:itemID="{65030AD6-B5E9-4E97-91DA-396F18126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DF36CB-F696-4B52-892A-4976EE56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Parques eólicos marinos nota_cms_scc-sc6_con anexo</dc:title>
  <dc:subject/>
  <dc:creator>UNEP/CMS Secretariat</dc:creator>
  <cp:keywords/>
  <dc:description/>
  <cp:lastModifiedBy>Ximena Victoria Cancino Ordenes</cp:lastModifiedBy>
  <cp:revision>18</cp:revision>
  <cp:lastPrinted>2019-12-07T05:21:00Z</cp:lastPrinted>
  <dcterms:created xsi:type="dcterms:W3CDTF">2023-06-23T07:08:00Z</dcterms:created>
  <dcterms:modified xsi:type="dcterms:W3CDTF">2023-07-06T09:48:00Z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y fmtid="{D5CDD505-2E9C-101B-9397-08002B2CF9AE}" pid="6" name="RecordPoint_WorkflowType">
    <vt:lpwstr>ActiveSubmitStub</vt:lpwstr>
  </property>
  <property fmtid="{D5CDD505-2E9C-101B-9397-08002B2CF9AE}" pid="7" name="RecordPoint_ActiveItemSiteId">
    <vt:lpwstr>{8003c3b3-d20c-4e9a-bee9-0e2243d810ee}</vt:lpwstr>
  </property>
  <property fmtid="{D5CDD505-2E9C-101B-9397-08002B2CF9AE}" pid="8" name="RecordPoint_ActiveItemListId">
    <vt:lpwstr>{8f8e95cd-75f6-408e-927c-77860946c209}</vt:lpwstr>
  </property>
  <property fmtid="{D5CDD505-2E9C-101B-9397-08002B2CF9AE}" pid="9" name="RecordPoint_ActiveItemUniqueId">
    <vt:lpwstr>{c41c1359-0a50-4828-8e8a-ddac9f90bf4c}</vt:lpwstr>
  </property>
  <property fmtid="{D5CDD505-2E9C-101B-9397-08002B2CF9AE}" pid="10" name="RecordPoint_ActiveItemWebId">
    <vt:lpwstr>{344c6e69-c594-4ca4-b341-09ae9dfc1422}</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SubmissionCompleted">
    <vt:lpwstr/>
  </property>
  <property fmtid="{D5CDD505-2E9C-101B-9397-08002B2CF9AE}" pid="15" name="RecordPoint_RecordFormat">
    <vt:lpwstr/>
  </property>
</Properties>
</file>